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99" w:rsidRPr="008F5099" w:rsidRDefault="008F5099" w:rsidP="008F5099">
      <w:pPr>
        <w:widowControl/>
        <w:spacing w:before="100" w:beforeAutospacing="1" w:after="100" w:afterAutospacing="1" w:line="240" w:lineRule="auto"/>
        <w:ind w:firstLineChars="0" w:firstLine="720"/>
        <w:jc w:val="center"/>
        <w:rPr>
          <w:rFonts w:ascii="宋体" w:hAnsi="宋体" w:cs="宋体"/>
          <w:kern w:val="0"/>
          <w:szCs w:val="24"/>
        </w:rPr>
      </w:pPr>
      <w:r w:rsidRPr="008F5099">
        <w:rPr>
          <w:rFonts w:ascii="黑体" w:eastAsia="黑体" w:hAnsi="黑体" w:cs="宋体" w:hint="eastAsia"/>
          <w:b/>
          <w:bCs/>
          <w:color w:val="FF0000"/>
          <w:kern w:val="0"/>
          <w:sz w:val="36"/>
        </w:rPr>
        <w:t>证监会公告[2008]16号－中国证券监督管理委员</w:t>
      </w:r>
      <w:r w:rsidRPr="008F5099">
        <w:rPr>
          <w:rFonts w:ascii="黑体" w:eastAsia="黑体" w:hAnsi="黑体" w:cs="宋体" w:hint="eastAsia"/>
          <w:b/>
          <w:bCs/>
          <w:color w:val="FF0000"/>
          <w:kern w:val="0"/>
          <w:sz w:val="36"/>
          <w:szCs w:val="36"/>
        </w:rPr>
        <w:br/>
      </w:r>
      <w:r w:rsidRPr="008F5099">
        <w:rPr>
          <w:rFonts w:ascii="黑体" w:eastAsia="黑体" w:hAnsi="黑体" w:cs="宋体" w:hint="eastAsia"/>
          <w:b/>
          <w:bCs/>
          <w:color w:val="FF0000"/>
          <w:kern w:val="0"/>
          <w:sz w:val="36"/>
        </w:rPr>
        <w:t xml:space="preserve">会关于废止部分证券期货规章的决定（第七批） </w:t>
      </w:r>
      <w:r w:rsidRPr="008F5099">
        <w:rPr>
          <w:rFonts w:ascii="宋体" w:hAnsi="宋体" w:cs="宋体"/>
          <w:kern w:val="0"/>
          <w:szCs w:val="24"/>
        </w:rPr>
        <w:br/>
      </w:r>
      <w:r w:rsidRPr="008F5099">
        <w:rPr>
          <w:rFonts w:ascii="宋体" w:hAnsi="宋体" w:cs="宋体"/>
          <w:kern w:val="0"/>
          <w:szCs w:val="24"/>
        </w:rPr>
        <w:br/>
      </w:r>
    </w:p>
    <w:p w:rsidR="008F5099" w:rsidRPr="008F5099" w:rsidRDefault="008F5099" w:rsidP="008F5099">
      <w:pPr>
        <w:widowControl/>
        <w:wordWrap w:val="0"/>
        <w:snapToGrid w:val="0"/>
        <w:spacing w:after="10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 xml:space="preserve">  现公布《关于废止部分证券期货规章的决定（第七批）》。</w:t>
      </w:r>
    </w:p>
    <w:p w:rsidR="008F5099" w:rsidRPr="008F5099" w:rsidRDefault="008F5099" w:rsidP="008F5099">
      <w:pPr>
        <w:widowControl/>
        <w:wordWrap w:val="0"/>
        <w:snapToGrid w:val="0"/>
        <w:spacing w:before="90" w:after="100" w:line="240" w:lineRule="auto"/>
        <w:ind w:right="840" w:firstLineChars="0" w:firstLine="420"/>
        <w:jc w:val="right"/>
        <w:textAlignment w:val="baseline"/>
        <w:rPr>
          <w:rFonts w:ascii="宋体" w:hAnsi="宋体" w:cs="宋体" w:hint="eastAsia"/>
          <w:kern w:val="0"/>
          <w:sz w:val="21"/>
          <w:szCs w:val="21"/>
        </w:rPr>
      </w:pPr>
      <w:r w:rsidRPr="008F5099">
        <w:rPr>
          <w:rFonts w:ascii="宋体" w:hAnsi="宋体" w:cs="宋体" w:hint="eastAsia"/>
          <w:kern w:val="0"/>
          <w:sz w:val="21"/>
          <w:szCs w:val="21"/>
        </w:rPr>
        <w:t>中国证券监督管理委员会</w:t>
      </w:r>
    </w:p>
    <w:p w:rsidR="008F5099" w:rsidRPr="008F5099" w:rsidRDefault="008F5099" w:rsidP="008F5099">
      <w:pPr>
        <w:widowControl/>
        <w:wordWrap w:val="0"/>
        <w:snapToGrid w:val="0"/>
        <w:spacing w:before="90" w:after="100" w:line="240" w:lineRule="auto"/>
        <w:ind w:right="840" w:firstLineChars="0" w:firstLine="420"/>
        <w:jc w:val="right"/>
        <w:textAlignment w:val="baseline"/>
        <w:rPr>
          <w:rFonts w:ascii="宋体" w:hAnsi="宋体" w:cs="宋体" w:hint="eastAsia"/>
          <w:kern w:val="0"/>
          <w:sz w:val="21"/>
          <w:szCs w:val="21"/>
        </w:rPr>
      </w:pPr>
      <w:r w:rsidRPr="008F5099">
        <w:rPr>
          <w:rFonts w:ascii="宋体" w:hAnsi="宋体" w:cs="宋体" w:hint="eastAsia"/>
          <w:kern w:val="0"/>
          <w:sz w:val="21"/>
          <w:szCs w:val="21"/>
        </w:rPr>
        <w:t>二○○八年四月二十四日</w:t>
      </w:r>
    </w:p>
    <w:p w:rsidR="008F5099" w:rsidRPr="008F5099" w:rsidRDefault="008F5099" w:rsidP="008F5099">
      <w:pPr>
        <w:widowControl/>
        <w:wordWrap w:val="0"/>
        <w:snapToGrid w:val="0"/>
        <w:spacing w:before="90" w:after="100" w:line="240" w:lineRule="auto"/>
        <w:ind w:firstLineChars="0" w:firstLine="480"/>
        <w:jc w:val="center"/>
        <w:rPr>
          <w:rFonts w:ascii="宋体" w:hAnsi="宋体" w:cs="宋体" w:hint="eastAsia"/>
          <w:kern w:val="0"/>
          <w:sz w:val="21"/>
          <w:szCs w:val="21"/>
        </w:rPr>
      </w:pPr>
      <w:r w:rsidRPr="008F5099">
        <w:rPr>
          <w:rFonts w:ascii="黑体" w:eastAsia="黑体" w:hAnsi="黑体" w:cs="宋体" w:hint="eastAsia"/>
          <w:kern w:val="0"/>
          <w:sz w:val="36"/>
          <w:szCs w:val="36"/>
        </w:rPr>
        <w:t>关于废止部分证券期货规章的决定（第七批）</w:t>
      </w:r>
    </w:p>
    <w:p w:rsidR="008F5099" w:rsidRPr="008F5099" w:rsidRDefault="008F5099" w:rsidP="008F5099">
      <w:pPr>
        <w:widowControl/>
        <w:wordWrap w:val="0"/>
        <w:snapToGrid w:val="0"/>
        <w:spacing w:before="90" w:after="100" w:line="240" w:lineRule="auto"/>
        <w:ind w:firstLineChars="0" w:firstLine="420"/>
        <w:jc w:val="left"/>
        <w:rPr>
          <w:rFonts w:ascii="宋体" w:hAnsi="宋体" w:cs="宋体" w:hint="eastAsia"/>
          <w:kern w:val="0"/>
          <w:sz w:val="21"/>
          <w:szCs w:val="21"/>
        </w:rPr>
      </w:pPr>
      <w:r w:rsidRPr="008F5099">
        <w:rPr>
          <w:rFonts w:ascii="宋体" w:hAnsi="宋体" w:cs="宋体" w:hint="eastAsia"/>
          <w:kern w:val="0"/>
          <w:sz w:val="21"/>
          <w:szCs w:val="21"/>
        </w:rPr>
        <w:t>根据《规章制定程序条例》的规定，按照贯彻实施《行政许可法》的要求，在废止前六批规章和规范性文件（以下统称“规章”）的基础上，我会对自成立以来至2007年12月31日期间公布的证券类和期货类部门规章进行了再次清理。其中，自2007年1月1日至2007年12月31日期间，已明令废止的规章27件，应予废止和自行失效的规章7件。现将这两部分共34件规章的目录予以公布。</w:t>
      </w:r>
    </w:p>
    <w:p w:rsidR="008F5099" w:rsidRPr="008F5099" w:rsidRDefault="008F5099" w:rsidP="008F5099">
      <w:pPr>
        <w:widowControl/>
        <w:wordWrap w:val="0"/>
        <w:snapToGrid w:val="0"/>
        <w:spacing w:before="90" w:after="100" w:line="240" w:lineRule="auto"/>
        <w:ind w:firstLineChars="0" w:firstLine="420"/>
        <w:jc w:val="left"/>
        <w:rPr>
          <w:rFonts w:ascii="宋体" w:hAnsi="宋体" w:cs="宋体" w:hint="eastAsia"/>
          <w:kern w:val="0"/>
          <w:sz w:val="21"/>
          <w:szCs w:val="21"/>
        </w:rPr>
      </w:pPr>
      <w:r w:rsidRPr="008F5099">
        <w:rPr>
          <w:rFonts w:ascii="宋体" w:hAnsi="宋体" w:cs="宋体" w:hint="eastAsia"/>
          <w:kern w:val="0"/>
          <w:sz w:val="21"/>
          <w:szCs w:val="21"/>
        </w:rPr>
        <w:t>附件：1、第七批废止的证券期货类部门规章目录</w:t>
      </w:r>
    </w:p>
    <w:p w:rsidR="008F5099" w:rsidRPr="008F5099" w:rsidRDefault="008F5099" w:rsidP="008F5099">
      <w:pPr>
        <w:widowControl/>
        <w:wordWrap w:val="0"/>
        <w:snapToGrid w:val="0"/>
        <w:spacing w:before="90" w:after="90" w:line="240" w:lineRule="auto"/>
        <w:ind w:firstLineChars="0" w:firstLine="0"/>
        <w:jc w:val="left"/>
        <w:rPr>
          <w:rFonts w:ascii="宋体" w:hAnsi="宋体" w:cs="宋体" w:hint="eastAsia"/>
          <w:kern w:val="0"/>
          <w:sz w:val="21"/>
          <w:szCs w:val="21"/>
        </w:rPr>
      </w:pPr>
      <w:r w:rsidRPr="008F5099">
        <w:rPr>
          <w:rFonts w:eastAsia="楷体"/>
          <w:kern w:val="0"/>
          <w:sz w:val="21"/>
          <w:szCs w:val="21"/>
        </w:rPr>
        <w:t xml:space="preserve">     2</w:t>
      </w:r>
      <w:r w:rsidRPr="008F5099">
        <w:rPr>
          <w:rFonts w:ascii="宋体" w:hAnsi="宋体" w:cs="宋体" w:hint="eastAsia"/>
          <w:kern w:val="0"/>
          <w:sz w:val="21"/>
          <w:szCs w:val="21"/>
        </w:rPr>
        <w:t>、2007年1月1日至2007年12月31日期间明令废止的证券期货类部门规章目录</w:t>
      </w:r>
    </w:p>
    <w:p w:rsidR="008F5099" w:rsidRPr="008F5099" w:rsidRDefault="008F5099" w:rsidP="008F5099">
      <w:pPr>
        <w:widowControl/>
        <w:wordWrap w:val="0"/>
        <w:snapToGrid w:val="0"/>
        <w:spacing w:before="90" w:after="100" w:line="240" w:lineRule="auto"/>
        <w:ind w:firstLineChars="0" w:firstLine="0"/>
        <w:jc w:val="center"/>
        <w:rPr>
          <w:rFonts w:ascii="宋体" w:hAnsi="宋体" w:cs="宋体" w:hint="eastAsia"/>
          <w:kern w:val="0"/>
          <w:sz w:val="21"/>
          <w:szCs w:val="21"/>
        </w:rPr>
      </w:pPr>
      <w:r w:rsidRPr="008F5099">
        <w:rPr>
          <w:rFonts w:ascii="宋体" w:hAnsi="宋体" w:cs="宋体" w:hint="eastAsia"/>
          <w:kern w:val="0"/>
          <w:sz w:val="21"/>
          <w:szCs w:val="21"/>
        </w:rPr>
        <w:t xml:space="preserve">   </w:t>
      </w:r>
      <w:r w:rsidRPr="008F5099">
        <w:rPr>
          <w:rFonts w:ascii="宋体" w:hAnsi="宋体" w:cs="宋体" w:hint="eastAsia"/>
          <w:kern w:val="0"/>
          <w:szCs w:val="24"/>
        </w:rPr>
        <w:t xml:space="preserve"> </w:t>
      </w:r>
      <w:r w:rsidRPr="008F5099">
        <w:rPr>
          <w:rFonts w:ascii="黑体" w:eastAsia="黑体" w:hAnsi="黑体" w:cs="宋体" w:hint="eastAsia"/>
          <w:kern w:val="0"/>
          <w:sz w:val="36"/>
          <w:szCs w:val="36"/>
        </w:rPr>
        <w:t>第七批废止的证券期货类部门规章目录</w:t>
      </w:r>
    </w:p>
    <w:tbl>
      <w:tblPr>
        <w:tblStyle w:val="a"/>
        <w:tblW w:w="11106" w:type="dxa"/>
        <w:tblInd w:w="-981" w:type="dxa"/>
        <w:tblLayout w:type="fixed"/>
        <w:tblCellMar>
          <w:top w:w="15" w:type="dxa"/>
          <w:left w:w="15" w:type="dxa"/>
          <w:bottom w:w="15" w:type="dxa"/>
          <w:right w:w="15" w:type="dxa"/>
        </w:tblCellMar>
        <w:tblLook w:val="04A0"/>
      </w:tblPr>
      <w:tblGrid>
        <w:gridCol w:w="520"/>
        <w:gridCol w:w="4630"/>
        <w:gridCol w:w="2331"/>
        <w:gridCol w:w="1683"/>
        <w:gridCol w:w="1942"/>
      </w:tblGrid>
      <w:tr w:rsidR="008F5099" w:rsidRPr="008F5099" w:rsidTr="00652DF6">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序号</w:t>
            </w:r>
          </w:p>
        </w:tc>
        <w:tc>
          <w:tcPr>
            <w:tcW w:w="4630"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名称</w:t>
            </w:r>
          </w:p>
        </w:tc>
        <w:tc>
          <w:tcPr>
            <w:tcW w:w="2331"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文号</w:t>
            </w:r>
          </w:p>
        </w:tc>
        <w:tc>
          <w:tcPr>
            <w:tcW w:w="1683"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发布部门</w:t>
            </w:r>
          </w:p>
        </w:tc>
        <w:tc>
          <w:tcPr>
            <w:tcW w:w="1942"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发布时间</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关于证券公司执行《金融企业会计制度》有关事项的通知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证监机构字[2004]1号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2004年1月5日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关于期货经纪公司变更登记等有关问题的通知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证监期货字[1999]1号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证监会、工商局</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1999年1月5日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3</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关于报送《期货经纪公司监管报表》的通知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证监期货字[2004]53号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2004年7月27日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4</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关于印发《&lt;期货经纪合同&gt;指引》和《期货交易风险说明书》的通知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证监期货字[1999]21号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1999年12月21日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5</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关于由中国期货业协会承担期货经纪合同文本备案审查职责的通知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证监期货字[2003]30号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2003年4月23日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6</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关于发布《网上证券委托暂行管理办法》的通知</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监信息字</w:t>
            </w:r>
            <w:proofErr w:type="gramEnd"/>
            <w:r w:rsidRPr="008F5099">
              <w:rPr>
                <w:rFonts w:ascii="宋体" w:hAnsi="宋体" w:cs="宋体" w:hint="eastAsia"/>
                <w:kern w:val="0"/>
                <w:sz w:val="21"/>
                <w:szCs w:val="21"/>
              </w:rPr>
              <w:t>[2000]5号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2000年3月30日</w:t>
            </w:r>
          </w:p>
        </w:tc>
      </w:tr>
      <w:tr w:rsidR="008F5099" w:rsidRPr="008F5099" w:rsidTr="00652DF6">
        <w:tc>
          <w:tcPr>
            <w:tcW w:w="5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7</w:t>
            </w:r>
          </w:p>
        </w:tc>
        <w:tc>
          <w:tcPr>
            <w:tcW w:w="4630"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证券公司网上委托业务核准程序</w:t>
            </w:r>
          </w:p>
        </w:tc>
        <w:tc>
          <w:tcPr>
            <w:tcW w:w="2331"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监信息字</w:t>
            </w:r>
            <w:proofErr w:type="gramEnd"/>
            <w:r w:rsidRPr="008F5099">
              <w:rPr>
                <w:rFonts w:ascii="宋体" w:hAnsi="宋体" w:cs="宋体" w:hint="eastAsia"/>
                <w:kern w:val="0"/>
                <w:sz w:val="21"/>
                <w:szCs w:val="21"/>
              </w:rPr>
              <w:t>[2000]6号</w:t>
            </w:r>
          </w:p>
        </w:tc>
        <w:tc>
          <w:tcPr>
            <w:tcW w:w="1683"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w:t>
            </w:r>
          </w:p>
        </w:tc>
        <w:tc>
          <w:tcPr>
            <w:tcW w:w="1942"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2000年4月29日</w:t>
            </w:r>
          </w:p>
        </w:tc>
      </w:tr>
    </w:tbl>
    <w:p w:rsidR="008F5099" w:rsidRPr="008F5099" w:rsidRDefault="008F5099" w:rsidP="008F5099">
      <w:pPr>
        <w:widowControl/>
        <w:wordWrap w:val="0"/>
        <w:snapToGrid w:val="0"/>
        <w:spacing w:before="90" w:after="100" w:line="240" w:lineRule="auto"/>
        <w:ind w:firstLineChars="0" w:firstLine="0"/>
        <w:jc w:val="left"/>
        <w:rPr>
          <w:rFonts w:ascii="宋体" w:hAnsi="宋体" w:cs="宋体" w:hint="eastAsia"/>
          <w:kern w:val="0"/>
          <w:sz w:val="21"/>
          <w:szCs w:val="21"/>
        </w:rPr>
      </w:pPr>
      <w:r w:rsidRPr="008F5099">
        <w:rPr>
          <w:rFonts w:ascii="黑体" w:eastAsia="黑体" w:hAnsi="黑体" w:cs="宋体" w:hint="eastAsia"/>
          <w:kern w:val="0"/>
          <w:szCs w:val="24"/>
        </w:rPr>
        <w:t>附件二</w:t>
      </w:r>
    </w:p>
    <w:p w:rsidR="008F5099" w:rsidRPr="008F5099" w:rsidRDefault="008F5099" w:rsidP="008F5099">
      <w:pPr>
        <w:widowControl/>
        <w:wordWrap w:val="0"/>
        <w:snapToGrid w:val="0"/>
        <w:spacing w:before="90" w:after="100" w:line="240" w:lineRule="auto"/>
        <w:ind w:firstLineChars="0" w:firstLine="0"/>
        <w:jc w:val="center"/>
        <w:rPr>
          <w:rFonts w:ascii="宋体" w:hAnsi="宋体" w:cs="宋体" w:hint="eastAsia"/>
          <w:kern w:val="0"/>
          <w:sz w:val="36"/>
          <w:szCs w:val="36"/>
        </w:rPr>
      </w:pPr>
      <w:r w:rsidRPr="008F5099">
        <w:rPr>
          <w:rFonts w:ascii="黑体" w:eastAsia="黑体" w:hAnsi="黑体" w:cs="宋体" w:hint="eastAsia"/>
          <w:kern w:val="0"/>
          <w:sz w:val="36"/>
          <w:szCs w:val="36"/>
        </w:rPr>
        <w:t>2007年1月至2007年12月明令废止的证券期货类</w:t>
      </w:r>
    </w:p>
    <w:p w:rsidR="008F5099" w:rsidRPr="008F5099" w:rsidRDefault="008F5099" w:rsidP="008F5099">
      <w:pPr>
        <w:widowControl/>
        <w:wordWrap w:val="0"/>
        <w:snapToGrid w:val="0"/>
        <w:spacing w:before="90" w:after="100" w:line="240" w:lineRule="auto"/>
        <w:ind w:firstLineChars="0" w:firstLine="0"/>
        <w:jc w:val="center"/>
        <w:rPr>
          <w:rFonts w:ascii="宋体" w:hAnsi="宋体" w:cs="宋体" w:hint="eastAsia"/>
          <w:kern w:val="0"/>
          <w:sz w:val="36"/>
          <w:szCs w:val="36"/>
        </w:rPr>
      </w:pPr>
      <w:r w:rsidRPr="008F5099">
        <w:rPr>
          <w:rFonts w:ascii="黑体" w:eastAsia="黑体" w:hAnsi="黑体" w:cs="宋体" w:hint="eastAsia"/>
          <w:kern w:val="0"/>
          <w:sz w:val="36"/>
          <w:szCs w:val="36"/>
        </w:rPr>
        <w:lastRenderedPageBreak/>
        <w:t>部门规章目录</w:t>
      </w:r>
    </w:p>
    <w:tbl>
      <w:tblPr>
        <w:tblW w:w="0" w:type="auto"/>
        <w:tblInd w:w="108" w:type="dxa"/>
        <w:tblLayout w:type="fixed"/>
        <w:tblCellMar>
          <w:top w:w="15" w:type="dxa"/>
          <w:left w:w="15" w:type="dxa"/>
          <w:bottom w:w="15" w:type="dxa"/>
          <w:right w:w="15" w:type="dxa"/>
        </w:tblCellMar>
        <w:tblLook w:val="04A0"/>
      </w:tblPr>
      <w:tblGrid>
        <w:gridCol w:w="535"/>
        <w:gridCol w:w="4756"/>
        <w:gridCol w:w="2128"/>
        <w:gridCol w:w="1729"/>
        <w:gridCol w:w="1958"/>
      </w:tblGrid>
      <w:tr w:rsidR="008F5099" w:rsidRPr="008F5099" w:rsidTr="008F5099">
        <w:tc>
          <w:tcPr>
            <w:tcW w:w="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序号</w:t>
            </w:r>
          </w:p>
        </w:tc>
        <w:tc>
          <w:tcPr>
            <w:tcW w:w="4756"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部门规章名称</w:t>
            </w:r>
          </w:p>
        </w:tc>
        <w:tc>
          <w:tcPr>
            <w:tcW w:w="2128"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文号</w:t>
            </w:r>
          </w:p>
        </w:tc>
        <w:tc>
          <w:tcPr>
            <w:tcW w:w="1729"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发布日期</w:t>
            </w:r>
          </w:p>
        </w:tc>
        <w:tc>
          <w:tcPr>
            <w:tcW w:w="1958"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黑体" w:eastAsia="黑体" w:hAnsi="黑体" w:cs="宋体"/>
                <w:kern w:val="0"/>
                <w:szCs w:val="24"/>
              </w:rPr>
            </w:pPr>
            <w:r w:rsidRPr="008F5099">
              <w:rPr>
                <w:rFonts w:ascii="黑体" w:eastAsia="黑体" w:hAnsi="黑体" w:cs="宋体" w:hint="eastAsia"/>
                <w:kern w:val="0"/>
                <w:szCs w:val="24"/>
              </w:rPr>
              <w:t>明令废止文件</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公开发行股票公司信息披露实施细则(试行)</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证监上字[1993]43号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1993年6月12日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关于股票公开发行与上市公司信息披露有关事项的通知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w:t>
            </w:r>
            <w:proofErr w:type="gramStart"/>
            <w:r w:rsidRPr="008F5099">
              <w:rPr>
                <w:rFonts w:ascii="宋体" w:hAnsi="宋体" w:cs="宋体" w:hint="eastAsia"/>
                <w:kern w:val="0"/>
                <w:sz w:val="21"/>
                <w:szCs w:val="21"/>
              </w:rPr>
              <w:t>研</w:t>
            </w:r>
            <w:proofErr w:type="gramEnd"/>
            <w:r w:rsidRPr="008F5099">
              <w:rPr>
                <w:rFonts w:ascii="宋体" w:hAnsi="宋体" w:cs="宋体" w:hint="eastAsia"/>
                <w:kern w:val="0"/>
                <w:sz w:val="21"/>
                <w:szCs w:val="21"/>
              </w:rPr>
              <w:t>字[1993]19号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1993年3月18日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3</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关于加强对上市公司临时报告审查的通知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证监上字[1996]26号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1996年12月2日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4</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关于上市公司发布澄清公告若干问题的通知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证监上字[1996]28号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1996年12月13日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5</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上市公司披露信息电子存档事宜的通知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监信字</w:t>
            </w:r>
            <w:proofErr w:type="gramEnd"/>
            <w:r w:rsidRPr="008F5099">
              <w:rPr>
                <w:rFonts w:ascii="宋体" w:hAnsi="宋体" w:cs="宋体" w:hint="eastAsia"/>
                <w:kern w:val="0"/>
                <w:sz w:val="21"/>
                <w:szCs w:val="21"/>
              </w:rPr>
              <w:t>[1998]50号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1998年12月29日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6</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关于进一步加强ST、PT公司信息披露监管工作的通知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[2000]63号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2000年6月7日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7</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关于拟发行新股的上市公司中期报告有关问题的通知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[2001]69号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2001年7月9日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8</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关于上市公司临时公告及相关附件报送中国证监会派出机构备案的通知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[2003]7号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2003年3月20日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9</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公开发行证券的公司信息披露编报规则第16号——A股公司实行补充审计的暂行规定</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证监发[2001]161号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2001年12月30日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证监会计字[2007]12号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10</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关于A股公司做好补充审计工作的通知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证监发[2001]162号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2001年12月30日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证监会计字[2007]12号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11</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关于2002年A股公司进行补充审计试点有关问题的通知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证监发[2002]10号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2002年2月28日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证监会计字[2007]12号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12</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公开发行证券的公司信息披露规范问答第4号——金融类公司境内外审计差异及利润分配基准</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证监会计字[2001]58号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2001年8月30日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证监会计字[2007]12号</w:t>
            </w:r>
          </w:p>
        </w:tc>
      </w:tr>
    </w:tbl>
    <w:tbl>
      <w:tblPr>
        <w:tblStyle w:val="a"/>
        <w:tblW w:w="0" w:type="auto"/>
        <w:tblInd w:w="108" w:type="dxa"/>
        <w:tblLayout w:type="fixed"/>
        <w:tblCellMar>
          <w:top w:w="15" w:type="dxa"/>
          <w:left w:w="15" w:type="dxa"/>
          <w:bottom w:w="15" w:type="dxa"/>
          <w:right w:w="15" w:type="dxa"/>
        </w:tblCellMar>
        <w:tblLook w:val="04A0"/>
      </w:tblPr>
      <w:tblGrid>
        <w:gridCol w:w="535"/>
        <w:gridCol w:w="4756"/>
        <w:gridCol w:w="2128"/>
        <w:gridCol w:w="1729"/>
        <w:gridCol w:w="1958"/>
      </w:tblGrid>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13</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期货交易所管理办法</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证监会令第6号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2002年5月17日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证监会令第42号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14</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期货经纪公司管理办法</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证监会令第7号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2002年5月17日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证监会令第43号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15</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关于期货经纪公司营业部设立、变更、终止有关问题的通知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证监期货字[2004]41号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2004年7月14日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证监会令第43号</w:t>
            </w:r>
          </w:p>
        </w:tc>
      </w:tr>
    </w:tbl>
    <w:tbl>
      <w:tblPr>
        <w:tblW w:w="0" w:type="auto"/>
        <w:tblInd w:w="108" w:type="dxa"/>
        <w:tblLayout w:type="fixed"/>
        <w:tblCellMar>
          <w:top w:w="15" w:type="dxa"/>
          <w:left w:w="15" w:type="dxa"/>
          <w:bottom w:w="15" w:type="dxa"/>
          <w:right w:w="15" w:type="dxa"/>
        </w:tblCellMar>
        <w:tblLook w:val="04A0"/>
      </w:tblPr>
      <w:tblGrid>
        <w:gridCol w:w="535"/>
        <w:gridCol w:w="4756"/>
        <w:gridCol w:w="2128"/>
        <w:gridCol w:w="1729"/>
        <w:gridCol w:w="1958"/>
      </w:tblGrid>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lastRenderedPageBreak/>
              <w:t>16</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关于期货经纪公司变更法定代表人、注册资本、股东或者股权结构、住所有关问题的通知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证监期货字[2004]42号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2004年7月14日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证监会令第43号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17</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关于期货经纪公司设立、解散、合并有关问题的通知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证监期货字[2004]46号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2004年7月20日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证监会令第43号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18</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关于期货经纪公司股东资格及相关问题的通知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证监期货字[2005]155号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2005年9月26日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证监会令第43号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19</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关于加强律师从事证券法律业务管理的通知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proofErr w:type="gramStart"/>
            <w:r w:rsidRPr="008F5099">
              <w:rPr>
                <w:rFonts w:ascii="宋体" w:hAnsi="宋体" w:cs="宋体" w:hint="eastAsia"/>
                <w:kern w:val="0"/>
                <w:sz w:val="21"/>
                <w:szCs w:val="21"/>
              </w:rPr>
              <w:t>证监法字</w:t>
            </w:r>
            <w:proofErr w:type="gramEnd"/>
            <w:r w:rsidRPr="008F5099">
              <w:rPr>
                <w:rFonts w:ascii="宋体" w:hAnsi="宋体" w:cs="宋体" w:hint="eastAsia"/>
                <w:kern w:val="0"/>
                <w:sz w:val="21"/>
                <w:szCs w:val="21"/>
              </w:rPr>
              <w:t>[1998]1号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1998年7月3日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证监会令第41号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20</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公开发行股票公司信息披露的内容与格式准则第5号—公司股份变动报告的内容与格式（2005年修订）</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[2005]142号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2005年12月16日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[2007]98号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21</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前次募集资金使用情况专项报告指引</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监公司字</w:t>
            </w:r>
            <w:proofErr w:type="gramEnd"/>
            <w:r w:rsidRPr="008F5099">
              <w:rPr>
                <w:rFonts w:ascii="宋体" w:hAnsi="宋体" w:cs="宋体" w:hint="eastAsia"/>
                <w:kern w:val="0"/>
                <w:sz w:val="21"/>
                <w:szCs w:val="21"/>
              </w:rPr>
              <w:t>[2001]42号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2001年4月10日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w:t>
            </w:r>
            <w:proofErr w:type="gramStart"/>
            <w:r w:rsidRPr="008F5099">
              <w:rPr>
                <w:rFonts w:ascii="宋体" w:hAnsi="宋体" w:cs="宋体" w:hint="eastAsia"/>
                <w:kern w:val="0"/>
                <w:sz w:val="21"/>
                <w:szCs w:val="21"/>
              </w:rPr>
              <w:t>监发行字</w:t>
            </w:r>
            <w:proofErr w:type="gramEnd"/>
            <w:r w:rsidRPr="008F5099">
              <w:rPr>
                <w:rFonts w:ascii="宋体" w:hAnsi="宋体" w:cs="宋体" w:hint="eastAsia"/>
                <w:kern w:val="0"/>
                <w:sz w:val="21"/>
                <w:szCs w:val="21"/>
              </w:rPr>
              <w:t>[2007]500号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22</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关于发布证券公司净资本计算标准的通知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证监机构字[2006]161号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2006年7月20日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证监机构字[2007]201号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23</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期货经纪公司高级管理人员任职资格管理办法（修订）</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证监发[2002]6号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2002年1月23日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证监会令第47号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24</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关于期货经纪公司高级管理人员任职资格审核有关问题的通知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证监期货字[2004]67号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2004年9月14日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证监会令第47号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25</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期货经纪公司高级管理人员任职资格年检工作细则</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证监期货字[2003]110号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2003年12月31日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证监会令第47号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26</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关于落实对涉嫌违法违规期货公司高管人员及相关人员责任追究的通知</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证监期货字[2005]159号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2005年9月26日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证监会令第47号</w:t>
            </w:r>
          </w:p>
        </w:tc>
      </w:tr>
      <w:tr w:rsidR="008F5099" w:rsidRPr="008F5099" w:rsidTr="008F5099">
        <w:tc>
          <w:tcPr>
            <w:tcW w:w="5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center"/>
              <w:rPr>
                <w:rFonts w:ascii="黑体" w:eastAsia="黑体" w:hAnsi="黑体" w:cs="宋体"/>
                <w:kern w:val="0"/>
                <w:szCs w:val="24"/>
              </w:rPr>
            </w:pPr>
            <w:r w:rsidRPr="008F5099">
              <w:rPr>
                <w:rFonts w:ascii="黑体" w:eastAsia="黑体" w:hAnsi="黑体" w:cs="宋体" w:hint="eastAsia"/>
                <w:kern w:val="0"/>
                <w:szCs w:val="24"/>
              </w:rPr>
              <w:t>27</w:t>
            </w:r>
          </w:p>
        </w:tc>
        <w:tc>
          <w:tcPr>
            <w:tcW w:w="4756"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期货从业人员资格管理办法（修订）</w:t>
            </w:r>
          </w:p>
        </w:tc>
        <w:tc>
          <w:tcPr>
            <w:tcW w:w="212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证监发[2002]6号</w:t>
            </w:r>
          </w:p>
        </w:tc>
        <w:tc>
          <w:tcPr>
            <w:tcW w:w="1729"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2002年1月23日</w:t>
            </w:r>
          </w:p>
        </w:tc>
        <w:tc>
          <w:tcPr>
            <w:tcW w:w="1958" w:type="dxa"/>
            <w:tcBorders>
              <w:top w:val="nil"/>
              <w:left w:val="nil"/>
              <w:bottom w:val="single" w:sz="6" w:space="0" w:color="000000"/>
              <w:right w:val="single" w:sz="6" w:space="0" w:color="000000"/>
            </w:tcBorders>
            <w:tcMar>
              <w:top w:w="0" w:type="dxa"/>
              <w:left w:w="108" w:type="dxa"/>
              <w:bottom w:w="0" w:type="dxa"/>
              <w:right w:w="108" w:type="dxa"/>
            </w:tcMar>
            <w:hideMark/>
          </w:tcPr>
          <w:p w:rsidR="008F5099" w:rsidRPr="008F5099" w:rsidRDefault="008F5099" w:rsidP="008F5099">
            <w:pPr>
              <w:widowControl/>
              <w:wordWrap w:val="0"/>
              <w:spacing w:before="90" w:after="90" w:line="240" w:lineRule="auto"/>
              <w:ind w:firstLineChars="0" w:firstLine="0"/>
              <w:jc w:val="left"/>
              <w:rPr>
                <w:rFonts w:ascii="宋体" w:hAnsi="宋体" w:cs="宋体"/>
                <w:kern w:val="0"/>
                <w:sz w:val="21"/>
                <w:szCs w:val="21"/>
              </w:rPr>
            </w:pPr>
            <w:r w:rsidRPr="008F5099">
              <w:rPr>
                <w:rFonts w:ascii="宋体" w:hAnsi="宋体" w:cs="宋体" w:hint="eastAsia"/>
                <w:kern w:val="0"/>
                <w:sz w:val="21"/>
                <w:szCs w:val="21"/>
              </w:rPr>
              <w:t>证监会令第48号</w:t>
            </w:r>
          </w:p>
        </w:tc>
      </w:tr>
    </w:tbl>
    <w:p w:rsidR="008F5099" w:rsidRPr="008F5099" w:rsidRDefault="008F5099" w:rsidP="00652DF6">
      <w:pPr>
        <w:widowControl/>
        <w:wordWrap w:val="0"/>
        <w:snapToGrid w:val="0"/>
        <w:spacing w:before="90" w:after="100" w:line="240" w:lineRule="auto"/>
        <w:ind w:firstLineChars="0" w:firstLine="0"/>
        <w:jc w:val="left"/>
        <w:rPr>
          <w:rFonts w:ascii="宋体" w:hAnsi="宋体" w:cs="宋体" w:hint="eastAsia"/>
          <w:kern w:val="0"/>
          <w:sz w:val="21"/>
          <w:szCs w:val="21"/>
        </w:rPr>
      </w:pP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4D53"/>
    <w:rsid w:val="001A5FF1"/>
    <w:rsid w:val="00336292"/>
    <w:rsid w:val="004E362B"/>
    <w:rsid w:val="004F4D53"/>
    <w:rsid w:val="006150EA"/>
    <w:rsid w:val="00652DF6"/>
    <w:rsid w:val="006865F6"/>
    <w:rsid w:val="007C2CB2"/>
    <w:rsid w:val="008B1807"/>
    <w:rsid w:val="008F5099"/>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09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8F5099"/>
    <w:rPr>
      <w:b/>
      <w:bCs/>
    </w:rPr>
  </w:style>
  <w:style w:type="paragraph" w:customStyle="1" w:styleId="01">
    <w:name w:val="01"/>
    <w:basedOn w:val="a"/>
    <w:rsid w:val="008F5099"/>
    <w:pPr>
      <w:widowControl/>
      <w:wordWrap w:val="0"/>
      <w:spacing w:before="90" w:after="90" w:line="240" w:lineRule="auto"/>
      <w:ind w:firstLineChars="0" w:firstLine="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486582277">
      <w:bodyDiv w:val="1"/>
      <w:marLeft w:val="0"/>
      <w:marRight w:val="0"/>
      <w:marTop w:val="0"/>
      <w:marBottom w:val="0"/>
      <w:divBdr>
        <w:top w:val="none" w:sz="0" w:space="0" w:color="auto"/>
        <w:left w:val="none" w:sz="0" w:space="0" w:color="auto"/>
        <w:bottom w:val="none" w:sz="0" w:space="0" w:color="auto"/>
        <w:right w:val="none" w:sz="0" w:space="0" w:color="auto"/>
      </w:divBdr>
      <w:divsChild>
        <w:div w:id="846332350">
          <w:marLeft w:val="0"/>
          <w:marRight w:val="0"/>
          <w:marTop w:val="0"/>
          <w:marBottom w:val="0"/>
          <w:divBdr>
            <w:top w:val="none" w:sz="0" w:space="0" w:color="auto"/>
            <w:left w:val="none" w:sz="0" w:space="0" w:color="auto"/>
            <w:bottom w:val="none" w:sz="0" w:space="0" w:color="auto"/>
            <w:right w:val="none" w:sz="0" w:space="0" w:color="auto"/>
          </w:divBdr>
          <w:divsChild>
            <w:div w:id="1118649012">
              <w:marLeft w:val="0"/>
              <w:marRight w:val="0"/>
              <w:marTop w:val="0"/>
              <w:marBottom w:val="0"/>
              <w:divBdr>
                <w:top w:val="none" w:sz="0" w:space="0" w:color="auto"/>
                <w:left w:val="none" w:sz="0" w:space="0" w:color="auto"/>
                <w:bottom w:val="none" w:sz="0" w:space="0" w:color="auto"/>
                <w:right w:val="none" w:sz="0" w:space="0" w:color="auto"/>
              </w:divBdr>
              <w:divsChild>
                <w:div w:id="1853837559">
                  <w:marLeft w:val="0"/>
                  <w:marRight w:val="0"/>
                  <w:marTop w:val="0"/>
                  <w:marBottom w:val="0"/>
                  <w:divBdr>
                    <w:top w:val="none" w:sz="0" w:space="0" w:color="auto"/>
                    <w:left w:val="none" w:sz="0" w:space="0" w:color="auto"/>
                    <w:bottom w:val="none" w:sz="0" w:space="0" w:color="auto"/>
                    <w:right w:val="none" w:sz="0" w:space="0" w:color="auto"/>
                  </w:divBdr>
                  <w:divsChild>
                    <w:div w:id="912394658">
                      <w:marLeft w:val="0"/>
                      <w:marRight w:val="0"/>
                      <w:marTop w:val="0"/>
                      <w:marBottom w:val="0"/>
                      <w:divBdr>
                        <w:top w:val="none" w:sz="0" w:space="0" w:color="auto"/>
                        <w:left w:val="none" w:sz="0" w:space="0" w:color="auto"/>
                        <w:bottom w:val="none" w:sz="0" w:space="0" w:color="auto"/>
                        <w:right w:val="none" w:sz="0" w:space="0" w:color="auto"/>
                      </w:divBdr>
                    </w:div>
                    <w:div w:id="1365523126">
                      <w:marLeft w:val="0"/>
                      <w:marRight w:val="0"/>
                      <w:marTop w:val="0"/>
                      <w:marBottom w:val="0"/>
                      <w:divBdr>
                        <w:top w:val="none" w:sz="0" w:space="0" w:color="auto"/>
                        <w:left w:val="none" w:sz="0" w:space="0" w:color="auto"/>
                        <w:bottom w:val="none" w:sz="0" w:space="0" w:color="auto"/>
                        <w:right w:val="none" w:sz="0" w:space="0" w:color="auto"/>
                      </w:divBdr>
                      <w:divsChild>
                        <w:div w:id="71660944">
                          <w:marLeft w:val="0"/>
                          <w:marRight w:val="0"/>
                          <w:marTop w:val="0"/>
                          <w:marBottom w:val="0"/>
                          <w:divBdr>
                            <w:top w:val="none" w:sz="0" w:space="0" w:color="auto"/>
                            <w:left w:val="none" w:sz="0" w:space="0" w:color="auto"/>
                            <w:bottom w:val="none" w:sz="0" w:space="0" w:color="auto"/>
                            <w:right w:val="none" w:sz="0" w:space="0" w:color="auto"/>
                          </w:divBdr>
                          <w:divsChild>
                            <w:div w:id="77866904">
                              <w:marLeft w:val="0"/>
                              <w:marRight w:val="0"/>
                              <w:marTop w:val="0"/>
                              <w:marBottom w:val="0"/>
                              <w:divBdr>
                                <w:top w:val="none" w:sz="0" w:space="0" w:color="auto"/>
                                <w:left w:val="none" w:sz="0" w:space="0" w:color="auto"/>
                                <w:bottom w:val="none" w:sz="0" w:space="0" w:color="auto"/>
                                <w:right w:val="none" w:sz="0" w:space="0" w:color="auto"/>
                              </w:divBdr>
                              <w:divsChild>
                                <w:div w:id="6272019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2014-01-15T06:44:00Z</dcterms:created>
  <dcterms:modified xsi:type="dcterms:W3CDTF">2014-01-15T06:45:00Z</dcterms:modified>
</cp:coreProperties>
</file>