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E9" w:rsidRPr="00184635" w:rsidRDefault="00604CE9" w:rsidP="00604CE9">
      <w:pPr>
        <w:spacing w:line="0" w:lineRule="atLeast"/>
        <w:rPr>
          <w:rFonts w:ascii="Times New Roman" w:eastAsia="黑体" w:hAnsi="Times New Roman" w:cs="Times New Roman"/>
          <w:sz w:val="32"/>
          <w:szCs w:val="32"/>
        </w:rPr>
      </w:pPr>
      <w:r w:rsidRPr="00FE6892">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604CE9" w:rsidRDefault="00604CE9" w:rsidP="00604CE9">
      <w:pPr>
        <w:spacing w:line="0" w:lineRule="atLeast"/>
        <w:jc w:val="center"/>
        <w:rPr>
          <w:rFonts w:ascii="方正大标宋简体" w:eastAsia="方正大标宋简体" w:hAnsi="黑体"/>
          <w:sz w:val="44"/>
          <w:szCs w:val="44"/>
        </w:rPr>
      </w:pPr>
    </w:p>
    <w:p w:rsidR="00574A0D" w:rsidRDefault="00604CE9" w:rsidP="00604CE9">
      <w:pPr>
        <w:spacing w:line="0" w:lineRule="atLeast"/>
        <w:jc w:val="center"/>
        <w:rPr>
          <w:rFonts w:ascii="方正大标宋简体" w:eastAsia="方正大标宋简体" w:hAnsi="黑体"/>
          <w:sz w:val="44"/>
          <w:szCs w:val="44"/>
        </w:rPr>
      </w:pPr>
      <w:r w:rsidRPr="00564EB8">
        <w:rPr>
          <w:rFonts w:ascii="方正大标宋简体" w:eastAsia="方正大标宋简体" w:hAnsi="黑体"/>
          <w:sz w:val="44"/>
          <w:szCs w:val="44"/>
        </w:rPr>
        <w:t>《</w:t>
      </w:r>
      <w:r w:rsidRPr="00564EB8">
        <w:rPr>
          <w:rFonts w:ascii="方正大标宋简体" w:eastAsia="方正大标宋简体" w:hAnsi="黑体" w:hint="eastAsia"/>
          <w:sz w:val="44"/>
          <w:szCs w:val="44"/>
        </w:rPr>
        <w:t>关于退市公司进入退市板块挂牌转让的实施办法</w:t>
      </w:r>
      <w:r w:rsidRPr="00564EB8">
        <w:rPr>
          <w:rFonts w:ascii="方正大标宋简体" w:eastAsia="方正大标宋简体" w:hAnsi="黑体"/>
          <w:sz w:val="44"/>
          <w:szCs w:val="44"/>
        </w:rPr>
        <w:t>》</w:t>
      </w:r>
      <w:r w:rsidRPr="00564EB8">
        <w:rPr>
          <w:rFonts w:ascii="方正大标宋简体" w:eastAsia="方正大标宋简体" w:hAnsi="黑体" w:hint="eastAsia"/>
          <w:sz w:val="44"/>
          <w:szCs w:val="44"/>
        </w:rPr>
        <w:t>（征求</w:t>
      </w:r>
      <w:r w:rsidRPr="00564EB8">
        <w:rPr>
          <w:rFonts w:ascii="方正大标宋简体" w:eastAsia="方正大标宋简体" w:hAnsi="黑体"/>
          <w:sz w:val="44"/>
          <w:szCs w:val="44"/>
        </w:rPr>
        <w:t>意见稿</w:t>
      </w:r>
      <w:r w:rsidRPr="00564EB8">
        <w:rPr>
          <w:rFonts w:ascii="方正大标宋简体" w:eastAsia="方正大标宋简体" w:hAnsi="黑体" w:hint="eastAsia"/>
          <w:sz w:val="44"/>
          <w:szCs w:val="44"/>
        </w:rPr>
        <w:t>）起草</w:t>
      </w:r>
      <w:r w:rsidRPr="00564EB8">
        <w:rPr>
          <w:rFonts w:ascii="方正大标宋简体" w:eastAsia="方正大标宋简体" w:hAnsi="黑体"/>
          <w:sz w:val="44"/>
          <w:szCs w:val="44"/>
        </w:rPr>
        <w:t>说明</w:t>
      </w:r>
    </w:p>
    <w:p w:rsidR="00604CE9" w:rsidRDefault="00604CE9" w:rsidP="00604CE9">
      <w:pPr>
        <w:spacing w:line="0" w:lineRule="atLeast"/>
        <w:jc w:val="center"/>
        <w:rPr>
          <w:rFonts w:ascii="方正大标宋简体" w:eastAsia="方正大标宋简体" w:hAnsi="黑体"/>
          <w:sz w:val="44"/>
          <w:szCs w:val="44"/>
        </w:rPr>
      </w:pPr>
    </w:p>
    <w:p w:rsidR="00574A0D" w:rsidRDefault="00E657E3">
      <w:pPr>
        <w:ind w:firstLineChars="200" w:firstLine="640"/>
        <w:rPr>
          <w:rFonts w:ascii="仿宋" w:eastAsia="仿宋" w:hAnsi="仿宋"/>
          <w:sz w:val="32"/>
          <w:szCs w:val="32"/>
        </w:rPr>
      </w:pPr>
      <w:r>
        <w:rPr>
          <w:rFonts w:ascii="仿宋" w:eastAsia="仿宋" w:hAnsi="仿宋" w:hint="eastAsia"/>
          <w:sz w:val="32"/>
          <w:szCs w:val="32"/>
        </w:rPr>
        <w:t>完善</w:t>
      </w:r>
      <w:r w:rsidR="004773D1">
        <w:rPr>
          <w:rFonts w:ascii="仿宋" w:eastAsia="仿宋" w:hAnsi="仿宋" w:hint="eastAsia"/>
          <w:sz w:val="32"/>
          <w:szCs w:val="32"/>
        </w:rPr>
        <w:t>上市</w:t>
      </w:r>
      <w:r>
        <w:rPr>
          <w:rFonts w:ascii="仿宋" w:eastAsia="仿宋" w:hAnsi="仿宋" w:hint="eastAsia"/>
          <w:sz w:val="32"/>
          <w:szCs w:val="32"/>
        </w:rPr>
        <w:t>公司</w:t>
      </w:r>
      <w:r w:rsidR="004773D1">
        <w:rPr>
          <w:rFonts w:ascii="仿宋" w:eastAsia="仿宋" w:hAnsi="仿宋" w:hint="eastAsia"/>
          <w:sz w:val="32"/>
          <w:szCs w:val="32"/>
        </w:rPr>
        <w:t>退市</w:t>
      </w:r>
      <w:r w:rsidR="004773D1">
        <w:rPr>
          <w:rFonts w:ascii="仿宋" w:eastAsia="仿宋" w:hAnsi="仿宋"/>
          <w:sz w:val="32"/>
          <w:szCs w:val="32"/>
        </w:rPr>
        <w:t>后</w:t>
      </w:r>
      <w:r>
        <w:rPr>
          <w:rFonts w:ascii="仿宋" w:eastAsia="仿宋" w:hAnsi="仿宋" w:hint="eastAsia"/>
          <w:sz w:val="32"/>
          <w:szCs w:val="32"/>
        </w:rPr>
        <w:t>监管</w:t>
      </w:r>
      <w:r w:rsidR="004773D1">
        <w:rPr>
          <w:rFonts w:ascii="仿宋" w:eastAsia="仿宋" w:hAnsi="仿宋" w:hint="eastAsia"/>
          <w:sz w:val="32"/>
          <w:szCs w:val="32"/>
        </w:rPr>
        <w:t>工作</w:t>
      </w:r>
      <w:r>
        <w:rPr>
          <w:rFonts w:ascii="仿宋" w:eastAsia="仿宋" w:hAnsi="仿宋" w:hint="eastAsia"/>
          <w:sz w:val="32"/>
          <w:szCs w:val="32"/>
        </w:rPr>
        <w:t>是健全上市公司退市机制的重要内容，在保障退市制度平稳实施、保护投资者合法权益、防范市场风险等方面发挥着重要作用。为适应注册制改革和常态化退市的要求，落实《</w:t>
      </w:r>
      <w:r w:rsidR="004773D1" w:rsidRPr="004773D1">
        <w:rPr>
          <w:rFonts w:ascii="仿宋" w:eastAsia="仿宋" w:hAnsi="仿宋" w:hint="eastAsia"/>
          <w:sz w:val="32"/>
          <w:szCs w:val="32"/>
        </w:rPr>
        <w:t>关于完善上市公司退市后监管工作的指导意见</w:t>
      </w:r>
      <w:r>
        <w:rPr>
          <w:rFonts w:ascii="仿宋" w:eastAsia="仿宋" w:hAnsi="仿宋" w:hint="eastAsia"/>
          <w:sz w:val="32"/>
          <w:szCs w:val="32"/>
        </w:rPr>
        <w:t>》（以下简称《指导意见》），在中国证监会（以下简称证监会）的指导下，上海证券交易所、深圳证券交易所、北京证券交易所（以下统称交易所）、</w:t>
      </w:r>
      <w:r w:rsidR="00984E54">
        <w:rPr>
          <w:rFonts w:ascii="仿宋" w:eastAsia="仿宋" w:hAnsi="仿宋" w:hint="eastAsia"/>
          <w:sz w:val="32"/>
          <w:szCs w:val="32"/>
        </w:rPr>
        <w:t>全国中小企业股份转让系统有限责任公司（以下简称全国股转公司）和</w:t>
      </w:r>
      <w:r>
        <w:rPr>
          <w:rFonts w:ascii="仿宋" w:eastAsia="仿宋" w:hAnsi="仿宋" w:hint="eastAsia"/>
          <w:sz w:val="32"/>
          <w:szCs w:val="32"/>
        </w:rPr>
        <w:t>中国证券登记结算有限</w:t>
      </w:r>
      <w:r w:rsidR="00FA56CD">
        <w:rPr>
          <w:rFonts w:ascii="仿宋" w:eastAsia="仿宋" w:hAnsi="仿宋" w:hint="eastAsia"/>
          <w:sz w:val="32"/>
          <w:szCs w:val="32"/>
        </w:rPr>
        <w:t>责任</w:t>
      </w:r>
      <w:r>
        <w:rPr>
          <w:rFonts w:ascii="仿宋" w:eastAsia="仿宋" w:hAnsi="仿宋" w:hint="eastAsia"/>
          <w:sz w:val="32"/>
          <w:szCs w:val="32"/>
        </w:rPr>
        <w:t>公司（以下简称中国结算）联合起草了《关于退市公司进入退市板块挂牌转让的实施办法》（以下简称《实施办法》），现就有关事项说明如下：</w:t>
      </w:r>
    </w:p>
    <w:p w:rsidR="00574A0D" w:rsidRDefault="00E657E3">
      <w:pPr>
        <w:ind w:firstLineChars="200" w:firstLine="640"/>
        <w:rPr>
          <w:rFonts w:ascii="黑体" w:eastAsia="黑体" w:hAnsi="黑体"/>
          <w:sz w:val="32"/>
          <w:szCs w:val="32"/>
        </w:rPr>
      </w:pPr>
      <w:r>
        <w:rPr>
          <w:rFonts w:ascii="黑体" w:eastAsia="黑体" w:hAnsi="黑体" w:hint="eastAsia"/>
          <w:sz w:val="32"/>
          <w:szCs w:val="32"/>
        </w:rPr>
        <w:t>一、起草背景</w:t>
      </w:r>
    </w:p>
    <w:p w:rsidR="00574A0D" w:rsidRDefault="00E657E3">
      <w:pPr>
        <w:ind w:firstLine="640"/>
        <w:rPr>
          <w:rFonts w:ascii="仿宋" w:eastAsia="仿宋" w:hAnsi="仿宋"/>
          <w:sz w:val="32"/>
          <w:szCs w:val="32"/>
        </w:rPr>
      </w:pPr>
      <w:r>
        <w:rPr>
          <w:rFonts w:ascii="仿宋" w:eastAsia="仿宋" w:hAnsi="仿宋" w:hint="eastAsia"/>
          <w:sz w:val="32"/>
          <w:szCs w:val="32"/>
        </w:rPr>
        <w:t>2001年退市制度实施以来，在证监会的指导下，经过各方的共同努力，逐步探索建立了主办券商督导、股票分类转让等符合退市公司管理的挂牌交易和持续监管制度，实践中运行较为平稳。随着注册制改革的深入推进、常态化退市机制进一步完善，退市公司数量呈现快速增加的态势，部分制</w:t>
      </w:r>
      <w:r>
        <w:rPr>
          <w:rFonts w:ascii="仿宋" w:eastAsia="仿宋" w:hAnsi="仿宋" w:hint="eastAsia"/>
          <w:sz w:val="32"/>
          <w:szCs w:val="32"/>
        </w:rPr>
        <w:lastRenderedPageBreak/>
        <w:t>度安排已无法适应当前的监管形势。实践中退市程序衔接不畅，退市公司挂牌难、耗时长的问题较为突出。由于退市衔接与退市公司挂牌需交易所、中国结算与全国股转公司的多方共同配合，此次《实施办法》由五家单位联合起草发布。</w:t>
      </w:r>
    </w:p>
    <w:p w:rsidR="00574A0D" w:rsidRDefault="00E657E3">
      <w:pPr>
        <w:ind w:firstLineChars="200" w:firstLine="640"/>
        <w:rPr>
          <w:rFonts w:ascii="黑体" w:eastAsia="黑体" w:hAnsi="黑体"/>
          <w:sz w:val="32"/>
          <w:szCs w:val="32"/>
        </w:rPr>
      </w:pPr>
      <w:r>
        <w:rPr>
          <w:rFonts w:ascii="黑体" w:eastAsia="黑体" w:hAnsi="黑体" w:hint="eastAsia"/>
          <w:sz w:val="32"/>
          <w:szCs w:val="32"/>
        </w:rPr>
        <w:t>二、起草思路</w:t>
      </w:r>
    </w:p>
    <w:p w:rsidR="00574A0D" w:rsidRDefault="00E657E3">
      <w:pPr>
        <w:ind w:firstLine="640"/>
        <w:rPr>
          <w:rFonts w:ascii="仿宋" w:eastAsia="仿宋" w:hAnsi="仿宋"/>
          <w:sz w:val="32"/>
          <w:szCs w:val="32"/>
        </w:rPr>
      </w:pPr>
      <w:r>
        <w:rPr>
          <w:rFonts w:ascii="仿宋" w:eastAsia="仿宋" w:hAnsi="仿宋" w:hint="eastAsia"/>
          <w:sz w:val="32"/>
          <w:szCs w:val="32"/>
        </w:rPr>
        <w:t>《实施办法》以《证券法》《指导意见》等相关规定为基础，结合退市公司挂牌过程中主要存在的退市公司配合度不高、主办券商承接机制不畅、确权程序复杂等问题，从制度安排、程序优化等方面明确了“见实效、可落地”的处置措施。起草思路如下：</w:t>
      </w:r>
    </w:p>
    <w:p w:rsidR="00574A0D" w:rsidRDefault="00E657E3">
      <w:pPr>
        <w:ind w:firstLine="640"/>
        <w:rPr>
          <w:rFonts w:ascii="黑体" w:eastAsia="黑体" w:hAnsi="黑体"/>
          <w:sz w:val="32"/>
          <w:szCs w:val="32"/>
        </w:rPr>
      </w:pPr>
      <w:r>
        <w:rPr>
          <w:rFonts w:ascii="仿宋" w:eastAsia="仿宋" w:hAnsi="仿宋" w:hint="eastAsia"/>
          <w:b/>
          <w:bCs/>
          <w:sz w:val="32"/>
          <w:szCs w:val="32"/>
        </w:rPr>
        <w:t>一是坚持稳中求进，适度优化调整。</w:t>
      </w:r>
      <w:r>
        <w:rPr>
          <w:rFonts w:ascii="仿宋" w:eastAsia="仿宋" w:hAnsi="仿宋" w:hint="eastAsia"/>
          <w:sz w:val="32"/>
          <w:szCs w:val="32"/>
        </w:rPr>
        <w:t>退市板块经过多年的探索，已经形成了符合自身特点的制度安排。此次制度完善围绕着“坚持前期制度的总体安排，不作根本性调整，同时适应常态化退市的要求”的基本思路开展。对于实践中存在问题、运行不畅的规定进行有针对性的优化调整，而对于资本市场普遍适用的制度安排，则予以吸纳借鉴。</w:t>
      </w:r>
    </w:p>
    <w:p w:rsidR="00574A0D" w:rsidRDefault="00E657E3">
      <w:pPr>
        <w:ind w:firstLine="640"/>
        <w:rPr>
          <w:rFonts w:ascii="仿宋" w:eastAsia="仿宋" w:hAnsi="仿宋"/>
          <w:sz w:val="32"/>
          <w:szCs w:val="32"/>
        </w:rPr>
      </w:pPr>
      <w:r>
        <w:rPr>
          <w:rFonts w:ascii="仿宋" w:eastAsia="仿宋" w:hAnsi="仿宋" w:hint="eastAsia"/>
          <w:b/>
          <w:bCs/>
          <w:sz w:val="32"/>
          <w:szCs w:val="32"/>
        </w:rPr>
        <w:t>二是坚持系统观念，各方协同配合。</w:t>
      </w:r>
      <w:r>
        <w:rPr>
          <w:rFonts w:ascii="仿宋" w:eastAsia="仿宋" w:hAnsi="仿宋" w:hint="eastAsia"/>
          <w:sz w:val="32"/>
          <w:szCs w:val="32"/>
        </w:rPr>
        <w:t>退市公司及时进入退市板块挂牌是推动退市公司平稳、顺畅退出交易所市场的重要保障，各方主体应积极配合，坚持系统观念，承担相应的社会责任，保护投资者的合法权益。</w:t>
      </w:r>
    </w:p>
    <w:p w:rsidR="00574A0D" w:rsidRDefault="00E657E3">
      <w:pPr>
        <w:ind w:firstLine="640"/>
        <w:rPr>
          <w:rFonts w:ascii="仿宋" w:eastAsia="仿宋" w:hAnsi="仿宋"/>
          <w:sz w:val="32"/>
          <w:szCs w:val="32"/>
        </w:rPr>
      </w:pPr>
      <w:r>
        <w:rPr>
          <w:rFonts w:ascii="仿宋" w:eastAsia="仿宋" w:hAnsi="仿宋" w:hint="eastAsia"/>
          <w:b/>
          <w:bCs/>
          <w:sz w:val="32"/>
          <w:szCs w:val="32"/>
        </w:rPr>
        <w:t>三是坚持实事求是，完善程序安排。</w:t>
      </w:r>
      <w:r>
        <w:rPr>
          <w:rFonts w:ascii="仿宋" w:eastAsia="仿宋" w:hAnsi="仿宋" w:hint="eastAsia"/>
          <w:sz w:val="32"/>
          <w:szCs w:val="32"/>
        </w:rPr>
        <w:t>充分考虑退市公司实际情况，对于原申请挂牌程序进行优化调整，减少不必要</w:t>
      </w:r>
      <w:r>
        <w:rPr>
          <w:rFonts w:ascii="仿宋" w:eastAsia="仿宋" w:hAnsi="仿宋" w:hint="eastAsia"/>
          <w:sz w:val="32"/>
          <w:szCs w:val="32"/>
        </w:rPr>
        <w:lastRenderedPageBreak/>
        <w:t>的申请材料。为主办券商办理确权登记提供便利，实现数据共享。提供投资者线上办理路径，“让信息多跑路、群众少跑腿”。</w:t>
      </w:r>
    </w:p>
    <w:p w:rsidR="00574A0D" w:rsidRDefault="00E657E3">
      <w:pPr>
        <w:ind w:firstLineChars="200" w:firstLine="640"/>
        <w:rPr>
          <w:rFonts w:ascii="黑体" w:eastAsia="黑体" w:hAnsi="黑体"/>
          <w:sz w:val="32"/>
          <w:szCs w:val="32"/>
        </w:rPr>
      </w:pPr>
      <w:r>
        <w:rPr>
          <w:rFonts w:ascii="黑体" w:eastAsia="黑体" w:hAnsi="黑体" w:hint="eastAsia"/>
          <w:sz w:val="32"/>
          <w:szCs w:val="32"/>
        </w:rPr>
        <w:t>三、主要内容</w:t>
      </w:r>
    </w:p>
    <w:p w:rsidR="00574A0D" w:rsidRDefault="00E657E3">
      <w:pPr>
        <w:ind w:firstLineChars="200" w:firstLine="640"/>
        <w:rPr>
          <w:rFonts w:ascii="仿宋" w:eastAsia="仿宋" w:hAnsi="仿宋"/>
          <w:sz w:val="32"/>
          <w:szCs w:val="32"/>
        </w:rPr>
      </w:pPr>
      <w:r>
        <w:rPr>
          <w:rFonts w:ascii="仿宋" w:eastAsia="仿宋" w:hAnsi="仿宋" w:hint="eastAsia"/>
          <w:sz w:val="32"/>
          <w:szCs w:val="32"/>
        </w:rPr>
        <w:t>《实施办法》包括总则、交易所退出安排、退市公司股票确权登记程序、股票挂牌与转让、自律管理、附则6个部分，主要内容如下：</w:t>
      </w:r>
    </w:p>
    <w:p w:rsidR="00574A0D" w:rsidRDefault="00A02A0E" w:rsidP="00A02A0E">
      <w:pPr>
        <w:rPr>
          <w:rFonts w:ascii="仿宋" w:eastAsia="仿宋" w:hAnsi="仿宋"/>
          <w:sz w:val="32"/>
          <w:szCs w:val="32"/>
        </w:rPr>
      </w:pPr>
      <w:r>
        <w:rPr>
          <w:rFonts w:ascii="仿宋" w:eastAsia="仿宋" w:hAnsi="仿宋" w:hint="eastAsia"/>
          <w:b/>
          <w:sz w:val="32"/>
          <w:szCs w:val="32"/>
        </w:rPr>
        <w:t xml:space="preserve">    （一）</w:t>
      </w:r>
      <w:r w:rsidR="00E657E3" w:rsidRPr="002F27D3">
        <w:rPr>
          <w:rFonts w:ascii="仿宋" w:eastAsia="仿宋" w:hAnsi="仿宋" w:hint="eastAsia"/>
          <w:b/>
          <w:sz w:val="32"/>
          <w:szCs w:val="32"/>
        </w:rPr>
        <w:t>明确适用范围与各方职责。</w:t>
      </w:r>
      <w:r w:rsidR="00E657E3">
        <w:rPr>
          <w:rFonts w:ascii="仿宋" w:eastAsia="仿宋" w:hAnsi="仿宋" w:hint="eastAsia"/>
          <w:sz w:val="32"/>
          <w:szCs w:val="32"/>
        </w:rPr>
        <w:t>一是明确了《实施办法》的适用范围，即交易所退市公司股票退出交易所、进入退市板块挂牌转让适用《实施办法》。二是原则性要求退市公司应当在摘牌后45个交易日进入退市板块挂牌转让。三是明确了退市公司、主办券商、交易所、中国结算和全国股转公司的义务或职责。四是明确</w:t>
      </w:r>
      <w:r w:rsidR="00E657E3">
        <w:rPr>
          <w:rFonts w:ascii="Times New Roman" w:eastAsia="仿宋_GB2312" w:hAnsi="Times New Roman" w:cs="Times New Roman" w:hint="eastAsia"/>
          <w:sz w:val="32"/>
          <w:szCs w:val="32"/>
        </w:rPr>
        <w:t>主办券商在接收原市场数据至办理完成退市板块登记业务期间，负责退市公司股份的确权和登记。凡应由退市公司办理而未办理的事项，原则上均由主办券商代为办理。</w:t>
      </w:r>
    </w:p>
    <w:p w:rsidR="00574A0D" w:rsidRDefault="00A02A0E" w:rsidP="00A02A0E">
      <w:pPr>
        <w:ind w:firstLineChars="200" w:firstLine="643"/>
        <w:rPr>
          <w:rFonts w:ascii="仿宋" w:eastAsia="仿宋" w:hAnsi="仿宋"/>
          <w:sz w:val="32"/>
          <w:szCs w:val="32"/>
        </w:rPr>
      </w:pPr>
      <w:r>
        <w:rPr>
          <w:rFonts w:ascii="仿宋" w:eastAsia="仿宋" w:hAnsi="仿宋" w:hint="eastAsia"/>
          <w:b/>
          <w:sz w:val="32"/>
          <w:szCs w:val="32"/>
        </w:rPr>
        <w:t>（二）</w:t>
      </w:r>
      <w:r w:rsidR="00E657E3" w:rsidRPr="002F27D3">
        <w:rPr>
          <w:rFonts w:ascii="仿宋" w:eastAsia="仿宋" w:hAnsi="仿宋" w:hint="eastAsia"/>
          <w:b/>
          <w:sz w:val="32"/>
          <w:szCs w:val="32"/>
        </w:rPr>
        <w:t>主办券商承接机制制度化。</w:t>
      </w:r>
      <w:r w:rsidR="00E657E3">
        <w:rPr>
          <w:rFonts w:ascii="仿宋" w:eastAsia="仿宋" w:hAnsi="仿宋" w:hint="eastAsia"/>
          <w:sz w:val="32"/>
          <w:szCs w:val="32"/>
        </w:rPr>
        <w:t>一是将主办券商确定的时点前移，将主办券商最终的确认时点前移至退市公司摘牌前，为后续的登记确权、挂牌转让预留足够时间。二是明确了交易所协调确定的基本原则，即</w:t>
      </w:r>
      <w:r w:rsidRPr="00287BF2">
        <w:rPr>
          <w:rFonts w:ascii="仿宋" w:eastAsia="仿宋" w:hAnsi="仿宋" w:hint="eastAsia"/>
          <w:sz w:val="32"/>
          <w:szCs w:val="32"/>
        </w:rPr>
        <w:t>退市公司未在规定期限内聘请主办券商的，由</w:t>
      </w:r>
      <w:r w:rsidR="00E657E3">
        <w:rPr>
          <w:rFonts w:ascii="仿宋" w:eastAsia="仿宋" w:hAnsi="仿宋" w:hint="eastAsia"/>
          <w:sz w:val="32"/>
          <w:szCs w:val="32"/>
        </w:rPr>
        <w:t>最近一次担任公司保荐机构、财务顾问的证券公司作为主办券商，并明确如证券公司主体发生变</w:t>
      </w:r>
      <w:r w:rsidR="00E657E3">
        <w:rPr>
          <w:rFonts w:ascii="仿宋" w:eastAsia="仿宋" w:hAnsi="仿宋" w:hint="eastAsia"/>
          <w:sz w:val="32"/>
          <w:szCs w:val="32"/>
        </w:rPr>
        <w:lastRenderedPageBreak/>
        <w:t>更后主办券商的确定方式。三是将主办券商通过市场化方式主动承接退市公司作为其履行社会责任的重要体现，在证券公司分类评价中予以考虑，形成正向激励机制。</w:t>
      </w:r>
      <w:r w:rsidR="00E657E3">
        <w:rPr>
          <w:rFonts w:ascii="Times New Roman" w:eastAsia="仿宋_GB2312" w:hAnsi="Times New Roman" w:cs="Times New Roman" w:hint="eastAsia"/>
          <w:sz w:val="32"/>
          <w:szCs w:val="32"/>
        </w:rPr>
        <w:t>主办券商怠于履行职责的，相关单位可采取自律管理措施。</w:t>
      </w:r>
    </w:p>
    <w:p w:rsidR="00706689" w:rsidRDefault="00A02A0E" w:rsidP="00706689">
      <w:pPr>
        <w:ind w:firstLineChars="200" w:firstLine="643"/>
        <w:rPr>
          <w:rFonts w:ascii="仿宋" w:eastAsia="仿宋" w:hAnsi="仿宋"/>
          <w:sz w:val="32"/>
          <w:szCs w:val="32"/>
        </w:rPr>
      </w:pPr>
      <w:r>
        <w:rPr>
          <w:rFonts w:ascii="仿宋" w:eastAsia="仿宋" w:hAnsi="仿宋" w:hint="eastAsia"/>
          <w:b/>
          <w:sz w:val="32"/>
          <w:szCs w:val="32"/>
        </w:rPr>
        <w:t>（三）</w:t>
      </w:r>
      <w:r w:rsidR="00E657E3" w:rsidRPr="002F27D3">
        <w:rPr>
          <w:rFonts w:ascii="仿宋" w:eastAsia="仿宋" w:hAnsi="仿宋" w:hint="eastAsia"/>
          <w:b/>
          <w:sz w:val="32"/>
          <w:szCs w:val="32"/>
        </w:rPr>
        <w:t>优化股票确权登记安排。</w:t>
      </w:r>
      <w:r w:rsidR="00E657E3">
        <w:rPr>
          <w:rFonts w:ascii="仿宋" w:eastAsia="仿宋" w:hAnsi="仿宋" w:hint="eastAsia"/>
          <w:sz w:val="32"/>
          <w:szCs w:val="32"/>
        </w:rPr>
        <w:t>确定了股票确权登记有关“简化程序、数据共享、线上办理”的总体安排。一是简化确权登记程序。中国结算提供证券账户及登记数据格式初步转换服务，并尽量精简业务办理材料，大幅降低主办券商信息采集及转换工作量。</w:t>
      </w:r>
      <w:r w:rsidR="00E657E3">
        <w:rPr>
          <w:rFonts w:ascii="Times New Roman" w:eastAsia="仿宋_GB2312" w:hAnsi="Times New Roman" w:cs="Times New Roman" w:hint="eastAsia"/>
          <w:sz w:val="32"/>
          <w:szCs w:val="32"/>
        </w:rPr>
        <w:t>对于深市证券账户，因可直接在退市板块使用，无需进行证券账户转换；对于沪市证券账户，因暂无法直接在退市板块使用，中国结算为市场提供证券账户初步转换服务。</w:t>
      </w:r>
      <w:r w:rsidR="00E657E3">
        <w:rPr>
          <w:rFonts w:ascii="仿宋" w:eastAsia="仿宋" w:hAnsi="仿宋" w:hint="eastAsia"/>
          <w:sz w:val="32"/>
          <w:szCs w:val="32"/>
        </w:rPr>
        <w:t>二是各托管券商应主动报送托管退市</w:t>
      </w:r>
      <w:r w:rsidR="00E657E3">
        <w:rPr>
          <w:rFonts w:ascii="仿宋_GB2312" w:eastAsia="仿宋_GB2312" w:hAnsi="仿宋_GB2312" w:cs="仿宋_GB2312" w:hint="eastAsia"/>
          <w:sz w:val="32"/>
          <w:szCs w:val="32"/>
        </w:rPr>
        <w:t>公司</w:t>
      </w:r>
      <w:r w:rsidR="00E657E3">
        <w:rPr>
          <w:rFonts w:ascii="仿宋" w:eastAsia="仿宋" w:hAnsi="仿宋" w:hint="eastAsia"/>
          <w:sz w:val="32"/>
          <w:szCs w:val="32"/>
        </w:rPr>
        <w:t>股份的托管单元，由中国结算进行维护更新并发布，主办券商据此批量</w:t>
      </w:r>
      <w:r w:rsidR="00E657E3">
        <w:rPr>
          <w:rFonts w:ascii="Times New Roman" w:eastAsia="仿宋_GB2312" w:hAnsi="Times New Roman" w:cs="Times New Roman" w:hint="eastAsia"/>
          <w:sz w:val="32"/>
          <w:szCs w:val="32"/>
        </w:rPr>
        <w:t>填报</w:t>
      </w:r>
      <w:r w:rsidR="00E657E3">
        <w:rPr>
          <w:rFonts w:ascii="仿宋" w:eastAsia="仿宋" w:hAnsi="仿宋" w:hint="eastAsia"/>
          <w:sz w:val="32"/>
          <w:szCs w:val="32"/>
        </w:rPr>
        <w:t>退市板块业务托管单元。三是托管券商应采取线上等方式</w:t>
      </w:r>
      <w:r w:rsidR="00B17A28">
        <w:rPr>
          <w:rFonts w:ascii="仿宋" w:eastAsia="仿宋" w:hAnsi="仿宋" w:hint="eastAsia"/>
          <w:sz w:val="32"/>
          <w:szCs w:val="32"/>
        </w:rPr>
        <w:t>为</w:t>
      </w:r>
      <w:r w:rsidR="00E657E3">
        <w:rPr>
          <w:rFonts w:ascii="仿宋" w:eastAsia="仿宋" w:hAnsi="仿宋" w:hint="eastAsia"/>
          <w:sz w:val="32"/>
          <w:szCs w:val="32"/>
        </w:rPr>
        <w:t>投资者办理</w:t>
      </w:r>
      <w:r w:rsidR="00B17A28">
        <w:rPr>
          <w:rFonts w:ascii="仿宋" w:eastAsia="仿宋" w:hAnsi="仿宋" w:hint="eastAsia"/>
          <w:sz w:val="32"/>
          <w:szCs w:val="32"/>
        </w:rPr>
        <w:t>退市</w:t>
      </w:r>
      <w:r w:rsidR="00B17A28">
        <w:rPr>
          <w:rFonts w:ascii="仿宋" w:eastAsia="仿宋" w:hAnsi="仿宋"/>
          <w:sz w:val="32"/>
          <w:szCs w:val="32"/>
        </w:rPr>
        <w:t>公司</w:t>
      </w:r>
      <w:r w:rsidR="00B17A28">
        <w:rPr>
          <w:rFonts w:ascii="仿宋" w:eastAsia="仿宋" w:hAnsi="仿宋" w:hint="eastAsia"/>
          <w:sz w:val="32"/>
          <w:szCs w:val="32"/>
        </w:rPr>
        <w:t>股份</w:t>
      </w:r>
      <w:r w:rsidR="00B17A28">
        <w:rPr>
          <w:rFonts w:ascii="仿宋" w:eastAsia="仿宋" w:hAnsi="仿宋"/>
          <w:sz w:val="32"/>
          <w:szCs w:val="32"/>
        </w:rPr>
        <w:t>确权</w:t>
      </w:r>
      <w:r w:rsidR="00B17A28">
        <w:rPr>
          <w:rFonts w:ascii="仿宋" w:eastAsia="仿宋" w:hAnsi="仿宋" w:hint="eastAsia"/>
          <w:sz w:val="32"/>
          <w:szCs w:val="32"/>
        </w:rPr>
        <w:t>及</w:t>
      </w:r>
      <w:r w:rsidR="00B17A28">
        <w:rPr>
          <w:rFonts w:ascii="仿宋" w:eastAsia="仿宋" w:hAnsi="仿宋"/>
          <w:sz w:val="32"/>
          <w:szCs w:val="32"/>
        </w:rPr>
        <w:t>退市板块</w:t>
      </w:r>
      <w:r w:rsidR="00E657E3">
        <w:rPr>
          <w:rFonts w:ascii="仿宋" w:eastAsia="仿宋" w:hAnsi="仿宋" w:hint="eastAsia"/>
          <w:sz w:val="32"/>
          <w:szCs w:val="32"/>
        </w:rPr>
        <w:t>交易结算手续</w:t>
      </w:r>
      <w:r w:rsidR="00B17A28">
        <w:rPr>
          <w:rFonts w:ascii="仿宋" w:eastAsia="仿宋" w:hAnsi="仿宋" w:hint="eastAsia"/>
          <w:sz w:val="32"/>
          <w:szCs w:val="32"/>
        </w:rPr>
        <w:t>提供</w:t>
      </w:r>
      <w:r w:rsidR="00B17A28">
        <w:rPr>
          <w:rFonts w:ascii="仿宋" w:eastAsia="仿宋" w:hAnsi="仿宋"/>
          <w:sz w:val="32"/>
          <w:szCs w:val="32"/>
        </w:rPr>
        <w:t>便利</w:t>
      </w:r>
      <w:r w:rsidR="00E657E3">
        <w:rPr>
          <w:rFonts w:ascii="仿宋" w:eastAsia="仿宋" w:hAnsi="仿宋" w:hint="eastAsia"/>
          <w:sz w:val="32"/>
          <w:szCs w:val="32"/>
        </w:rPr>
        <w:t>。四是压缩复杂业务规模。对于股票质押式回购、约定购回、融资融券、转融通、沪深股通等业务，明确退市公司在摘牌前应发布公告，提示托管券商、投资者及时了结业务，尽量压缩业务规模，减少挂账股份比例。</w:t>
      </w:r>
    </w:p>
    <w:p w:rsidR="00574A0D" w:rsidRDefault="00E657E3" w:rsidP="00706689">
      <w:pPr>
        <w:ind w:firstLineChars="200" w:firstLine="643"/>
        <w:rPr>
          <w:rFonts w:ascii="仿宋" w:eastAsia="仿宋" w:hAnsi="仿宋"/>
          <w:sz w:val="32"/>
          <w:szCs w:val="32"/>
        </w:rPr>
      </w:pPr>
      <w:bookmarkStart w:id="0" w:name="_GoBack"/>
      <w:bookmarkEnd w:id="0"/>
      <w:r w:rsidRPr="002F27D3">
        <w:rPr>
          <w:rFonts w:ascii="仿宋" w:eastAsia="仿宋" w:hAnsi="仿宋"/>
          <w:b/>
          <w:sz w:val="32"/>
          <w:szCs w:val="32"/>
        </w:rPr>
        <w:t>（四）明确挂牌要求与挂牌后的主要制度安排。</w:t>
      </w:r>
      <w:r>
        <w:rPr>
          <w:rFonts w:ascii="仿宋" w:eastAsia="仿宋" w:hAnsi="仿宋" w:hint="eastAsia"/>
          <w:sz w:val="32"/>
          <w:szCs w:val="32"/>
        </w:rPr>
        <w:t>一是大幅简化了退市公司挂牌流程，退市公司挂牌主要由主办券商驱动。并明确了退市公司进入退市板块的负面清单，解散、</w:t>
      </w:r>
      <w:r>
        <w:rPr>
          <w:rFonts w:ascii="仿宋" w:eastAsia="仿宋" w:hAnsi="仿宋" w:hint="eastAsia"/>
          <w:sz w:val="32"/>
          <w:szCs w:val="32"/>
        </w:rPr>
        <w:lastRenderedPageBreak/>
        <w:t>清算、被法院宣告破产的退市公司不得进入退市板块。二是明确了退市过程中限售、回购、股权激励等业务的衔接机制。三是明确了挂牌后主要制度安排。规定了退市公司实施重大资产重组、股票发行的条件，对退市公司的规范运行实施正向激励；明确了退市公司自律管理措施及退市公司强制退出的情形。</w:t>
      </w:r>
    </w:p>
    <w:p w:rsidR="002D3A57" w:rsidRPr="00E2529D" w:rsidRDefault="002D3A57" w:rsidP="002D3A57">
      <w:pPr>
        <w:ind w:firstLine="720"/>
        <w:rPr>
          <w:rFonts w:ascii="仿宋" w:eastAsia="仿宋" w:hAnsi="仿宋"/>
          <w:sz w:val="32"/>
          <w:szCs w:val="32"/>
        </w:rPr>
      </w:pPr>
      <w:r w:rsidRPr="00810869">
        <w:rPr>
          <w:rFonts w:ascii="仿宋" w:eastAsia="仿宋" w:hAnsi="仿宋" w:hint="eastAsia"/>
          <w:b/>
          <w:sz w:val="32"/>
          <w:szCs w:val="32"/>
        </w:rPr>
        <w:t>（五）</w:t>
      </w:r>
      <w:r>
        <w:rPr>
          <w:rFonts w:ascii="仿宋" w:eastAsia="仿宋" w:hAnsi="仿宋" w:hint="eastAsia"/>
          <w:b/>
          <w:sz w:val="32"/>
          <w:szCs w:val="32"/>
        </w:rPr>
        <w:t>匹配</w:t>
      </w:r>
      <w:r>
        <w:rPr>
          <w:rFonts w:ascii="仿宋" w:eastAsia="仿宋" w:hAnsi="仿宋"/>
          <w:b/>
          <w:sz w:val="32"/>
          <w:szCs w:val="32"/>
        </w:rPr>
        <w:t>适度的</w:t>
      </w:r>
      <w:r w:rsidRPr="00810869">
        <w:rPr>
          <w:rFonts w:ascii="仿宋" w:eastAsia="仿宋" w:hAnsi="仿宋"/>
          <w:b/>
          <w:sz w:val="32"/>
          <w:szCs w:val="32"/>
        </w:rPr>
        <w:t>投资者</w:t>
      </w:r>
      <w:r>
        <w:rPr>
          <w:rFonts w:ascii="仿宋" w:eastAsia="仿宋" w:hAnsi="仿宋" w:hint="eastAsia"/>
          <w:b/>
          <w:sz w:val="32"/>
          <w:szCs w:val="32"/>
        </w:rPr>
        <w:t>门槛要求</w:t>
      </w:r>
      <w:r w:rsidRPr="00810869">
        <w:rPr>
          <w:rFonts w:ascii="仿宋" w:eastAsia="仿宋" w:hAnsi="仿宋" w:hint="eastAsia"/>
          <w:b/>
          <w:sz w:val="32"/>
          <w:szCs w:val="32"/>
        </w:rPr>
        <w:t>。</w:t>
      </w:r>
      <w:r>
        <w:rPr>
          <w:rFonts w:ascii="仿宋" w:eastAsia="仿宋" w:hAnsi="仿宋" w:hint="eastAsia"/>
          <w:sz w:val="32"/>
          <w:szCs w:val="32"/>
        </w:rPr>
        <w:t>为</w:t>
      </w:r>
      <w:r>
        <w:rPr>
          <w:rFonts w:ascii="仿宋" w:eastAsia="仿宋" w:hAnsi="仿宋"/>
          <w:sz w:val="32"/>
          <w:szCs w:val="32"/>
        </w:rPr>
        <w:t>保护中小投资者利益，防范风险、</w:t>
      </w:r>
      <w:r>
        <w:rPr>
          <w:rFonts w:ascii="仿宋" w:eastAsia="仿宋" w:hAnsi="仿宋" w:hint="eastAsia"/>
          <w:sz w:val="32"/>
          <w:szCs w:val="32"/>
        </w:rPr>
        <w:t>抑制</w:t>
      </w:r>
      <w:r>
        <w:rPr>
          <w:rFonts w:ascii="仿宋" w:eastAsia="仿宋" w:hAnsi="仿宋"/>
          <w:sz w:val="32"/>
          <w:szCs w:val="32"/>
        </w:rPr>
        <w:t>炒作，根据</w:t>
      </w:r>
      <w:r>
        <w:rPr>
          <w:rFonts w:ascii="仿宋" w:eastAsia="仿宋" w:hAnsi="仿宋" w:hint="eastAsia"/>
          <w:sz w:val="32"/>
          <w:szCs w:val="32"/>
        </w:rPr>
        <w:t>中国</w:t>
      </w:r>
      <w:r>
        <w:rPr>
          <w:rFonts w:ascii="仿宋" w:eastAsia="仿宋" w:hAnsi="仿宋"/>
          <w:sz w:val="32"/>
          <w:szCs w:val="32"/>
        </w:rPr>
        <w:t>证监会《指导意见》，《</w:t>
      </w:r>
      <w:r>
        <w:rPr>
          <w:rFonts w:ascii="仿宋" w:eastAsia="仿宋" w:hAnsi="仿宋" w:hint="eastAsia"/>
          <w:sz w:val="32"/>
          <w:szCs w:val="32"/>
        </w:rPr>
        <w:t>实施</w:t>
      </w:r>
      <w:r>
        <w:rPr>
          <w:rFonts w:ascii="仿宋" w:eastAsia="仿宋" w:hAnsi="仿宋"/>
          <w:sz w:val="32"/>
          <w:szCs w:val="32"/>
        </w:rPr>
        <w:t>办法》</w:t>
      </w:r>
      <w:r>
        <w:rPr>
          <w:rFonts w:ascii="仿宋" w:eastAsia="仿宋" w:hAnsi="仿宋" w:hint="eastAsia"/>
          <w:sz w:val="32"/>
          <w:szCs w:val="32"/>
        </w:rPr>
        <w:t>延续</w:t>
      </w:r>
      <w:r>
        <w:rPr>
          <w:rFonts w:ascii="仿宋" w:eastAsia="仿宋" w:hAnsi="仿宋"/>
          <w:sz w:val="32"/>
          <w:szCs w:val="32"/>
        </w:rPr>
        <w:t>沪深交易所退市整理期投资者</w:t>
      </w:r>
      <w:r>
        <w:rPr>
          <w:rFonts w:ascii="仿宋" w:eastAsia="仿宋" w:hAnsi="仿宋" w:hint="eastAsia"/>
          <w:sz w:val="32"/>
          <w:szCs w:val="32"/>
        </w:rPr>
        <w:t>门槛</w:t>
      </w:r>
      <w:r>
        <w:rPr>
          <w:rFonts w:ascii="仿宋" w:eastAsia="仿宋" w:hAnsi="仿宋"/>
          <w:sz w:val="32"/>
          <w:szCs w:val="32"/>
        </w:rPr>
        <w:t>的要求，设置与退市公司风险状况</w:t>
      </w:r>
      <w:r>
        <w:rPr>
          <w:rFonts w:ascii="仿宋" w:eastAsia="仿宋" w:hAnsi="仿宋" w:hint="eastAsia"/>
          <w:sz w:val="32"/>
          <w:szCs w:val="32"/>
        </w:rPr>
        <w:t>相</w:t>
      </w:r>
      <w:r>
        <w:rPr>
          <w:rFonts w:ascii="仿宋" w:eastAsia="仿宋" w:hAnsi="仿宋"/>
          <w:sz w:val="32"/>
          <w:szCs w:val="32"/>
        </w:rPr>
        <w:t>匹配的投资者准入要求：一是</w:t>
      </w:r>
      <w:r>
        <w:rPr>
          <w:rFonts w:ascii="仿宋" w:eastAsia="仿宋" w:hAnsi="仿宋" w:hint="eastAsia"/>
          <w:sz w:val="32"/>
          <w:szCs w:val="32"/>
        </w:rPr>
        <w:t>个人</w:t>
      </w:r>
      <w:r>
        <w:rPr>
          <w:rFonts w:ascii="仿宋" w:eastAsia="仿宋" w:hAnsi="仿宋"/>
          <w:sz w:val="32"/>
          <w:szCs w:val="32"/>
        </w:rPr>
        <w:t>投资者</w:t>
      </w:r>
      <w:r>
        <w:rPr>
          <w:rFonts w:ascii="仿宋" w:eastAsia="仿宋" w:hAnsi="仿宋" w:hint="eastAsia"/>
          <w:sz w:val="32"/>
          <w:szCs w:val="32"/>
        </w:rPr>
        <w:t>需</w:t>
      </w:r>
      <w:r>
        <w:rPr>
          <w:rFonts w:ascii="仿宋" w:eastAsia="仿宋" w:hAnsi="仿宋"/>
          <w:sz w:val="32"/>
          <w:szCs w:val="32"/>
        </w:rPr>
        <w:t>具备</w:t>
      </w:r>
      <w:r>
        <w:rPr>
          <w:rFonts w:ascii="仿宋" w:eastAsia="仿宋" w:hAnsi="仿宋" w:hint="eastAsia"/>
          <w:sz w:val="32"/>
          <w:szCs w:val="32"/>
        </w:rPr>
        <w:t>2年</w:t>
      </w:r>
      <w:r>
        <w:rPr>
          <w:rFonts w:ascii="仿宋" w:eastAsia="仿宋" w:hAnsi="仿宋"/>
          <w:sz w:val="32"/>
          <w:szCs w:val="32"/>
        </w:rPr>
        <w:t>以上的股票交易经验，且本人名下证券</w:t>
      </w:r>
      <w:r w:rsidR="00A02A0E">
        <w:rPr>
          <w:rFonts w:ascii="仿宋" w:eastAsia="仿宋" w:hAnsi="仿宋" w:hint="eastAsia"/>
          <w:sz w:val="32"/>
          <w:szCs w:val="32"/>
        </w:rPr>
        <w:t>类</w:t>
      </w:r>
      <w:r>
        <w:rPr>
          <w:rFonts w:ascii="仿宋" w:eastAsia="仿宋" w:hAnsi="仿宋"/>
          <w:sz w:val="32"/>
          <w:szCs w:val="32"/>
        </w:rPr>
        <w:t>资产在申请开通前二十个交易日</w:t>
      </w:r>
      <w:r>
        <w:rPr>
          <w:rFonts w:ascii="仿宋" w:eastAsia="仿宋" w:hAnsi="仿宋" w:hint="eastAsia"/>
          <w:sz w:val="32"/>
          <w:szCs w:val="32"/>
        </w:rPr>
        <w:t>日均</w:t>
      </w:r>
      <w:r>
        <w:rPr>
          <w:rFonts w:ascii="仿宋" w:eastAsia="仿宋" w:hAnsi="仿宋"/>
          <w:sz w:val="32"/>
          <w:szCs w:val="32"/>
        </w:rPr>
        <w:t>在人民币</w:t>
      </w:r>
      <w:r>
        <w:rPr>
          <w:rFonts w:ascii="仿宋" w:eastAsia="仿宋" w:hAnsi="仿宋" w:hint="eastAsia"/>
          <w:sz w:val="32"/>
          <w:szCs w:val="32"/>
        </w:rPr>
        <w:t>50万元</w:t>
      </w:r>
      <w:r>
        <w:rPr>
          <w:rFonts w:ascii="仿宋" w:eastAsia="仿宋" w:hAnsi="仿宋"/>
          <w:sz w:val="32"/>
          <w:szCs w:val="32"/>
        </w:rPr>
        <w:t>以上</w:t>
      </w:r>
      <w:r>
        <w:rPr>
          <w:rFonts w:ascii="仿宋" w:eastAsia="仿宋" w:hAnsi="仿宋" w:hint="eastAsia"/>
          <w:sz w:val="32"/>
          <w:szCs w:val="32"/>
        </w:rPr>
        <w:t>。</w:t>
      </w:r>
      <w:r>
        <w:rPr>
          <w:rFonts w:ascii="仿宋" w:eastAsia="仿宋" w:hAnsi="仿宋"/>
          <w:sz w:val="32"/>
          <w:szCs w:val="32"/>
        </w:rPr>
        <w:t>机构</w:t>
      </w:r>
      <w:r>
        <w:rPr>
          <w:rFonts w:ascii="仿宋" w:eastAsia="仿宋" w:hAnsi="仿宋" w:hint="eastAsia"/>
          <w:sz w:val="32"/>
          <w:szCs w:val="32"/>
        </w:rPr>
        <w:t>投资者</w:t>
      </w:r>
      <w:r>
        <w:rPr>
          <w:rFonts w:ascii="仿宋" w:eastAsia="仿宋" w:hAnsi="仿宋"/>
          <w:sz w:val="32"/>
          <w:szCs w:val="32"/>
        </w:rPr>
        <w:t>不受限制</w:t>
      </w:r>
      <w:r w:rsidR="009A578F">
        <w:rPr>
          <w:rFonts w:ascii="仿宋" w:eastAsia="仿宋" w:hAnsi="仿宋" w:hint="eastAsia"/>
          <w:sz w:val="32"/>
          <w:szCs w:val="32"/>
        </w:rPr>
        <w:t>。</w:t>
      </w:r>
      <w:r>
        <w:rPr>
          <w:rFonts w:ascii="仿宋" w:eastAsia="仿宋" w:hAnsi="仿宋"/>
          <w:sz w:val="32"/>
          <w:szCs w:val="32"/>
        </w:rPr>
        <w:t>二是</w:t>
      </w:r>
      <w:r w:rsidR="009A578F" w:rsidRPr="009A578F">
        <w:rPr>
          <w:rFonts w:ascii="仿宋" w:eastAsia="仿宋" w:hAnsi="仿宋" w:hint="eastAsia"/>
          <w:sz w:val="32"/>
          <w:szCs w:val="32"/>
        </w:rPr>
        <w:t>已持有公司股票但不符合以上规定或未签署《风险揭示书》的个人投资者，只能买卖其持有的退市公司股票。</w:t>
      </w:r>
      <w:r>
        <w:rPr>
          <w:rFonts w:ascii="仿宋" w:eastAsia="仿宋" w:hAnsi="仿宋"/>
          <w:sz w:val="32"/>
          <w:szCs w:val="32"/>
        </w:rPr>
        <w:t>三是实施</w:t>
      </w:r>
      <w:r>
        <w:rPr>
          <w:rFonts w:ascii="仿宋" w:eastAsia="仿宋" w:hAnsi="仿宋" w:hint="eastAsia"/>
          <w:sz w:val="32"/>
          <w:szCs w:val="32"/>
        </w:rPr>
        <w:t>新老划断</w:t>
      </w:r>
      <w:r>
        <w:rPr>
          <w:rFonts w:ascii="仿宋" w:eastAsia="仿宋" w:hAnsi="仿宋"/>
          <w:sz w:val="32"/>
          <w:szCs w:val="32"/>
        </w:rPr>
        <w:t>，即《</w:t>
      </w:r>
      <w:r>
        <w:rPr>
          <w:rFonts w:ascii="仿宋" w:eastAsia="仿宋" w:hAnsi="仿宋" w:hint="eastAsia"/>
          <w:sz w:val="32"/>
          <w:szCs w:val="32"/>
        </w:rPr>
        <w:t>实施</w:t>
      </w:r>
      <w:r>
        <w:rPr>
          <w:rFonts w:ascii="仿宋" w:eastAsia="仿宋" w:hAnsi="仿宋"/>
          <w:sz w:val="32"/>
          <w:szCs w:val="32"/>
        </w:rPr>
        <w:t>办法》</w:t>
      </w:r>
      <w:r>
        <w:rPr>
          <w:rFonts w:ascii="仿宋" w:eastAsia="仿宋" w:hAnsi="仿宋" w:hint="eastAsia"/>
          <w:sz w:val="32"/>
          <w:szCs w:val="32"/>
        </w:rPr>
        <w:t>正式生效</w:t>
      </w:r>
      <w:r>
        <w:rPr>
          <w:rFonts w:ascii="仿宋" w:eastAsia="仿宋" w:hAnsi="仿宋"/>
          <w:sz w:val="32"/>
          <w:szCs w:val="32"/>
        </w:rPr>
        <w:t>前已开通退市板块交易权限的投资者仍可继续买卖退市板块</w:t>
      </w:r>
      <w:r>
        <w:rPr>
          <w:rFonts w:ascii="仿宋" w:eastAsia="仿宋" w:hAnsi="仿宋" w:hint="eastAsia"/>
          <w:sz w:val="32"/>
          <w:szCs w:val="32"/>
        </w:rPr>
        <w:t>所有</w:t>
      </w:r>
      <w:r>
        <w:rPr>
          <w:rFonts w:ascii="仿宋" w:eastAsia="仿宋" w:hAnsi="仿宋"/>
          <w:sz w:val="32"/>
          <w:szCs w:val="32"/>
        </w:rPr>
        <w:t>公司的股票</w:t>
      </w:r>
      <w:r>
        <w:rPr>
          <w:rFonts w:ascii="仿宋" w:eastAsia="仿宋" w:hAnsi="仿宋" w:hint="eastAsia"/>
          <w:sz w:val="32"/>
          <w:szCs w:val="32"/>
        </w:rPr>
        <w:t>。</w:t>
      </w:r>
    </w:p>
    <w:p w:rsidR="00574A0D" w:rsidRDefault="00574A0D">
      <w:pPr>
        <w:ind w:firstLineChars="200" w:firstLine="640"/>
        <w:rPr>
          <w:rFonts w:ascii="黑体" w:eastAsia="黑体" w:hAnsi="黑体"/>
          <w:sz w:val="32"/>
          <w:szCs w:val="32"/>
        </w:rPr>
      </w:pPr>
    </w:p>
    <w:p w:rsidR="00574A0D" w:rsidRDefault="00574A0D">
      <w:pPr>
        <w:ind w:firstLineChars="200" w:firstLine="640"/>
        <w:rPr>
          <w:rFonts w:ascii="仿宋" w:eastAsia="仿宋" w:hAnsi="仿宋"/>
          <w:sz w:val="32"/>
          <w:szCs w:val="32"/>
        </w:rPr>
      </w:pPr>
    </w:p>
    <w:sectPr w:rsidR="00574A0D" w:rsidSect="00C86C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6A" w:rsidRDefault="0050406A">
      <w:r>
        <w:separator/>
      </w:r>
    </w:p>
  </w:endnote>
  <w:endnote w:type="continuationSeparator" w:id="0">
    <w:p w:rsidR="0050406A" w:rsidRDefault="0050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27605"/>
    </w:sdtPr>
    <w:sdtContent>
      <w:p w:rsidR="00984E54" w:rsidRDefault="00C86C78">
        <w:pPr>
          <w:pStyle w:val="a3"/>
          <w:jc w:val="center"/>
        </w:pPr>
        <w:r>
          <w:fldChar w:fldCharType="begin"/>
        </w:r>
        <w:r w:rsidR="00984E54">
          <w:instrText>PAGE   \* MERGEFORMAT</w:instrText>
        </w:r>
        <w:r>
          <w:fldChar w:fldCharType="separate"/>
        </w:r>
        <w:r w:rsidR="00FA56CD" w:rsidRPr="00FA56CD">
          <w:rPr>
            <w:noProof/>
            <w:lang w:val="zh-CN"/>
          </w:rPr>
          <w:t>1</w:t>
        </w:r>
        <w:r>
          <w:fldChar w:fldCharType="end"/>
        </w:r>
      </w:p>
    </w:sdtContent>
  </w:sdt>
  <w:p w:rsidR="00984E54" w:rsidRDefault="00984E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6A" w:rsidRDefault="0050406A">
      <w:r>
        <w:separator/>
      </w:r>
    </w:p>
  </w:footnote>
  <w:footnote w:type="continuationSeparator" w:id="0">
    <w:p w:rsidR="0050406A" w:rsidRDefault="00504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839B8"/>
    <w:multiLevelType w:val="singleLevel"/>
    <w:tmpl w:val="7F1839B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6D1"/>
    <w:rsid w:val="BDD4339D"/>
    <w:rsid w:val="EFFE6585"/>
    <w:rsid w:val="F7EEA0AB"/>
    <w:rsid w:val="FE575F00"/>
    <w:rsid w:val="FEFF0AA0"/>
    <w:rsid w:val="002B53FC"/>
    <w:rsid w:val="002D3A57"/>
    <w:rsid w:val="002F27D3"/>
    <w:rsid w:val="003C06C7"/>
    <w:rsid w:val="00407BE5"/>
    <w:rsid w:val="004773D1"/>
    <w:rsid w:val="00480A68"/>
    <w:rsid w:val="004E4553"/>
    <w:rsid w:val="0050406A"/>
    <w:rsid w:val="00574A0D"/>
    <w:rsid w:val="005A47C6"/>
    <w:rsid w:val="00604CE9"/>
    <w:rsid w:val="006C09EC"/>
    <w:rsid w:val="00706689"/>
    <w:rsid w:val="008332E3"/>
    <w:rsid w:val="00865FC5"/>
    <w:rsid w:val="00984E54"/>
    <w:rsid w:val="009A578F"/>
    <w:rsid w:val="00A02A0E"/>
    <w:rsid w:val="00AE10F0"/>
    <w:rsid w:val="00B17A28"/>
    <w:rsid w:val="00C41711"/>
    <w:rsid w:val="00C44C7A"/>
    <w:rsid w:val="00C86C78"/>
    <w:rsid w:val="00CE26D1"/>
    <w:rsid w:val="00D770F2"/>
    <w:rsid w:val="00DA4352"/>
    <w:rsid w:val="00E63502"/>
    <w:rsid w:val="00E657E3"/>
    <w:rsid w:val="00E76A33"/>
    <w:rsid w:val="00EB3820"/>
    <w:rsid w:val="00F539D5"/>
    <w:rsid w:val="00FA56CD"/>
    <w:rsid w:val="00FC62C4"/>
    <w:rsid w:val="00FF7F2A"/>
    <w:rsid w:val="05B847FD"/>
    <w:rsid w:val="1251212A"/>
    <w:rsid w:val="16E70BF2"/>
    <w:rsid w:val="19FBB5BF"/>
    <w:rsid w:val="1B6B44C9"/>
    <w:rsid w:val="1E027723"/>
    <w:rsid w:val="21D87DD9"/>
    <w:rsid w:val="2B7A3FF2"/>
    <w:rsid w:val="312D6366"/>
    <w:rsid w:val="37F7FA01"/>
    <w:rsid w:val="3F6058D3"/>
    <w:rsid w:val="477F416B"/>
    <w:rsid w:val="48CDDC1A"/>
    <w:rsid w:val="548D5967"/>
    <w:rsid w:val="57D22ACE"/>
    <w:rsid w:val="65A228D2"/>
    <w:rsid w:val="677E6284"/>
    <w:rsid w:val="775D46AC"/>
    <w:rsid w:val="7DF96BB7"/>
    <w:rsid w:val="7FAB0E42"/>
    <w:rsid w:val="7FBFB25B"/>
    <w:rsid w:val="7FDF8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86C7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86C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86C78"/>
    <w:rPr>
      <w:sz w:val="18"/>
      <w:szCs w:val="18"/>
    </w:rPr>
  </w:style>
  <w:style w:type="character" w:customStyle="1" w:styleId="Char">
    <w:name w:val="页脚 Char"/>
    <w:basedOn w:val="a0"/>
    <w:link w:val="a3"/>
    <w:uiPriority w:val="99"/>
    <w:qFormat/>
    <w:rsid w:val="00C86C78"/>
    <w:rPr>
      <w:sz w:val="18"/>
      <w:szCs w:val="18"/>
    </w:rPr>
  </w:style>
  <w:style w:type="paragraph" w:styleId="a5">
    <w:name w:val="Balloon Text"/>
    <w:basedOn w:val="a"/>
    <w:link w:val="Char1"/>
    <w:uiPriority w:val="99"/>
    <w:semiHidden/>
    <w:unhideWhenUsed/>
    <w:rsid w:val="008332E3"/>
    <w:rPr>
      <w:sz w:val="18"/>
      <w:szCs w:val="18"/>
    </w:rPr>
  </w:style>
  <w:style w:type="character" w:customStyle="1" w:styleId="Char1">
    <w:name w:val="批注框文本 Char"/>
    <w:basedOn w:val="a0"/>
    <w:link w:val="a5"/>
    <w:uiPriority w:val="99"/>
    <w:semiHidden/>
    <w:rsid w:val="008332E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周作炜zzw</dc:creator>
  <cp:lastModifiedBy>顾婵娟(秘书)</cp:lastModifiedBy>
  <cp:revision>18</cp:revision>
  <cp:lastPrinted>2022-01-28T13:45:00Z</cp:lastPrinted>
  <dcterms:created xsi:type="dcterms:W3CDTF">2021-12-24T22:01:00Z</dcterms:created>
  <dcterms:modified xsi:type="dcterms:W3CDTF">2022-02-25T11:03:00Z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