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34F65">
      <w:pPr>
        <w:jc w:val="center"/>
        <w:rPr>
          <w:rFonts w:ascii="黑体" w:hAnsi="黑体" w:eastAsia="黑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6"/>
          <w:szCs w:val="36"/>
        </w:rPr>
        <w:t>第二十七号 上市公司澄清公告</w:t>
      </w:r>
    </w:p>
    <w:p w14:paraId="099BA76B">
      <w:pPr>
        <w:spacing w:line="560" w:lineRule="exact"/>
        <w:rPr>
          <w:rFonts w:ascii="仿宋_GB2312" w:hAnsi="宋体" w:eastAsia="仿宋_GB2312" w:cs="宋体"/>
          <w:sz w:val="30"/>
          <w:szCs w:val="30"/>
        </w:rPr>
      </w:pPr>
    </w:p>
    <w:p w14:paraId="0CEAA862">
      <w:pPr>
        <w:adjustRightInd w:val="0"/>
        <w:snapToGrid w:val="0"/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证券代码：             证券简称：            公告编号：</w:t>
      </w:r>
    </w:p>
    <w:p w14:paraId="12A8249F">
      <w:pPr>
        <w:adjustRightInd w:val="0"/>
        <w:snapToGrid w:val="0"/>
        <w:spacing w:line="560" w:lineRule="exact"/>
        <w:jc w:val="center"/>
        <w:rPr>
          <w:rFonts w:ascii="仿宋_GB2312" w:hAnsi="宋体" w:eastAsia="仿宋_GB2312"/>
          <w:color w:val="000000"/>
          <w:sz w:val="30"/>
          <w:szCs w:val="30"/>
        </w:rPr>
      </w:pPr>
    </w:p>
    <w:p w14:paraId="2B9E5DFF">
      <w:pPr>
        <w:snapToGrid w:val="0"/>
        <w:spacing w:line="560" w:lineRule="exact"/>
        <w:jc w:val="center"/>
        <w:rPr>
          <w:rFonts w:ascii="仿宋_GB2312" w:hAnsi="宋体" w:eastAsia="仿宋_GB2312" w:cs="黑体-WinCharSetFFFF-H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XXXX股份有限公司</w:t>
      </w:r>
      <w:r>
        <w:rPr>
          <w:rFonts w:hint="eastAsia" w:ascii="仿宋_GB2312" w:hAnsi="宋体" w:eastAsia="仿宋_GB2312" w:cs="黑体-WinCharSetFFFF-H"/>
          <w:bCs/>
          <w:kern w:val="0"/>
          <w:sz w:val="30"/>
          <w:szCs w:val="30"/>
        </w:rPr>
        <w:t>澄清</w:t>
      </w:r>
      <w:r>
        <w:rPr>
          <w:rFonts w:hint="eastAsia" w:ascii="仿宋_GB2312" w:hAnsi="宋体" w:eastAsia="仿宋_GB2312" w:cs="黑体-WinCharSetFFFF-H"/>
          <w:kern w:val="0"/>
          <w:sz w:val="30"/>
          <w:szCs w:val="30"/>
        </w:rPr>
        <w:t>公告</w:t>
      </w:r>
    </w:p>
    <w:p w14:paraId="5D833E25">
      <w:pPr>
        <w:snapToGrid w:val="0"/>
        <w:spacing w:line="560" w:lineRule="exact"/>
        <w:jc w:val="center"/>
        <w:rPr>
          <w:rFonts w:ascii="仿宋_GB2312" w:hAnsi="宋体" w:eastAsia="仿宋_GB2312"/>
          <w:color w:val="000000"/>
          <w:sz w:val="30"/>
          <w:szCs w:val="30"/>
        </w:rPr>
      </w:pPr>
    </w:p>
    <w:p w14:paraId="41BF8CC2">
      <w:pPr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adjustRightInd w:val="0"/>
        <w:spacing w:line="560" w:lineRule="exac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 本公司董事会及全体董事保证本公告内容不存在任何虚假记载、误导性陈述或者重大遗漏，并对其内容的真实性、准确性和完整性依法承担法律责任。</w:t>
      </w:r>
    </w:p>
    <w:p w14:paraId="41C79FC3">
      <w:pPr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adjustRightInd w:val="0"/>
        <w:spacing w:line="560" w:lineRule="exac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 如有董事对临时公告内容的真实性、准确性和完整性无法保证或存在异议的，公司应当在公告中作特别提示。</w:t>
      </w:r>
    </w:p>
    <w:p w14:paraId="214C2899">
      <w:pPr>
        <w:adjustRightInd w:val="0"/>
        <w:snapToGrid w:val="0"/>
        <w:spacing w:line="560" w:lineRule="exact"/>
        <w:rPr>
          <w:rFonts w:ascii="仿宋_GB2312" w:hAnsi="宋体" w:eastAsia="仿宋_GB2312"/>
          <w:sz w:val="30"/>
          <w:szCs w:val="30"/>
        </w:rPr>
      </w:pPr>
    </w:p>
    <w:p w14:paraId="18C4D804">
      <w:pPr>
        <w:adjustRightInd w:val="0"/>
        <w:snapToGrid w:val="0"/>
        <w:spacing w:line="56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重要内容提示：</w:t>
      </w:r>
    </w:p>
    <w:p w14:paraId="4EFEB315"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说明媒体报道或市场传闻的主要内容</w:t>
      </w:r>
    </w:p>
    <w:p w14:paraId="2C15DFB7">
      <w:pPr>
        <w:pStyle w:val="11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是否存在媒体报道或市场传闻所述事项的明确声明,如无法做出判断的，应当简要说明原因</w:t>
      </w:r>
    </w:p>
    <w:p w14:paraId="0EA5C023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仿宋_GB2312" w:hAnsi="宋体" w:eastAsia="仿宋_GB2312" w:cs="黑体-WinCharSetFFFF-H"/>
          <w:kern w:val="0"/>
          <w:sz w:val="30"/>
          <w:szCs w:val="30"/>
        </w:rPr>
      </w:pPr>
    </w:p>
    <w:p w14:paraId="38880ACD">
      <w:pPr>
        <w:autoSpaceDE w:val="0"/>
        <w:autoSpaceDN w:val="0"/>
        <w:adjustRightInd w:val="0"/>
        <w:snapToGrid w:val="0"/>
        <w:spacing w:line="560" w:lineRule="exact"/>
        <w:ind w:firstLine="602" w:firstLineChars="200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一、传闻简述</w:t>
      </w:r>
    </w:p>
    <w:p w14:paraId="672399DC"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仿宋_GB2312" w:hAnsi="宋体" w:eastAsia="仿宋_GB2312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（一）</w:t>
      </w:r>
      <w:r>
        <w:rPr>
          <w:rFonts w:hint="eastAsia" w:ascii="仿宋_GB2312" w:hAnsi="宋体" w:eastAsia="仿宋_GB2312"/>
          <w:bCs/>
          <w:color w:val="000000"/>
          <w:kern w:val="0"/>
          <w:sz w:val="30"/>
          <w:szCs w:val="30"/>
        </w:rPr>
        <w:t>简要说明报道传闻的媒体、传播方式与时间、传闻内容，</w:t>
      </w:r>
      <w:r>
        <w:rPr>
          <w:rFonts w:hint="eastAsia" w:ascii="仿宋_GB2312" w:hAnsi="宋体" w:eastAsia="仿宋_GB2312"/>
          <w:sz w:val="30"/>
          <w:szCs w:val="30"/>
        </w:rPr>
        <w:t>传闻内容对公司的影响及相关风险提示（如适用）</w:t>
      </w:r>
      <w:r>
        <w:rPr>
          <w:rFonts w:hint="eastAsia" w:ascii="仿宋_GB2312" w:hAnsi="宋体" w:eastAsia="仿宋_GB2312"/>
          <w:bCs/>
          <w:color w:val="000000"/>
          <w:kern w:val="0"/>
          <w:sz w:val="30"/>
          <w:szCs w:val="30"/>
        </w:rPr>
        <w:t>。</w:t>
      </w:r>
    </w:p>
    <w:p w14:paraId="34C79848"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仿宋_GB2312" w:hAnsi="宋体" w:eastAsia="仿宋_GB2312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（二）</w:t>
      </w:r>
      <w:r>
        <w:rPr>
          <w:rFonts w:hint="eastAsia" w:ascii="仿宋_GB2312" w:hAnsi="宋体" w:eastAsia="仿宋_GB2312"/>
          <w:bCs/>
          <w:color w:val="000000"/>
          <w:kern w:val="0"/>
          <w:sz w:val="30"/>
          <w:szCs w:val="30"/>
        </w:rPr>
        <w:t>简要说明公司及</w:t>
      </w:r>
      <w:r>
        <w:rPr>
          <w:rFonts w:hint="eastAsia" w:ascii="仿宋_GB2312" w:hAnsi="宋体" w:eastAsia="仿宋_GB2312"/>
          <w:sz w:val="30"/>
          <w:szCs w:val="30"/>
        </w:rPr>
        <w:t>相关信息披露义务人</w:t>
      </w:r>
      <w:r>
        <w:rPr>
          <w:rFonts w:hint="eastAsia" w:ascii="仿宋_GB2312" w:hAnsi="宋体" w:eastAsia="仿宋_GB2312"/>
          <w:bCs/>
          <w:color w:val="000000"/>
          <w:kern w:val="0"/>
          <w:sz w:val="30"/>
          <w:szCs w:val="30"/>
        </w:rPr>
        <w:t>针对报道传闻的起因、报道传闻内容是否属实、结论是否成立、报道传闻的影响、相关责任人等进行调查、核实的情况。</w:t>
      </w:r>
    </w:p>
    <w:p w14:paraId="34B33A48"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仿宋_GB2312" w:hAnsi="宋体" w:eastAsia="仿宋_GB2312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（三）</w:t>
      </w:r>
      <w:r>
        <w:rPr>
          <w:rFonts w:hint="eastAsia" w:ascii="仿宋_GB2312" w:hAnsi="宋体" w:eastAsia="仿宋_GB2312"/>
          <w:bCs/>
          <w:color w:val="000000"/>
          <w:kern w:val="0"/>
          <w:sz w:val="30"/>
          <w:szCs w:val="30"/>
        </w:rPr>
        <w:t>因涉嫌违法犯罪，司法机关、行政部门或其他有权机构正在调查，不便于发表判断的，应当说明具体受理案件的主体、受理的时间。</w:t>
      </w:r>
    </w:p>
    <w:p w14:paraId="476865B4"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仿宋_GB2312" w:hAnsi="宋体" w:eastAsia="仿宋_GB2312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（四）</w:t>
      </w:r>
      <w:r>
        <w:rPr>
          <w:rFonts w:hint="eastAsia" w:ascii="仿宋_GB2312" w:hAnsi="宋体" w:eastAsia="仿宋_GB2312"/>
          <w:bCs/>
          <w:color w:val="000000"/>
          <w:kern w:val="0"/>
          <w:sz w:val="30"/>
          <w:szCs w:val="30"/>
        </w:rPr>
        <w:t>无法判断报道传闻真实性的，公司应当说明前述核实的情况，公司无法判断的理由，以及公司是否有采取相应措施进一步核实的计划。</w:t>
      </w:r>
    </w:p>
    <w:p w14:paraId="04529F08"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rPr>
          <w:rFonts w:ascii="楷体" w:hAnsi="楷体" w:eastAsia="楷体" w:cs="宋体-WinCharSetFFFF-H"/>
          <w:color w:val="000000"/>
          <w:kern w:val="0"/>
          <w:sz w:val="24"/>
          <w:szCs w:val="24"/>
        </w:rPr>
      </w:pPr>
    </w:p>
    <w:p w14:paraId="3D3AB043">
      <w:pPr>
        <w:autoSpaceDE w:val="0"/>
        <w:autoSpaceDN w:val="0"/>
        <w:adjustRightInd w:val="0"/>
        <w:spacing w:line="560" w:lineRule="exact"/>
        <w:ind w:firstLine="578" w:firstLineChars="192"/>
        <w:jc w:val="left"/>
        <w:rPr>
          <w:rFonts w:ascii="黑体" w:hAnsi="黑体" w:eastAsia="黑体" w:cs="宋体-WinCharSetFFFF-H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-WinCharSetFFFF-H"/>
          <w:b/>
          <w:color w:val="000000"/>
          <w:kern w:val="0"/>
          <w:sz w:val="30"/>
          <w:szCs w:val="30"/>
        </w:rPr>
        <w:t>二、</w:t>
      </w:r>
      <w:r>
        <w:rPr>
          <w:rFonts w:hint="eastAsia" w:ascii="黑体" w:hAnsi="黑体" w:eastAsia="黑体" w:cs="宋体-WinCharSetFFFF-H"/>
          <w:b/>
          <w:bCs/>
          <w:color w:val="000000"/>
          <w:kern w:val="0"/>
          <w:sz w:val="30"/>
          <w:szCs w:val="30"/>
        </w:rPr>
        <w:t>澄清声明</w:t>
      </w:r>
    </w:p>
    <w:p w14:paraId="0939AE12"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（一）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针对报道传闻中与上市公司实际情况不完全相符或无中生有、捏造事实的情况，公司应当说明真实情况。</w:t>
      </w:r>
    </w:p>
    <w:p w14:paraId="0FB7641D"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（二）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针对传闻涉及控制权变更或重大资产重组等事项，公司应当在书面征询控股股东或其他相关方之后，根据控股股东或其他相关方回函情况作出声明。声明中应当明确表述：“经公司书面征询控股股东或其他相关方，控股股东或其他相关方回函明确表示，……”</w:t>
      </w:r>
    </w:p>
    <w:p w14:paraId="6792BF2C"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（三）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在公告中郑重提醒广大投资者：“本公司发布的信息以公告为准，请广大投资者理性投资，注意风险。”</w:t>
      </w:r>
    </w:p>
    <w:p w14:paraId="0409E28A"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仿宋_GB2312" w:eastAsia="仿宋_GB2312"/>
          <w:bCs/>
          <w:color w:val="000000"/>
          <w:sz w:val="30"/>
          <w:szCs w:val="30"/>
        </w:rPr>
      </w:pPr>
    </w:p>
    <w:p w14:paraId="625B1A2F">
      <w:pPr>
        <w:autoSpaceDE w:val="0"/>
        <w:autoSpaceDN w:val="0"/>
        <w:adjustRightInd w:val="0"/>
        <w:spacing w:line="560" w:lineRule="exact"/>
        <w:ind w:firstLine="578" w:firstLineChars="192"/>
        <w:jc w:val="left"/>
        <w:rPr>
          <w:rFonts w:ascii="黑体" w:hAnsi="黑体" w:eastAsia="黑体" w:cs="宋体-WinCharSetFFFF-H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-WinCharSetFFFF-H"/>
          <w:b/>
          <w:color w:val="000000"/>
          <w:kern w:val="0"/>
          <w:sz w:val="30"/>
          <w:szCs w:val="30"/>
        </w:rPr>
        <w:t>三、相关风险提示（如适用）</w:t>
      </w:r>
    </w:p>
    <w:p w14:paraId="5EE33B46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仿宋_GB2312" w:hAnsi="宋体" w:eastAsia="仿宋_GB2312" w:cs="宋体-WinCharSetFFFF-H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-WinCharSetFFFF-H"/>
          <w:color w:val="000000"/>
          <w:kern w:val="0"/>
          <w:sz w:val="30"/>
          <w:szCs w:val="30"/>
        </w:rPr>
        <w:t>特此公告。</w:t>
      </w:r>
    </w:p>
    <w:p w14:paraId="38442518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仿宋_GB2312" w:hAnsi="宋体" w:eastAsia="仿宋_GB2312" w:cs="宋体-WinCharSetFFFF-H"/>
          <w:color w:val="000000"/>
          <w:kern w:val="0"/>
          <w:sz w:val="30"/>
          <w:szCs w:val="30"/>
        </w:rPr>
      </w:pPr>
    </w:p>
    <w:p w14:paraId="120E5769">
      <w:pPr>
        <w:autoSpaceDE w:val="0"/>
        <w:autoSpaceDN w:val="0"/>
        <w:adjustRightInd w:val="0"/>
        <w:spacing w:line="560" w:lineRule="exact"/>
        <w:jc w:val="right"/>
        <w:rPr>
          <w:rFonts w:ascii="仿宋_GB2312" w:hAnsi="宋体" w:eastAsia="仿宋_GB2312" w:cs="宋体-WinCharSetFFFF-H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××××</w:t>
      </w:r>
      <w:r>
        <w:rPr>
          <w:rFonts w:hint="eastAsia" w:ascii="仿宋_GB2312" w:hAnsi="宋体" w:eastAsia="仿宋_GB2312" w:cs="宋体-WinCharSetFFFF-H"/>
          <w:color w:val="000000"/>
          <w:kern w:val="0"/>
          <w:sz w:val="30"/>
          <w:szCs w:val="30"/>
        </w:rPr>
        <w:t>股份有限公司董事会</w:t>
      </w:r>
    </w:p>
    <w:p w14:paraId="6167EBF1">
      <w:pPr>
        <w:spacing w:line="560" w:lineRule="exact"/>
        <w:jc w:val="right"/>
        <w:rPr>
          <w:rFonts w:ascii="仿宋_GB2312" w:hAnsi="宋体" w:eastAsia="仿宋_GB2312" w:cs="宋体-WinCharSetFFFF-H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-WinCharSetFFFF-H"/>
          <w:color w:val="000000"/>
          <w:kern w:val="0"/>
          <w:sz w:val="30"/>
          <w:szCs w:val="30"/>
        </w:rPr>
        <w:t xml:space="preserve"> 年  月  日</w:t>
      </w:r>
    </w:p>
    <w:p w14:paraId="446709CE">
      <w:pPr>
        <w:spacing w:line="560" w:lineRule="exact"/>
        <w:ind w:right="300"/>
        <w:jc w:val="right"/>
        <w:rPr>
          <w:rFonts w:ascii="仿宋_GB2312" w:hAnsi="宋体" w:eastAsia="仿宋_GB2312" w:cs="宋体-WinCharSetFFFF-H"/>
          <w:color w:val="000000"/>
          <w:kern w:val="0"/>
          <w:sz w:val="30"/>
          <w:szCs w:val="30"/>
        </w:rPr>
      </w:pPr>
    </w:p>
    <w:p w14:paraId="1D964F5E">
      <w:pPr>
        <w:spacing w:line="560" w:lineRule="exac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宋体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501252"/>
    </w:sdtPr>
    <w:sdtContent>
      <w:p w14:paraId="52EE5B3E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CC7B4B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21EA5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646B16"/>
    <w:multiLevelType w:val="multilevel"/>
    <w:tmpl w:val="74646B16"/>
    <w:lvl w:ilvl="0" w:tentative="0">
      <w:start w:val="1"/>
      <w:numFmt w:val="bullet"/>
      <w:lvlText w:val=""/>
      <w:lvlJc w:val="left"/>
      <w:pPr>
        <w:ind w:left="10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CD"/>
    <w:rsid w:val="00000558"/>
    <w:rsid w:val="00017F1D"/>
    <w:rsid w:val="000341E2"/>
    <w:rsid w:val="00041514"/>
    <w:rsid w:val="00105488"/>
    <w:rsid w:val="00126188"/>
    <w:rsid w:val="001278B7"/>
    <w:rsid w:val="001368F4"/>
    <w:rsid w:val="001E4D1C"/>
    <w:rsid w:val="002225BB"/>
    <w:rsid w:val="00225E92"/>
    <w:rsid w:val="0024213E"/>
    <w:rsid w:val="00313A26"/>
    <w:rsid w:val="00412966"/>
    <w:rsid w:val="0046555F"/>
    <w:rsid w:val="004C3FD9"/>
    <w:rsid w:val="00507251"/>
    <w:rsid w:val="005178C5"/>
    <w:rsid w:val="00530D72"/>
    <w:rsid w:val="00551954"/>
    <w:rsid w:val="006010C9"/>
    <w:rsid w:val="00602B30"/>
    <w:rsid w:val="00631267"/>
    <w:rsid w:val="006754DD"/>
    <w:rsid w:val="006A536F"/>
    <w:rsid w:val="006B45CE"/>
    <w:rsid w:val="006E5007"/>
    <w:rsid w:val="00733F58"/>
    <w:rsid w:val="00855F64"/>
    <w:rsid w:val="0086113B"/>
    <w:rsid w:val="008634E6"/>
    <w:rsid w:val="00884B4B"/>
    <w:rsid w:val="00885F8D"/>
    <w:rsid w:val="008C75DB"/>
    <w:rsid w:val="008E2FF0"/>
    <w:rsid w:val="00971FA2"/>
    <w:rsid w:val="00A2760E"/>
    <w:rsid w:val="00A317FA"/>
    <w:rsid w:val="00A53EFF"/>
    <w:rsid w:val="00A567B1"/>
    <w:rsid w:val="00AA1DF6"/>
    <w:rsid w:val="00AC6182"/>
    <w:rsid w:val="00AD2D32"/>
    <w:rsid w:val="00AD3223"/>
    <w:rsid w:val="00B125AF"/>
    <w:rsid w:val="00B3338B"/>
    <w:rsid w:val="00B50D68"/>
    <w:rsid w:val="00B55BDD"/>
    <w:rsid w:val="00B85D62"/>
    <w:rsid w:val="00B87FC2"/>
    <w:rsid w:val="00B948B7"/>
    <w:rsid w:val="00B95BB7"/>
    <w:rsid w:val="00BF2ECD"/>
    <w:rsid w:val="00C3178E"/>
    <w:rsid w:val="00C560D2"/>
    <w:rsid w:val="00C578DC"/>
    <w:rsid w:val="00C75C27"/>
    <w:rsid w:val="00CA5BC2"/>
    <w:rsid w:val="00CD0630"/>
    <w:rsid w:val="00CE0880"/>
    <w:rsid w:val="00D00145"/>
    <w:rsid w:val="00D14999"/>
    <w:rsid w:val="00D164F5"/>
    <w:rsid w:val="00D30AEE"/>
    <w:rsid w:val="00D347F2"/>
    <w:rsid w:val="00D52C65"/>
    <w:rsid w:val="00D73EA5"/>
    <w:rsid w:val="00DD5D73"/>
    <w:rsid w:val="00E0652B"/>
    <w:rsid w:val="00E500C8"/>
    <w:rsid w:val="00E91129"/>
    <w:rsid w:val="00EA73F3"/>
    <w:rsid w:val="00EC4A34"/>
    <w:rsid w:val="00EC5ADA"/>
    <w:rsid w:val="00FF622F"/>
    <w:rsid w:val="02E52D82"/>
    <w:rsid w:val="0FAA55C0"/>
    <w:rsid w:val="13FB6CCC"/>
    <w:rsid w:val="15DD11B4"/>
    <w:rsid w:val="2E3F536B"/>
    <w:rsid w:val="5EB14FC3"/>
    <w:rsid w:val="754B624B"/>
    <w:rsid w:val="78222126"/>
    <w:rsid w:val="B7FCF029"/>
    <w:rsid w:val="ECFA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批注文字 Char"/>
    <w:basedOn w:val="8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6">
    <w:name w:val="批注主题 Char"/>
    <w:basedOn w:val="15"/>
    <w:link w:val="6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11</TotalTime>
  <ScaleCrop>false</ScaleCrop>
  <LinksUpToDate>false</LinksUpToDate>
  <CharactersWithSpaces>856</CharactersWithSpaces>
  <Application>WPS Office_12.8.2.19313_F1E327BC-269C-435d-A152-05C5408002CA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2021-01-23T04:14:00Z</dcterms:created>
  <dc:creator>whzhou</dc:creator>
  <cp:lastModifiedBy>wentinglou</cp:lastModifiedBy>
  <dcterms:modified xsi:type="dcterms:W3CDTF">2025-08-25T16:14:59Z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2052-12.8.2.19313</vt:lpwstr>
  </property>
  <property fmtid="{D5CDD505-2E9C-101B-9397-08002B2CF9AE}" pid="3" name="ICV">
    <vt:lpwstr>B0AE146FA57B44FB8E7209A727361D6E_13</vt:lpwstr>
  </property>
</Properties>
</file>