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48F16">
      <w:pPr>
        <w:spacing w:line="560" w:lineRule="exact"/>
        <w:jc w:val="center"/>
        <w:rPr>
          <w:rFonts w:ascii="黑体" w:hAnsi="黑体" w:eastAsia="黑体"/>
          <w:b/>
          <w:bCs/>
          <w:sz w:val="36"/>
          <w:szCs w:val="36"/>
        </w:rPr>
      </w:pPr>
      <w:bookmarkStart w:id="0" w:name="_Toc356840098"/>
      <w:bookmarkStart w:id="1" w:name="_Toc50034104"/>
      <w:bookmarkStart w:id="2" w:name="_GoBack"/>
      <w:bookmarkEnd w:id="2"/>
      <w:r>
        <w:rPr>
          <w:rFonts w:hint="eastAsia" w:ascii="黑体" w:hAnsi="黑体" w:eastAsia="黑体"/>
          <w:b/>
          <w:bCs/>
          <w:sz w:val="36"/>
          <w:szCs w:val="36"/>
        </w:rPr>
        <w:t>第十五号 上市公司董事会决议公告</w:t>
      </w:r>
      <w:bookmarkEnd w:id="0"/>
      <w:bookmarkEnd w:id="1"/>
    </w:p>
    <w:p w14:paraId="4C1C5EA8">
      <w:pPr>
        <w:spacing w:line="560" w:lineRule="exact"/>
      </w:pPr>
    </w:p>
    <w:p w14:paraId="7ECE9205">
      <w:pPr>
        <w:adjustRightInd w:val="0"/>
        <w:snapToGrid w:val="0"/>
        <w:spacing w:line="560" w:lineRule="exact"/>
        <w:jc w:val="left"/>
        <w:rPr>
          <w:rFonts w:ascii="仿宋" w:hAnsi="仿宋" w:eastAsia="仿宋_GB2312"/>
          <w:sz w:val="30"/>
          <w:szCs w:val="30"/>
        </w:rPr>
      </w:pPr>
      <w:r>
        <w:rPr>
          <w:rFonts w:hint="eastAsia" w:ascii="仿宋" w:hAnsi="仿宋" w:eastAsia="仿宋_GB2312"/>
          <w:sz w:val="30"/>
          <w:szCs w:val="30"/>
        </w:rPr>
        <w:t>证券代码：</w:t>
      </w:r>
      <w:r>
        <w:rPr>
          <w:rFonts w:ascii="仿宋" w:hAnsi="仿宋" w:eastAsia="仿宋_GB2312"/>
          <w:sz w:val="30"/>
          <w:szCs w:val="30"/>
        </w:rPr>
        <w:t xml:space="preserve">             </w:t>
      </w:r>
      <w:r>
        <w:rPr>
          <w:rFonts w:hint="eastAsia" w:ascii="仿宋" w:hAnsi="仿宋" w:eastAsia="仿宋_GB2312"/>
          <w:sz w:val="30"/>
          <w:szCs w:val="30"/>
        </w:rPr>
        <w:t>证券简称：</w:t>
      </w:r>
      <w:r>
        <w:rPr>
          <w:rFonts w:ascii="仿宋" w:hAnsi="仿宋" w:eastAsia="仿宋_GB2312"/>
          <w:sz w:val="30"/>
          <w:szCs w:val="30"/>
        </w:rPr>
        <w:t xml:space="preserve">            </w:t>
      </w:r>
      <w:r>
        <w:rPr>
          <w:rFonts w:hint="eastAsia" w:ascii="仿宋" w:hAnsi="仿宋" w:eastAsia="仿宋_GB2312"/>
          <w:sz w:val="30"/>
          <w:szCs w:val="30"/>
        </w:rPr>
        <w:t>公告编号：</w:t>
      </w:r>
    </w:p>
    <w:p w14:paraId="61E2D3D1">
      <w:pPr>
        <w:adjustRightInd w:val="0"/>
        <w:snapToGrid w:val="0"/>
        <w:spacing w:line="560" w:lineRule="exact"/>
        <w:jc w:val="left"/>
        <w:rPr>
          <w:rFonts w:ascii="仿宋" w:hAnsi="仿宋" w:eastAsia="仿宋_GB2312"/>
          <w:sz w:val="30"/>
          <w:szCs w:val="30"/>
        </w:rPr>
      </w:pPr>
    </w:p>
    <w:p w14:paraId="4D3BEDCE">
      <w:pPr>
        <w:adjustRightInd w:val="0"/>
        <w:snapToGrid w:val="0"/>
        <w:spacing w:beforeLines="50" w:line="560" w:lineRule="exact"/>
        <w:jc w:val="center"/>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XXXX股份有限公司董事会决议公告</w:t>
      </w:r>
    </w:p>
    <w:p w14:paraId="671E2B88">
      <w:pPr>
        <w:adjustRightInd w:val="0"/>
        <w:snapToGrid w:val="0"/>
        <w:spacing w:beforeLines="50" w:line="560" w:lineRule="exact"/>
        <w:ind w:firstLine="600" w:firstLineChars="200"/>
        <w:jc w:val="center"/>
        <w:rPr>
          <w:rFonts w:ascii="仿宋" w:hAnsi="仿宋" w:eastAsia="仿宋_GB2312"/>
          <w:color w:val="000000"/>
          <w:sz w:val="30"/>
          <w:szCs w:val="30"/>
        </w:rPr>
      </w:pPr>
    </w:p>
    <w:p w14:paraId="17EB7CBC">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本公司董事会及全体董事保证本公告内容不存在任何虚假记载、误导性陈述或者重大遗漏，并对其内容的真实性、准确性和完整性承担法律责任。</w:t>
      </w:r>
    </w:p>
    <w:p w14:paraId="0AE959CE">
      <w:pPr>
        <w:pBdr>
          <w:top w:val="single" w:color="auto" w:sz="4" w:space="1"/>
          <w:left w:val="single" w:color="auto" w:sz="4" w:space="4"/>
          <w:bottom w:val="single" w:color="auto" w:sz="4" w:space="1"/>
          <w:right w:val="single" w:color="auto" w:sz="4" w:space="4"/>
        </w:pBd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如有董事对临时公告内容的真实性、准确性和完整性无法保证或存在异议的，公司应当在公告中作特别提示。</w:t>
      </w:r>
    </w:p>
    <w:p w14:paraId="18A9BD51">
      <w:pPr>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p>
    <w:p w14:paraId="751399EF">
      <w:pPr>
        <w:tabs>
          <w:tab w:val="left" w:pos="0"/>
        </w:tabs>
        <w:autoSpaceDE w:val="0"/>
        <w:autoSpaceDN w:val="0"/>
        <w:adjustRightInd w:val="0"/>
        <w:snapToGrid w:val="0"/>
        <w:spacing w:line="560" w:lineRule="exact"/>
        <w:ind w:firstLine="602" w:firstLineChars="200"/>
        <w:rPr>
          <w:rFonts w:ascii="仿宋" w:hAnsi="仿宋" w:eastAsia="仿宋_GB2312" w:cs="宋体"/>
          <w:b/>
          <w:color w:val="000000"/>
          <w:kern w:val="0"/>
          <w:sz w:val="30"/>
          <w:szCs w:val="30"/>
        </w:rPr>
      </w:pPr>
      <w:r>
        <w:rPr>
          <w:rFonts w:hint="eastAsia" w:ascii="仿宋" w:hAnsi="仿宋" w:eastAsia="仿宋_GB2312" w:cs="宋体"/>
          <w:b/>
          <w:color w:val="000000"/>
          <w:kern w:val="0"/>
          <w:sz w:val="30"/>
          <w:szCs w:val="30"/>
        </w:rPr>
        <w:t>重要内容提示(如适用)：</w:t>
      </w:r>
    </w:p>
    <w:p w14:paraId="15A795CF">
      <w:pPr>
        <w:numPr>
          <w:ilvl w:val="0"/>
          <w:numId w:val="1"/>
        </w:numPr>
        <w:autoSpaceDE w:val="0"/>
        <w:autoSpaceDN w:val="0"/>
        <w:adjustRightInd w:val="0"/>
        <w:snapToGrid w:val="0"/>
        <w:spacing w:line="560" w:lineRule="exact"/>
        <w:ind w:left="0"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董事XXX、XXX因</w:t>
      </w:r>
      <w:r>
        <w:rPr>
          <w:rFonts w:hint="eastAsia" w:ascii="仿宋_GB2312" w:hAnsi="仿宋_GB2312" w:eastAsia="仿宋_GB2312" w:cs="仿宋_GB2312"/>
          <w:color w:val="000000"/>
          <w:kern w:val="0"/>
          <w:sz w:val="30"/>
          <w:szCs w:val="30"/>
          <w:u w:val="single"/>
        </w:rPr>
        <w:t xml:space="preserve">         </w:t>
      </w:r>
      <w:r>
        <w:rPr>
          <w:rFonts w:hint="eastAsia" w:ascii="仿宋_GB2312" w:hAnsi="仿宋_GB2312" w:eastAsia="仿宋_GB2312" w:cs="仿宋_GB2312"/>
          <w:color w:val="000000"/>
          <w:kern w:val="0"/>
          <w:sz w:val="30"/>
          <w:szCs w:val="30"/>
        </w:rPr>
        <w:t>（具体和明确的理由）未能出席（亲自出席或委托出席）本次董事会。</w:t>
      </w:r>
    </w:p>
    <w:p w14:paraId="223289AD">
      <w:pPr>
        <w:numPr>
          <w:ilvl w:val="0"/>
          <w:numId w:val="1"/>
        </w:numPr>
        <w:autoSpaceDE w:val="0"/>
        <w:autoSpaceDN w:val="0"/>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有董事对本次董事会第 X 项议案投反对/弃权票。</w:t>
      </w:r>
    </w:p>
    <w:p w14:paraId="342BE519">
      <w:pPr>
        <w:numPr>
          <w:ilvl w:val="0"/>
          <w:numId w:val="1"/>
        </w:numPr>
        <w:autoSpaceDE w:val="0"/>
        <w:autoSpaceDN w:val="0"/>
        <w:adjustRightInd w:val="0"/>
        <w:snapToGrid w:val="0"/>
        <w:spacing w:line="560" w:lineRule="exact"/>
        <w:ind w:left="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本次董事会第 X 项议案未获通过。</w:t>
      </w:r>
    </w:p>
    <w:p w14:paraId="49525E3A">
      <w:pPr>
        <w:autoSpaceDE w:val="0"/>
        <w:autoSpaceDN w:val="0"/>
        <w:adjustRightInd w:val="0"/>
        <w:snapToGrid w:val="0"/>
        <w:spacing w:line="560" w:lineRule="exact"/>
        <w:ind w:firstLine="600" w:firstLineChars="200"/>
        <w:rPr>
          <w:rFonts w:ascii="仿宋" w:hAnsi="仿宋" w:eastAsia="仿宋_GB2312"/>
          <w:color w:val="000000"/>
          <w:sz w:val="30"/>
          <w:szCs w:val="30"/>
        </w:rPr>
      </w:pPr>
    </w:p>
    <w:p w14:paraId="5BC1E5BB">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一、董事会会议召开情况</w:t>
      </w:r>
    </w:p>
    <w:p w14:paraId="768D32CD">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（一）说明本次董事会会议的召开是否符合有关法律、行政法规、部门规章、规范性文件和公司章程的规定。</w:t>
      </w:r>
    </w:p>
    <w:p w14:paraId="3D0C86C0">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（二）说明发出董事会会议通知和材料的时间和方式。</w:t>
      </w:r>
    </w:p>
    <w:p w14:paraId="08A65A43">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（三）说明召开董事会会议的时间、地点和方式（即现场表决方式、通讯表决方式、现场结合通讯表决方式）。</w:t>
      </w:r>
    </w:p>
    <w:p w14:paraId="08F88601">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四）说明董事会会议应当出席的董事人数，实际出席会议的董事人数（其中：委托出席的董事人数，以通讯表决方式出席会议的人数），缺席会议的董事人数。董事缺席会议的，应当披露该董事的姓名和缺席会议的原因，是否是上市公司独立董事。董事委托他人出席会议的，应当披露该董事的姓名、不能亲自出席会议的原因和受托董事姓名，是否是上市公司独立董事。</w:t>
      </w:r>
    </w:p>
    <w:p w14:paraId="3DDF5AAD">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（五）说明董事会会议的主持人和列席人员。</w:t>
      </w:r>
    </w:p>
    <w:p w14:paraId="788A8F75">
      <w:pPr>
        <w:adjustRightInd w:val="0"/>
        <w:snapToGrid w:val="0"/>
        <w:spacing w:line="560" w:lineRule="exact"/>
        <w:ind w:firstLine="600" w:firstLineChars="200"/>
        <w:rPr>
          <w:rFonts w:ascii="仿宋" w:hAnsi="仿宋" w:eastAsia="仿宋_GB2312"/>
          <w:color w:val="000000"/>
          <w:sz w:val="30"/>
          <w:szCs w:val="30"/>
        </w:rPr>
      </w:pPr>
    </w:p>
    <w:p w14:paraId="49695FA2">
      <w:pPr>
        <w:autoSpaceDE w:val="0"/>
        <w:autoSpaceDN w:val="0"/>
        <w:adjustRightInd w:val="0"/>
        <w:snapToGrid w:val="0"/>
        <w:spacing w:line="560" w:lineRule="exact"/>
        <w:ind w:firstLine="602" w:firstLineChars="200"/>
        <w:rPr>
          <w:rFonts w:ascii="仿宋" w:hAnsi="仿宋" w:eastAsia="仿宋_GB2312"/>
          <w:color w:val="000000"/>
          <w:sz w:val="30"/>
          <w:szCs w:val="30"/>
        </w:rPr>
      </w:pPr>
      <w:r>
        <w:rPr>
          <w:rFonts w:hint="eastAsia" w:ascii="黑体" w:hAnsi="黑体" w:eastAsia="黑体" w:cs="Times New Roman"/>
          <w:b/>
          <w:sz w:val="30"/>
          <w:szCs w:val="30"/>
        </w:rPr>
        <w:t>二、董事会会议审议情况</w:t>
      </w:r>
    </w:p>
    <w:p w14:paraId="5005ED6E">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（一）说明每项议案的名称，获得的同意、反对和弃权的票数，议案是否获得通过。</w:t>
      </w:r>
    </w:p>
    <w:p w14:paraId="217F5C97">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董事对所审议案投反对票或弃权票的，应当披露有关理由。独立董事对所审议案投反对票或弃权票的，应当在披露董事会决议时，同时披露独立董事的异议意见，说明具体理由及依据、议案所涉事项的合法合规性、可能存在的风险以及对上市公司和中小股东权益的影响等。</w:t>
      </w:r>
    </w:p>
    <w:p w14:paraId="1639E05C">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（二）说明每项议案的具体内容。所审议案需按照中国证监会有关规定或本所制定的公告格式进行公告的，应当另行披露详细的相关重大事件公告，并在董事会决议公告中说明该重大事件公告的名称。</w:t>
      </w:r>
    </w:p>
    <w:p w14:paraId="33E9DE54">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（三）所审议案涉及关联交易、关联董事需回避表决的，应当说明关联董事的姓名以及回避表决情况。</w:t>
      </w:r>
    </w:p>
    <w:p w14:paraId="167A85DC">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四）所审议案需经审计委员会、全体独立董事过半数同意，提名委员会、薪酬与考核委员会提出建议，或中介机构发表意见的，应说明相关情况。董事会对提名委员会、薪酬与考核委员会的建议未采纳或未完全采纳的，应当披露未采纳的具体理由。</w:t>
      </w:r>
    </w:p>
    <w:p w14:paraId="05B8C495">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（五）审议通过的议案需提交股东会审议的，应当在董事会决议公告中明确说明“本议案需提交股东会审议”。</w:t>
      </w:r>
    </w:p>
    <w:p w14:paraId="2D86E997">
      <w:pPr>
        <w:adjustRightInd w:val="0"/>
        <w:snapToGrid w:val="0"/>
        <w:spacing w:line="560" w:lineRule="exact"/>
        <w:ind w:firstLine="600" w:firstLineChars="200"/>
        <w:rPr>
          <w:rFonts w:ascii="仿宋" w:hAnsi="仿宋" w:eastAsia="仿宋_GB2312"/>
          <w:color w:val="000000"/>
          <w:sz w:val="30"/>
          <w:szCs w:val="30"/>
        </w:rPr>
      </w:pPr>
    </w:p>
    <w:p w14:paraId="691097F8">
      <w:pPr>
        <w:adjustRightInd w:val="0"/>
        <w:snapToGrid w:val="0"/>
        <w:spacing w:line="560" w:lineRule="exact"/>
        <w:ind w:firstLine="600" w:firstLineChars="200"/>
        <w:rPr>
          <w:rFonts w:ascii="仿宋" w:hAnsi="仿宋" w:eastAsia="仿宋_GB2312"/>
          <w:color w:val="000000"/>
          <w:sz w:val="30"/>
          <w:szCs w:val="30"/>
        </w:rPr>
      </w:pPr>
      <w:r>
        <w:rPr>
          <w:rFonts w:hint="eastAsia" w:ascii="仿宋" w:hAnsi="仿宋" w:eastAsia="仿宋_GB2312"/>
          <w:color w:val="000000"/>
          <w:sz w:val="30"/>
          <w:szCs w:val="30"/>
        </w:rPr>
        <w:t>特此公告。</w:t>
      </w:r>
    </w:p>
    <w:p w14:paraId="2D43A10E">
      <w:pPr>
        <w:adjustRightInd w:val="0"/>
        <w:snapToGrid w:val="0"/>
        <w:spacing w:line="560" w:lineRule="exact"/>
        <w:ind w:firstLine="480" w:firstLineChars="200"/>
        <w:rPr>
          <w:rFonts w:ascii="楷体" w:hAnsi="楷体" w:eastAsia="楷体"/>
          <w:color w:val="000000"/>
          <w:sz w:val="24"/>
          <w:szCs w:val="24"/>
        </w:rPr>
      </w:pPr>
      <w:r>
        <w:rPr>
          <w:rFonts w:ascii="楷体" w:hAnsi="楷体" w:eastAsia="楷体"/>
          <w:color w:val="000000"/>
          <w:sz w:val="24"/>
          <w:szCs w:val="24"/>
        </w:rPr>
        <w:t>（编制提醒</w:t>
      </w:r>
      <w:r>
        <w:rPr>
          <w:rFonts w:hint="eastAsia" w:ascii="楷体" w:hAnsi="楷体" w:eastAsia="楷体"/>
          <w:color w:val="000000"/>
          <w:sz w:val="24"/>
          <w:szCs w:val="24"/>
        </w:rPr>
        <w:t>：董事会仅审议了一项议案</w:t>
      </w:r>
      <w:r>
        <w:rPr>
          <w:rFonts w:ascii="楷体" w:hAnsi="楷体" w:eastAsia="楷体"/>
          <w:color w:val="000000"/>
          <w:sz w:val="24"/>
          <w:szCs w:val="24"/>
        </w:rPr>
        <w:t>,</w:t>
      </w:r>
      <w:r>
        <w:rPr>
          <w:rFonts w:hint="eastAsia" w:ascii="楷体" w:hAnsi="楷体" w:eastAsia="楷体"/>
          <w:color w:val="000000"/>
          <w:sz w:val="24"/>
          <w:szCs w:val="24"/>
        </w:rPr>
        <w:t>且所审议案涉及事项已有具体对应的重大事件公告</w:t>
      </w:r>
      <w:r>
        <w:rPr>
          <w:rFonts w:ascii="楷体" w:hAnsi="楷体" w:eastAsia="楷体"/>
          <w:color w:val="000000"/>
          <w:sz w:val="24"/>
          <w:szCs w:val="24"/>
        </w:rPr>
        <w:t>,</w:t>
      </w:r>
      <w:r>
        <w:rPr>
          <w:rFonts w:hint="eastAsia" w:ascii="楷体" w:hAnsi="楷体" w:eastAsia="楷体"/>
          <w:color w:val="000000"/>
          <w:sz w:val="24"/>
          <w:szCs w:val="24"/>
        </w:rPr>
        <w:t>则公司无需另行提交董事会决议公告</w:t>
      </w:r>
      <w:r>
        <w:rPr>
          <w:rFonts w:ascii="楷体" w:hAnsi="楷体" w:eastAsia="楷体"/>
          <w:color w:val="000000"/>
          <w:sz w:val="24"/>
          <w:szCs w:val="24"/>
        </w:rPr>
        <w:t>,</w:t>
      </w:r>
      <w:r>
        <w:rPr>
          <w:rFonts w:hint="eastAsia" w:ascii="楷体" w:hAnsi="楷体" w:eastAsia="楷体"/>
          <w:color w:val="000000"/>
          <w:sz w:val="24"/>
          <w:szCs w:val="24"/>
        </w:rPr>
        <w:t>仅需在前述公告中参照本公告格式说明董事会审议情况。</w:t>
      </w:r>
      <w:r>
        <w:rPr>
          <w:rFonts w:ascii="楷体" w:hAnsi="楷体" w:eastAsia="楷体"/>
          <w:color w:val="000000"/>
          <w:sz w:val="24"/>
          <w:szCs w:val="24"/>
        </w:rPr>
        <w:t>）</w:t>
      </w:r>
    </w:p>
    <w:p w14:paraId="563E3DDB">
      <w:pPr>
        <w:adjustRightInd w:val="0"/>
        <w:snapToGrid w:val="0"/>
        <w:spacing w:line="560" w:lineRule="exact"/>
        <w:ind w:firstLine="480" w:firstLineChars="200"/>
        <w:rPr>
          <w:rFonts w:ascii="楷体" w:hAnsi="楷体" w:eastAsia="楷体"/>
          <w:color w:val="000000"/>
          <w:sz w:val="24"/>
          <w:szCs w:val="24"/>
        </w:rPr>
      </w:pPr>
    </w:p>
    <w:p w14:paraId="7765D037">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_GB2312" w:hAnsi="宋体" w:eastAsia="仿宋_GB2312" w:cs="宋体"/>
          <w:color w:val="000000"/>
          <w:kern w:val="0"/>
          <w:sz w:val="30"/>
          <w:szCs w:val="30"/>
        </w:rPr>
        <w:t>××××</w:t>
      </w:r>
      <w:r>
        <w:rPr>
          <w:rFonts w:hint="eastAsia" w:ascii="仿宋_GB2312" w:hAnsi="仿宋_GB2312" w:eastAsia="仿宋_GB2312" w:cs="仿宋_GB2312"/>
          <w:color w:val="000000"/>
          <w:sz w:val="30"/>
          <w:szCs w:val="30"/>
        </w:rPr>
        <w:t>股</w:t>
      </w:r>
      <w:r>
        <w:rPr>
          <w:rFonts w:hint="eastAsia" w:ascii="仿宋" w:hAnsi="仿宋" w:eastAsia="仿宋_GB2312"/>
          <w:color w:val="000000"/>
          <w:sz w:val="30"/>
          <w:szCs w:val="30"/>
        </w:rPr>
        <w:t>份有限公司董事会</w:t>
      </w:r>
    </w:p>
    <w:p w14:paraId="12CBF431">
      <w:pPr>
        <w:adjustRightInd w:val="0"/>
        <w:snapToGrid w:val="0"/>
        <w:spacing w:line="560" w:lineRule="exact"/>
        <w:ind w:firstLine="600" w:firstLineChars="200"/>
        <w:jc w:val="right"/>
        <w:rPr>
          <w:rFonts w:ascii="仿宋" w:hAnsi="仿宋" w:eastAsia="仿宋_GB2312"/>
          <w:color w:val="000000"/>
          <w:sz w:val="30"/>
          <w:szCs w:val="30"/>
        </w:rPr>
      </w:pPr>
      <w:r>
        <w:rPr>
          <w:rFonts w:hint="eastAsia" w:ascii="仿宋" w:hAnsi="仿宋" w:eastAsia="仿宋_GB2312"/>
          <w:color w:val="000000"/>
          <w:sz w:val="30"/>
          <w:szCs w:val="30"/>
        </w:rPr>
        <w:t>年</w:t>
      </w:r>
      <w:r>
        <w:rPr>
          <w:rFonts w:ascii="仿宋" w:hAnsi="仿宋" w:eastAsia="仿宋_GB2312"/>
          <w:color w:val="000000"/>
          <w:sz w:val="30"/>
          <w:szCs w:val="30"/>
        </w:rPr>
        <w:t xml:space="preserve">  </w:t>
      </w:r>
      <w:r>
        <w:rPr>
          <w:rFonts w:hint="eastAsia" w:ascii="仿宋" w:hAnsi="仿宋" w:eastAsia="仿宋_GB2312"/>
          <w:color w:val="000000"/>
          <w:sz w:val="30"/>
          <w:szCs w:val="30"/>
        </w:rPr>
        <w:t>月</w:t>
      </w:r>
      <w:r>
        <w:rPr>
          <w:rFonts w:ascii="仿宋" w:hAnsi="仿宋" w:eastAsia="仿宋_GB2312"/>
          <w:color w:val="000000"/>
          <w:sz w:val="30"/>
          <w:szCs w:val="30"/>
        </w:rPr>
        <w:t xml:space="preserve">  </w:t>
      </w:r>
      <w:r>
        <w:rPr>
          <w:rFonts w:hint="eastAsia" w:ascii="仿宋" w:hAnsi="仿宋" w:eastAsia="仿宋_GB2312"/>
          <w:color w:val="000000"/>
          <w:sz w:val="30"/>
          <w:szCs w:val="30"/>
        </w:rPr>
        <w:t>日</w:t>
      </w:r>
    </w:p>
    <w:p w14:paraId="599E1CAB">
      <w:pPr>
        <w:adjustRightInd w:val="0"/>
        <w:snapToGrid w:val="0"/>
        <w:spacing w:line="560" w:lineRule="exact"/>
        <w:ind w:firstLine="600" w:firstLineChars="200"/>
        <w:jc w:val="right"/>
        <w:rPr>
          <w:rFonts w:ascii="仿宋" w:hAnsi="仿宋" w:eastAsia="仿宋_GB2312"/>
          <w:color w:val="000000"/>
          <w:sz w:val="30"/>
          <w:szCs w:val="30"/>
        </w:rPr>
      </w:pPr>
    </w:p>
    <w:p w14:paraId="548D8C9C">
      <w:pPr>
        <w:adjustRightInd w:val="0"/>
        <w:snapToGrid w:val="0"/>
        <w:spacing w:line="560" w:lineRule="exact"/>
        <w:ind w:firstLine="600" w:firstLineChars="200"/>
        <w:jc w:val="right"/>
        <w:rPr>
          <w:rFonts w:ascii="仿宋" w:hAnsi="仿宋" w:eastAsia="仿宋_GB2312"/>
          <w:color w:val="000000"/>
          <w:sz w:val="30"/>
          <w:szCs w:val="30"/>
        </w:rPr>
      </w:pPr>
    </w:p>
    <w:p w14:paraId="697E6E9E">
      <w:pPr>
        <w:adjustRightInd w:val="0"/>
        <w:snapToGrid w:val="0"/>
        <w:spacing w:line="560" w:lineRule="exact"/>
        <w:ind w:firstLine="600" w:firstLineChars="200"/>
        <w:rPr>
          <w:rFonts w:ascii="仿宋" w:hAnsi="仿宋" w:eastAsia="仿宋_GB2312"/>
          <w:color w:val="000000"/>
          <w:sz w:val="30"/>
          <w:szCs w:val="30"/>
        </w:rPr>
      </w:pPr>
    </w:p>
    <w:p w14:paraId="5D635E46">
      <w:pPr>
        <w:adjustRightInd w:val="0"/>
        <w:snapToGrid w:val="0"/>
        <w:spacing w:line="560" w:lineRule="exact"/>
        <w:ind w:firstLine="600" w:firstLineChars="200"/>
        <w:rPr>
          <w:rFonts w:ascii="仿宋_GB2312" w:hAnsi="宋体" w:eastAsia="仿宋_GB2312" w:cs="宋体"/>
          <w:kern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1CED352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B78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E7EB0"/>
    <w:multiLevelType w:val="multilevel"/>
    <w:tmpl w:val="65AE7EB0"/>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30"/>
        </w:tabs>
        <w:ind w:left="930" w:hanging="360"/>
      </w:pPr>
      <w:rPr>
        <w:rFonts w:cs="Times New Roman"/>
      </w:rPr>
    </w:lvl>
    <w:lvl w:ilvl="2" w:tentative="0">
      <w:start w:val="1"/>
      <w:numFmt w:val="decimal"/>
      <w:lvlText w:val="%3."/>
      <w:lvlJc w:val="left"/>
      <w:pPr>
        <w:tabs>
          <w:tab w:val="left" w:pos="1650"/>
        </w:tabs>
        <w:ind w:left="1650" w:hanging="360"/>
      </w:pPr>
      <w:rPr>
        <w:rFonts w:cs="Times New Roman"/>
      </w:rPr>
    </w:lvl>
    <w:lvl w:ilvl="3" w:tentative="0">
      <w:start w:val="1"/>
      <w:numFmt w:val="decimal"/>
      <w:lvlText w:val="%4."/>
      <w:lvlJc w:val="left"/>
      <w:pPr>
        <w:tabs>
          <w:tab w:val="left" w:pos="2370"/>
        </w:tabs>
        <w:ind w:left="2370" w:hanging="360"/>
      </w:pPr>
      <w:rPr>
        <w:rFonts w:cs="Times New Roman"/>
      </w:rPr>
    </w:lvl>
    <w:lvl w:ilvl="4" w:tentative="0">
      <w:start w:val="1"/>
      <w:numFmt w:val="decimal"/>
      <w:lvlText w:val="%5."/>
      <w:lvlJc w:val="left"/>
      <w:pPr>
        <w:tabs>
          <w:tab w:val="left" w:pos="3090"/>
        </w:tabs>
        <w:ind w:left="3090" w:hanging="360"/>
      </w:pPr>
      <w:rPr>
        <w:rFonts w:cs="Times New Roman"/>
      </w:rPr>
    </w:lvl>
    <w:lvl w:ilvl="5" w:tentative="0">
      <w:start w:val="1"/>
      <w:numFmt w:val="decimal"/>
      <w:lvlText w:val="%6."/>
      <w:lvlJc w:val="left"/>
      <w:pPr>
        <w:tabs>
          <w:tab w:val="left" w:pos="3810"/>
        </w:tabs>
        <w:ind w:left="3810" w:hanging="360"/>
      </w:pPr>
      <w:rPr>
        <w:rFonts w:cs="Times New Roman"/>
      </w:rPr>
    </w:lvl>
    <w:lvl w:ilvl="6" w:tentative="0">
      <w:start w:val="1"/>
      <w:numFmt w:val="decimal"/>
      <w:lvlText w:val="%7."/>
      <w:lvlJc w:val="left"/>
      <w:pPr>
        <w:tabs>
          <w:tab w:val="left" w:pos="4530"/>
        </w:tabs>
        <w:ind w:left="4530" w:hanging="360"/>
      </w:pPr>
      <w:rPr>
        <w:rFonts w:cs="Times New Roman"/>
      </w:rPr>
    </w:lvl>
    <w:lvl w:ilvl="7" w:tentative="0">
      <w:start w:val="1"/>
      <w:numFmt w:val="decimal"/>
      <w:lvlText w:val="%8."/>
      <w:lvlJc w:val="left"/>
      <w:pPr>
        <w:tabs>
          <w:tab w:val="left" w:pos="5250"/>
        </w:tabs>
        <w:ind w:left="5250" w:hanging="360"/>
      </w:pPr>
      <w:rPr>
        <w:rFonts w:cs="Times New Roman"/>
      </w:rPr>
    </w:lvl>
    <w:lvl w:ilvl="8" w:tentative="0">
      <w:start w:val="1"/>
      <w:numFmt w:val="decimal"/>
      <w:lvlText w:val="%9."/>
      <w:lvlJc w:val="left"/>
      <w:pPr>
        <w:tabs>
          <w:tab w:val="left" w:pos="5970"/>
        </w:tabs>
        <w:ind w:left="5970" w:hanging="360"/>
      </w:pPr>
      <w:rPr>
        <w:rFonts w:cs="Times New Roman"/>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1827E2"/>
    <w:rsid w:val="0008555B"/>
    <w:rsid w:val="000B1A1F"/>
    <w:rsid w:val="000D459A"/>
    <w:rsid w:val="00123266"/>
    <w:rsid w:val="0014777F"/>
    <w:rsid w:val="00192BD0"/>
    <w:rsid w:val="001A727A"/>
    <w:rsid w:val="001D06CF"/>
    <w:rsid w:val="00207B64"/>
    <w:rsid w:val="00225FE6"/>
    <w:rsid w:val="00243128"/>
    <w:rsid w:val="00252550"/>
    <w:rsid w:val="002B6913"/>
    <w:rsid w:val="003571E3"/>
    <w:rsid w:val="00390D91"/>
    <w:rsid w:val="00391A1B"/>
    <w:rsid w:val="003E38F1"/>
    <w:rsid w:val="004A790E"/>
    <w:rsid w:val="004B5841"/>
    <w:rsid w:val="004D041E"/>
    <w:rsid w:val="004D0E8E"/>
    <w:rsid w:val="004E7C16"/>
    <w:rsid w:val="00522BE2"/>
    <w:rsid w:val="0052694E"/>
    <w:rsid w:val="005429C2"/>
    <w:rsid w:val="0055216A"/>
    <w:rsid w:val="005A2954"/>
    <w:rsid w:val="006150E2"/>
    <w:rsid w:val="006704CD"/>
    <w:rsid w:val="006E4DD1"/>
    <w:rsid w:val="00714B84"/>
    <w:rsid w:val="00726F44"/>
    <w:rsid w:val="00774170"/>
    <w:rsid w:val="00784666"/>
    <w:rsid w:val="00797CFF"/>
    <w:rsid w:val="007B073D"/>
    <w:rsid w:val="007B1916"/>
    <w:rsid w:val="007C3FFA"/>
    <w:rsid w:val="008320FC"/>
    <w:rsid w:val="008A06E7"/>
    <w:rsid w:val="0090186C"/>
    <w:rsid w:val="00915D39"/>
    <w:rsid w:val="00947C32"/>
    <w:rsid w:val="009B47DE"/>
    <w:rsid w:val="009D1A30"/>
    <w:rsid w:val="009E3152"/>
    <w:rsid w:val="00A27D2E"/>
    <w:rsid w:val="00A51C23"/>
    <w:rsid w:val="00A823F8"/>
    <w:rsid w:val="00AA6EAE"/>
    <w:rsid w:val="00AC3419"/>
    <w:rsid w:val="00AF1D52"/>
    <w:rsid w:val="00BB61B6"/>
    <w:rsid w:val="00BC233A"/>
    <w:rsid w:val="00BC6717"/>
    <w:rsid w:val="00BF55AE"/>
    <w:rsid w:val="00BF7BDB"/>
    <w:rsid w:val="00C176A6"/>
    <w:rsid w:val="00C24476"/>
    <w:rsid w:val="00C47186"/>
    <w:rsid w:val="00CB17F8"/>
    <w:rsid w:val="00CB3486"/>
    <w:rsid w:val="00CB5EB0"/>
    <w:rsid w:val="00CC6263"/>
    <w:rsid w:val="00CF4270"/>
    <w:rsid w:val="00D40293"/>
    <w:rsid w:val="00D45861"/>
    <w:rsid w:val="00D46F41"/>
    <w:rsid w:val="00D7038D"/>
    <w:rsid w:val="00D8189C"/>
    <w:rsid w:val="00DB744D"/>
    <w:rsid w:val="00DD62E6"/>
    <w:rsid w:val="00DE3385"/>
    <w:rsid w:val="00DF73E8"/>
    <w:rsid w:val="00E301F1"/>
    <w:rsid w:val="00E558AE"/>
    <w:rsid w:val="00E95F43"/>
    <w:rsid w:val="00EC496E"/>
    <w:rsid w:val="00EE084C"/>
    <w:rsid w:val="00EE6905"/>
    <w:rsid w:val="00EF008A"/>
    <w:rsid w:val="00EF37EC"/>
    <w:rsid w:val="00F0268C"/>
    <w:rsid w:val="00F670DD"/>
    <w:rsid w:val="00FE6306"/>
    <w:rsid w:val="00FF7741"/>
    <w:rsid w:val="0D8E3248"/>
    <w:rsid w:val="0F5B1FBE"/>
    <w:rsid w:val="30235313"/>
    <w:rsid w:val="37F6649E"/>
    <w:rsid w:val="5150387B"/>
    <w:rsid w:val="521827E2"/>
    <w:rsid w:val="54CA7B2B"/>
    <w:rsid w:val="774F41F5"/>
    <w:rsid w:val="77D11EA6"/>
    <w:rsid w:val="7DFA3E2A"/>
    <w:rsid w:val="9F7D7758"/>
    <w:rsid w:val="D77F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99"/>
    <w:rPr>
      <w:kern w:val="2"/>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批注框文本 Char"/>
    <w:basedOn w:val="9"/>
    <w:link w:val="3"/>
    <w:qFormat/>
    <w:uiPriority w:val="0"/>
    <w:rPr>
      <w:kern w:val="2"/>
      <w:sz w:val="18"/>
      <w:szCs w:val="18"/>
    </w:rPr>
  </w:style>
  <w:style w:type="character" w:customStyle="1" w:styleId="15">
    <w:name w:val="批注文字 Char"/>
    <w:basedOn w:val="9"/>
    <w:link w:val="2"/>
    <w:qFormat/>
    <w:uiPriority w:val="0"/>
    <w:rPr>
      <w:kern w:val="2"/>
      <w:sz w:val="21"/>
      <w:szCs w:val="22"/>
    </w:rPr>
  </w:style>
  <w:style w:type="character" w:customStyle="1" w:styleId="16">
    <w:name w:val="批注主题 Char"/>
    <w:basedOn w:val="15"/>
    <w:link w:val="7"/>
    <w:qFormat/>
    <w:uiPriority w:val="0"/>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180</Words>
  <Characters>1031</Characters>
  <Lines>8</Lines>
  <Paragraphs>2</Paragraphs>
  <TotalTime>3</TotalTime>
  <ScaleCrop>false</ScaleCrop>
  <LinksUpToDate>false</LinksUpToDate>
  <CharactersWithSpaces>1209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2023-08-02T17:49:00Z</dcterms:created>
  <dc:creator>whzhou</dc:creator>
  <cp:lastModifiedBy>wentinglou</cp:lastModifiedBy>
  <dcterms:modified xsi:type="dcterms:W3CDTF">2025-08-25T15:44:34Z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75782A7EDD734487B38F2D70CA85C858_13</vt:lpwstr>
  </property>
</Properties>
</file>