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E4659">
      <w:pPr>
        <w:jc w:val="center"/>
        <w:rPr>
          <w:rFonts w:ascii="黑体" w:hAnsi="黑体" w:eastAsia="黑体"/>
          <w:b/>
          <w:bCs/>
          <w:sz w:val="36"/>
          <w:szCs w:val="36"/>
        </w:rPr>
      </w:pPr>
      <w:bookmarkStart w:id="7" w:name="_GoBack"/>
      <w:bookmarkEnd w:id="7"/>
      <w:r>
        <w:rPr>
          <w:rFonts w:hint="eastAsia" w:ascii="黑体" w:hAnsi="黑体" w:eastAsia="黑体"/>
          <w:b/>
          <w:bCs/>
          <w:sz w:val="36"/>
          <w:szCs w:val="36"/>
        </w:rPr>
        <w:t>第三号 上市公司</w:t>
      </w:r>
      <w:bookmarkStart w:id="0" w:name="_Hlk62386483"/>
      <w:r>
        <w:rPr>
          <w:rFonts w:hint="eastAsia" w:ascii="黑体" w:hAnsi="黑体" w:eastAsia="黑体"/>
          <w:b/>
          <w:bCs/>
          <w:sz w:val="36"/>
          <w:szCs w:val="36"/>
        </w:rPr>
        <w:t>证券投资</w:t>
      </w:r>
      <w:r>
        <w:rPr>
          <w:rFonts w:ascii="黑体" w:hAnsi="黑体" w:eastAsia="黑体"/>
          <w:b/>
          <w:bCs/>
          <w:sz w:val="36"/>
          <w:szCs w:val="36"/>
        </w:rPr>
        <w:t>、</w:t>
      </w:r>
      <w:r>
        <w:rPr>
          <w:rFonts w:hint="eastAsia" w:ascii="黑体" w:hAnsi="黑体" w:eastAsia="黑体"/>
          <w:b/>
          <w:bCs/>
          <w:sz w:val="36"/>
          <w:szCs w:val="36"/>
        </w:rPr>
        <w:t>委托理财、期货和</w:t>
      </w:r>
    </w:p>
    <w:p w14:paraId="50AD3025">
      <w:pPr>
        <w:jc w:val="center"/>
        <w:rPr>
          <w:rFonts w:ascii="黑体" w:hAnsi="黑体" w:eastAsia="黑体"/>
          <w:b/>
          <w:bCs/>
          <w:sz w:val="36"/>
          <w:szCs w:val="36"/>
        </w:rPr>
      </w:pPr>
      <w:r>
        <w:rPr>
          <w:rFonts w:ascii="黑体" w:hAnsi="黑体" w:eastAsia="黑体"/>
          <w:b/>
          <w:bCs/>
          <w:sz w:val="36"/>
          <w:szCs w:val="36"/>
        </w:rPr>
        <w:t>衍生品交易</w:t>
      </w:r>
      <w:bookmarkEnd w:id="0"/>
      <w:r>
        <w:rPr>
          <w:rFonts w:hint="eastAsia" w:ascii="黑体" w:hAnsi="黑体" w:eastAsia="黑体"/>
          <w:b/>
          <w:bCs/>
          <w:sz w:val="36"/>
          <w:szCs w:val="36"/>
        </w:rPr>
        <w:t>公告</w:t>
      </w:r>
    </w:p>
    <w:p w14:paraId="4B2FA50B"/>
    <w:p w14:paraId="2A81F001">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w:t>
      </w:r>
      <w:r>
        <w:rPr>
          <w:rFonts w:ascii="仿宋_GB2312" w:eastAsia="仿宋_GB2312"/>
          <w:color w:val="000000"/>
          <w:sz w:val="30"/>
          <w:szCs w:val="30"/>
        </w:rPr>
        <w:t>从事</w:t>
      </w:r>
      <w:r>
        <w:rPr>
          <w:rFonts w:hint="eastAsia" w:ascii="仿宋_GB2312" w:eastAsia="仿宋_GB2312"/>
          <w:color w:val="000000"/>
          <w:sz w:val="30"/>
          <w:szCs w:val="30"/>
        </w:rPr>
        <w:t>证券投资、委托理财</w:t>
      </w:r>
      <w:r>
        <w:rPr>
          <w:rFonts w:ascii="仿宋_GB2312" w:eastAsia="仿宋_GB2312"/>
          <w:color w:val="000000"/>
          <w:sz w:val="30"/>
          <w:szCs w:val="30"/>
        </w:rPr>
        <w:t>、</w:t>
      </w:r>
      <w:r>
        <w:rPr>
          <w:rFonts w:hint="eastAsia" w:ascii="仿宋_GB2312" w:eastAsia="仿宋_GB2312"/>
          <w:color w:val="000000"/>
          <w:sz w:val="30"/>
          <w:szCs w:val="30"/>
        </w:rPr>
        <w:t>开展期货和衍生品交易触及本所《股票上市规则》《上市公司自律监管指引第5号——交易与关联交易》等规定的信息披露义务的，适用本公告格式</w:t>
      </w:r>
      <w:r>
        <w:rPr>
          <w:rFonts w:ascii="仿宋_GB2312" w:eastAsia="仿宋_GB2312"/>
          <w:color w:val="000000"/>
          <w:sz w:val="30"/>
          <w:szCs w:val="30"/>
        </w:rPr>
        <w:t>。以证券投资</w:t>
      </w:r>
      <w:r>
        <w:rPr>
          <w:rFonts w:hint="eastAsia" w:ascii="仿宋_GB2312" w:eastAsia="仿宋_GB2312"/>
          <w:color w:val="000000"/>
          <w:sz w:val="30"/>
          <w:szCs w:val="30"/>
        </w:rPr>
        <w:t>、</w:t>
      </w:r>
      <w:r>
        <w:rPr>
          <w:rFonts w:ascii="仿宋_GB2312" w:eastAsia="仿宋_GB2312"/>
          <w:color w:val="000000"/>
          <w:sz w:val="30"/>
          <w:szCs w:val="30"/>
        </w:rPr>
        <w:t>资金管理、投资理财等投融资活动、</w:t>
      </w:r>
      <w:r>
        <w:rPr>
          <w:rFonts w:hint="eastAsia" w:ascii="仿宋_GB2312" w:eastAsia="仿宋_GB2312"/>
          <w:color w:val="000000"/>
          <w:sz w:val="30"/>
          <w:szCs w:val="30"/>
        </w:rPr>
        <w:t>期货和</w:t>
      </w:r>
      <w:r>
        <w:rPr>
          <w:rFonts w:ascii="仿宋_GB2312" w:eastAsia="仿宋_GB2312"/>
          <w:color w:val="000000"/>
          <w:sz w:val="30"/>
          <w:szCs w:val="30"/>
        </w:rPr>
        <w:t>衍生品交易为主营业务的上市公司及其控股子公司，其</w:t>
      </w:r>
      <w:r>
        <w:rPr>
          <w:rFonts w:hint="eastAsia" w:ascii="仿宋_GB2312" w:eastAsia="仿宋_GB2312"/>
          <w:color w:val="000000"/>
          <w:sz w:val="30"/>
          <w:szCs w:val="30"/>
        </w:rPr>
        <w:t>相关</w:t>
      </w:r>
      <w:r>
        <w:rPr>
          <w:rFonts w:ascii="仿宋_GB2312" w:eastAsia="仿宋_GB2312"/>
          <w:color w:val="000000"/>
          <w:sz w:val="30"/>
          <w:szCs w:val="30"/>
        </w:rPr>
        <w:t>业务行为</w:t>
      </w:r>
      <w:r>
        <w:rPr>
          <w:rFonts w:hint="eastAsia" w:ascii="仿宋_GB2312" w:eastAsia="仿宋_GB2312"/>
          <w:color w:val="000000"/>
          <w:sz w:val="30"/>
          <w:szCs w:val="30"/>
        </w:rPr>
        <w:t>可</w:t>
      </w:r>
      <w:r>
        <w:rPr>
          <w:rFonts w:ascii="仿宋_GB2312" w:eastAsia="仿宋_GB2312"/>
          <w:color w:val="000000"/>
          <w:sz w:val="30"/>
          <w:szCs w:val="30"/>
        </w:rPr>
        <w:t>不适用本公告格式。</w:t>
      </w:r>
    </w:p>
    <w:p w14:paraId="7DF82BC4">
      <w:pPr>
        <w:pStyle w:val="19"/>
        <w:tabs>
          <w:tab w:val="right" w:leader="dot" w:pos="8306"/>
        </w:tabs>
        <w:rPr>
          <w:rFonts w:ascii="宋体" w:hAnsi="宋体"/>
          <w:kern w:val="2"/>
          <w:sz w:val="21"/>
          <w:szCs w:val="22"/>
        </w:rPr>
      </w:pPr>
    </w:p>
    <w:sdt>
      <w:sdtPr>
        <w:rPr>
          <w:rFonts w:ascii="宋体" w:hAnsi="宋体"/>
        </w:rPr>
        <w:id w:val="147452639"/>
        <w:docPartObj>
          <w:docPartGallery w:val="Table of Contents"/>
          <w:docPartUnique/>
        </w:docPartObj>
      </w:sdtPr>
      <w:sdtEndPr>
        <w:rPr>
          <w:rFonts w:ascii="仿宋_GB2312" w:hAnsi="Calibri" w:eastAsia="仿宋_GB2312"/>
          <w:color w:val="000000"/>
          <w:szCs w:val="30"/>
        </w:rPr>
      </w:sdtEndPr>
      <w:sdtContent>
        <w:p w14:paraId="558B1983">
          <w:pPr>
            <w:pStyle w:val="6"/>
            <w:tabs>
              <w:tab w:val="right" w:leader="dot" w:pos="8306"/>
            </w:tabs>
            <w:rPr>
              <w:rFonts w:ascii="仿宋_GB2312" w:hAnsi="仿宋_GB2312" w:eastAsia="仿宋_GB2312" w:cs="仿宋_GB2312"/>
              <w:b/>
              <w:bCs/>
              <w:kern w:val="44"/>
              <w:sz w:val="30"/>
              <w:szCs w:val="30"/>
            </w:rPr>
          </w:pPr>
          <w:r>
            <w:rPr>
              <w:rFonts w:ascii="仿宋_GB2312" w:eastAsia="仿宋_GB2312"/>
              <w:color w:val="000000"/>
              <w:sz w:val="30"/>
              <w:szCs w:val="30"/>
            </w:rPr>
            <w:fldChar w:fldCharType="begin"/>
          </w:r>
          <w:r>
            <w:rPr>
              <w:rFonts w:ascii="仿宋_GB2312" w:eastAsia="仿宋_GB2312"/>
              <w:color w:val="000000"/>
              <w:sz w:val="30"/>
              <w:szCs w:val="30"/>
            </w:rPr>
            <w:instrText xml:space="preserve">TOC \o "1-1" \h \u </w:instrText>
          </w:r>
          <w:r>
            <w:rPr>
              <w:rFonts w:ascii="仿宋_GB2312" w:eastAsia="仿宋_GB2312"/>
              <w:color w:val="000000"/>
              <w:sz w:val="30"/>
              <w:szCs w:val="30"/>
            </w:rPr>
            <w:fldChar w:fldCharType="separate"/>
          </w:r>
          <w:r>
            <w:fldChar w:fldCharType="begin"/>
          </w:r>
          <w:r>
            <w:instrText xml:space="preserve"> HYPERLINK \l "_Toc22444" </w:instrText>
          </w:r>
          <w:r>
            <w:fldChar w:fldCharType="separate"/>
          </w:r>
          <w:r>
            <w:rPr>
              <w:rFonts w:hint="eastAsia" w:ascii="仿宋_GB2312" w:hAnsi="仿宋_GB2312" w:eastAsia="仿宋_GB2312" w:cs="仿宋_GB2312"/>
              <w:b/>
              <w:bCs/>
              <w:kern w:val="44"/>
              <w:sz w:val="30"/>
              <w:szCs w:val="30"/>
            </w:rPr>
            <w:t>一、上市公司证券投资及委托理财公告</w:t>
          </w:r>
          <w:r>
            <w:rPr>
              <w:rFonts w:hint="eastAsia" w:ascii="仿宋_GB2312" w:hAnsi="仿宋_GB2312" w:eastAsia="仿宋_GB2312" w:cs="仿宋_GB2312"/>
              <w:b/>
              <w:bCs/>
              <w:kern w:val="44"/>
              <w:sz w:val="30"/>
              <w:szCs w:val="30"/>
            </w:rPr>
            <w:tab/>
          </w:r>
          <w:r>
            <w:rPr>
              <w:rFonts w:hint="eastAsia" w:ascii="仿宋_GB2312" w:hAnsi="仿宋_GB2312" w:eastAsia="仿宋_GB2312" w:cs="仿宋_GB2312"/>
              <w:b/>
              <w:bCs/>
              <w:kern w:val="44"/>
              <w:sz w:val="30"/>
              <w:szCs w:val="30"/>
            </w:rPr>
            <w:fldChar w:fldCharType="begin"/>
          </w:r>
          <w:r>
            <w:rPr>
              <w:rFonts w:hint="eastAsia" w:ascii="仿宋_GB2312" w:hAnsi="仿宋_GB2312" w:eastAsia="仿宋_GB2312" w:cs="仿宋_GB2312"/>
              <w:b/>
              <w:bCs/>
              <w:kern w:val="44"/>
              <w:sz w:val="30"/>
              <w:szCs w:val="30"/>
            </w:rPr>
            <w:instrText xml:space="preserve"> PAGEREF _Toc22444 \h </w:instrText>
          </w:r>
          <w:r>
            <w:rPr>
              <w:rFonts w:hint="eastAsia" w:ascii="仿宋_GB2312" w:hAnsi="仿宋_GB2312" w:eastAsia="仿宋_GB2312" w:cs="仿宋_GB2312"/>
              <w:b/>
              <w:bCs/>
              <w:kern w:val="44"/>
              <w:sz w:val="30"/>
              <w:szCs w:val="30"/>
            </w:rPr>
            <w:fldChar w:fldCharType="separate"/>
          </w:r>
          <w:r>
            <w:rPr>
              <w:rFonts w:hint="eastAsia" w:ascii="仿宋_GB2312" w:hAnsi="仿宋_GB2312" w:eastAsia="仿宋_GB2312" w:cs="仿宋_GB2312"/>
              <w:b/>
              <w:bCs/>
              <w:kern w:val="44"/>
              <w:sz w:val="30"/>
              <w:szCs w:val="30"/>
            </w:rPr>
            <w:t>2</w:t>
          </w:r>
          <w:r>
            <w:rPr>
              <w:rFonts w:hint="eastAsia" w:ascii="仿宋_GB2312" w:hAnsi="仿宋_GB2312" w:eastAsia="仿宋_GB2312" w:cs="仿宋_GB2312"/>
              <w:b/>
              <w:bCs/>
              <w:kern w:val="44"/>
              <w:sz w:val="30"/>
              <w:szCs w:val="30"/>
            </w:rPr>
            <w:fldChar w:fldCharType="end"/>
          </w:r>
          <w:r>
            <w:rPr>
              <w:rFonts w:hint="eastAsia" w:ascii="仿宋_GB2312" w:hAnsi="仿宋_GB2312" w:eastAsia="仿宋_GB2312" w:cs="仿宋_GB2312"/>
              <w:b/>
              <w:bCs/>
              <w:kern w:val="44"/>
              <w:sz w:val="30"/>
              <w:szCs w:val="30"/>
            </w:rPr>
            <w:fldChar w:fldCharType="end"/>
          </w:r>
        </w:p>
        <w:p w14:paraId="1763A739">
          <w:pPr>
            <w:pStyle w:val="6"/>
            <w:tabs>
              <w:tab w:val="right" w:leader="dot" w:pos="8306"/>
            </w:tabs>
            <w:rPr>
              <w:rFonts w:eastAsia="仿宋_GB2312"/>
            </w:rPr>
          </w:pPr>
          <w:r>
            <w:fldChar w:fldCharType="begin"/>
          </w:r>
          <w:r>
            <w:instrText xml:space="preserve"> HYPERLINK \l "_Toc18463" </w:instrText>
          </w:r>
          <w:r>
            <w:fldChar w:fldCharType="separate"/>
          </w:r>
          <w:r>
            <w:rPr>
              <w:rFonts w:hint="eastAsia" w:ascii="仿宋_GB2312" w:hAnsi="仿宋_GB2312" w:eastAsia="仿宋_GB2312" w:cs="仿宋_GB2312"/>
              <w:b/>
              <w:bCs/>
              <w:kern w:val="44"/>
              <w:sz w:val="30"/>
              <w:szCs w:val="30"/>
            </w:rPr>
            <w:t>二、上市公司开展期货和衍生品交易公告</w:t>
          </w:r>
          <w:r>
            <w:rPr>
              <w:rFonts w:hint="eastAsia" w:ascii="仿宋_GB2312" w:hAnsi="仿宋_GB2312" w:eastAsia="仿宋_GB2312" w:cs="仿宋_GB2312"/>
              <w:b/>
              <w:bCs/>
              <w:kern w:val="44"/>
              <w:sz w:val="30"/>
              <w:szCs w:val="30"/>
            </w:rPr>
            <w:tab/>
          </w:r>
          <w:r>
            <w:rPr>
              <w:rFonts w:hint="eastAsia" w:ascii="仿宋_GB2312" w:hAnsi="仿宋_GB2312" w:eastAsia="仿宋_GB2312" w:cs="仿宋_GB2312"/>
              <w:b/>
              <w:bCs/>
              <w:kern w:val="44"/>
              <w:sz w:val="30"/>
              <w:szCs w:val="30"/>
            </w:rPr>
            <w:fldChar w:fldCharType="end"/>
          </w:r>
          <w:r>
            <w:rPr>
              <w:rFonts w:hint="eastAsia" w:ascii="仿宋_GB2312" w:hAnsi="仿宋_GB2312" w:eastAsia="仿宋_GB2312" w:cs="仿宋_GB2312"/>
              <w:b/>
              <w:bCs/>
              <w:kern w:val="44"/>
              <w:sz w:val="30"/>
              <w:szCs w:val="30"/>
            </w:rPr>
            <w:t>7</w:t>
          </w:r>
        </w:p>
        <w:p w14:paraId="381AE2EA">
          <w:pPr>
            <w:spacing w:line="560" w:lineRule="exact"/>
            <w:rPr>
              <w:rFonts w:ascii="仿宋_GB2312" w:eastAsia="仿宋_GB2312"/>
              <w:color w:val="000000"/>
              <w:sz w:val="30"/>
              <w:szCs w:val="30"/>
            </w:rPr>
          </w:pPr>
          <w:r>
            <w:rPr>
              <w:rFonts w:ascii="仿宋_GB2312" w:eastAsia="仿宋_GB2312"/>
              <w:color w:val="000000"/>
              <w:szCs w:val="30"/>
            </w:rPr>
            <w:fldChar w:fldCharType="end"/>
          </w:r>
        </w:p>
      </w:sdtContent>
    </w:sdt>
    <w:p w14:paraId="44EEC470">
      <w:pPr>
        <w:widowControl/>
        <w:spacing w:line="560" w:lineRule="exact"/>
        <w:jc w:val="left"/>
        <w:rPr>
          <w:rFonts w:ascii="黑体" w:hAnsi="黑体" w:eastAsia="黑体"/>
          <w:b/>
          <w:bCs/>
          <w:kern w:val="44"/>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1" w:name="_Toc5327"/>
    </w:p>
    <w:p w14:paraId="1795378A">
      <w:pPr>
        <w:widowControl/>
        <w:spacing w:line="560" w:lineRule="exact"/>
        <w:jc w:val="center"/>
        <w:outlineLvl w:val="0"/>
        <w:rPr>
          <w:rFonts w:ascii="黑体" w:hAnsi="黑体" w:eastAsia="黑体"/>
          <w:b/>
          <w:bCs/>
          <w:kern w:val="44"/>
          <w:sz w:val="32"/>
          <w:szCs w:val="32"/>
        </w:rPr>
      </w:pPr>
      <w:bookmarkStart w:id="2" w:name="_Toc14191"/>
      <w:bookmarkStart w:id="3" w:name="_Toc22444"/>
      <w:r>
        <w:rPr>
          <w:rFonts w:hint="eastAsia" w:ascii="黑体" w:hAnsi="黑体" w:eastAsia="黑体"/>
          <w:b/>
          <w:bCs/>
          <w:kern w:val="44"/>
          <w:sz w:val="32"/>
          <w:szCs w:val="32"/>
        </w:rPr>
        <w:t>一、上市公司证券投资及委托理财公告</w:t>
      </w:r>
      <w:bookmarkEnd w:id="1"/>
      <w:bookmarkEnd w:id="2"/>
      <w:bookmarkEnd w:id="3"/>
    </w:p>
    <w:p w14:paraId="7AD9DBFB">
      <w:pPr>
        <w:spacing w:line="560" w:lineRule="exact"/>
        <w:rPr>
          <w:rFonts w:ascii="仿宋_GB2312" w:eastAsia="仿宋_GB2312"/>
          <w:color w:val="000000"/>
          <w:sz w:val="30"/>
          <w:szCs w:val="30"/>
        </w:rPr>
      </w:pPr>
      <w:r>
        <w:rPr>
          <w:rFonts w:hint="eastAsia" w:ascii="仿宋_GB2312" w:hAnsi="宋体" w:eastAsia="仿宋_GB2312"/>
          <w:b/>
          <w:sz w:val="30"/>
          <w:szCs w:val="30"/>
        </w:rPr>
        <w:t>适用情形：</w:t>
      </w:r>
    </w:p>
    <w:p w14:paraId="0DB154E7">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1.上市公司可以按类别预计不超过12个月内证券投资、委托理财的投资范围</w:t>
      </w:r>
      <w:r>
        <w:rPr>
          <w:rFonts w:ascii="仿宋_GB2312" w:eastAsia="仿宋_GB2312"/>
          <w:color w:val="000000"/>
          <w:sz w:val="30"/>
          <w:szCs w:val="30"/>
        </w:rPr>
        <w:t>、额度及期限，</w:t>
      </w:r>
      <w:r>
        <w:rPr>
          <w:rFonts w:hint="eastAsia" w:ascii="仿宋_GB2312" w:eastAsia="仿宋_GB2312"/>
          <w:color w:val="000000"/>
          <w:sz w:val="30"/>
          <w:szCs w:val="30"/>
        </w:rPr>
        <w:t>并在审议通过后适用本公告格式对外披露。在执行时，期限内任一</w:t>
      </w:r>
      <w:r>
        <w:rPr>
          <w:rFonts w:ascii="仿宋_GB2312" w:eastAsia="仿宋_GB2312"/>
          <w:color w:val="000000"/>
          <w:sz w:val="30"/>
          <w:szCs w:val="30"/>
        </w:rPr>
        <w:t>时点的交易金额</w:t>
      </w:r>
      <w:r>
        <w:rPr>
          <w:rFonts w:hint="eastAsia" w:ascii="仿宋_GB2312" w:eastAsia="仿宋_GB2312"/>
          <w:color w:val="000000"/>
          <w:sz w:val="30"/>
          <w:szCs w:val="30"/>
        </w:rPr>
        <w:t>上限</w:t>
      </w:r>
      <w:r>
        <w:rPr>
          <w:rFonts w:ascii="仿宋_GB2312" w:eastAsia="仿宋_GB2312"/>
          <w:color w:val="000000"/>
          <w:sz w:val="30"/>
          <w:szCs w:val="30"/>
        </w:rPr>
        <w:t>（</w:t>
      </w:r>
      <w:r>
        <w:rPr>
          <w:rFonts w:hint="eastAsia" w:ascii="仿宋_GB2312" w:hAnsi="宋体" w:eastAsia="仿宋_GB2312"/>
          <w:sz w:val="30"/>
          <w:szCs w:val="30"/>
        </w:rPr>
        <w:t>含前述</w:t>
      </w:r>
      <w:r>
        <w:rPr>
          <w:rFonts w:hint="eastAsia" w:ascii="仿宋_GB2312" w:eastAsia="仿宋_GB2312"/>
          <w:color w:val="000000"/>
          <w:sz w:val="30"/>
          <w:szCs w:val="30"/>
        </w:rPr>
        <w:t>投资</w:t>
      </w:r>
      <w:r>
        <w:rPr>
          <w:rFonts w:hint="eastAsia" w:ascii="仿宋_GB2312" w:hAnsi="宋体" w:eastAsia="仿宋_GB2312"/>
          <w:sz w:val="30"/>
          <w:szCs w:val="30"/>
        </w:rPr>
        <w:t>的收益进行再投资的相关金额</w:t>
      </w:r>
      <w:r>
        <w:rPr>
          <w:rFonts w:ascii="仿宋_GB2312" w:eastAsia="仿宋_GB2312"/>
          <w:color w:val="000000"/>
          <w:sz w:val="30"/>
          <w:szCs w:val="30"/>
        </w:rPr>
        <w:t>）不</w:t>
      </w:r>
      <w:r>
        <w:rPr>
          <w:rFonts w:hint="eastAsia" w:ascii="仿宋_GB2312" w:eastAsia="仿宋_GB2312"/>
          <w:color w:val="000000"/>
          <w:sz w:val="30"/>
          <w:szCs w:val="30"/>
        </w:rPr>
        <w:t>得</w:t>
      </w:r>
      <w:r>
        <w:rPr>
          <w:rFonts w:ascii="仿宋_GB2312" w:eastAsia="仿宋_GB2312"/>
          <w:color w:val="000000"/>
          <w:sz w:val="30"/>
          <w:szCs w:val="30"/>
        </w:rPr>
        <w:t>超过预计额度</w:t>
      </w:r>
      <w:r>
        <w:rPr>
          <w:rFonts w:hint="eastAsia" w:ascii="仿宋_GB2312" w:eastAsia="仿宋_GB2312"/>
          <w:color w:val="000000"/>
          <w:sz w:val="30"/>
          <w:szCs w:val="30"/>
        </w:rPr>
        <w:t>。</w:t>
      </w:r>
    </w:p>
    <w:p w14:paraId="0ECA1ECC">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w:t>
      </w:r>
      <w:r>
        <w:rPr>
          <w:rFonts w:hint="eastAsia" w:ascii="仿宋_GB2312" w:eastAsia="仿宋_GB2312"/>
          <w:color w:val="000000"/>
          <w:sz w:val="30"/>
          <w:szCs w:val="30"/>
        </w:rPr>
        <w:t>上市公司从事证券投资发生较大损失、进行</w:t>
      </w:r>
      <w:r>
        <w:rPr>
          <w:rFonts w:ascii="仿宋_GB2312" w:eastAsia="仿宋_GB2312"/>
          <w:color w:val="000000"/>
          <w:sz w:val="30"/>
          <w:szCs w:val="30"/>
        </w:rPr>
        <w:t>委托理财发生</w:t>
      </w:r>
      <w:r>
        <w:rPr>
          <w:rFonts w:hint="eastAsia" w:ascii="仿宋_GB2312" w:eastAsia="仿宋_GB2312"/>
          <w:color w:val="000000"/>
          <w:sz w:val="30"/>
          <w:szCs w:val="30"/>
        </w:rPr>
        <w:t>本公告格式</w:t>
      </w:r>
      <w:r>
        <w:rPr>
          <w:rFonts w:ascii="仿宋_GB2312" w:eastAsia="仿宋_GB2312"/>
          <w:color w:val="000000"/>
          <w:sz w:val="30"/>
          <w:szCs w:val="30"/>
        </w:rPr>
        <w:t>规定的特定情形的，应</w:t>
      </w:r>
      <w:r>
        <w:rPr>
          <w:rFonts w:hint="eastAsia" w:ascii="仿宋_GB2312" w:eastAsia="仿宋_GB2312"/>
          <w:color w:val="000000"/>
          <w:sz w:val="30"/>
          <w:szCs w:val="30"/>
        </w:rPr>
        <w:t>当</w:t>
      </w:r>
      <w:r>
        <w:rPr>
          <w:rFonts w:ascii="仿宋_GB2312" w:eastAsia="仿宋_GB2312"/>
          <w:color w:val="000000"/>
          <w:sz w:val="30"/>
          <w:szCs w:val="30"/>
        </w:rPr>
        <w:t>及时披露相关进展情况和拟采取的应对措施。</w:t>
      </w:r>
    </w:p>
    <w:p w14:paraId="7CCA4EA5">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3.上市公司与</w:t>
      </w:r>
      <w:r>
        <w:rPr>
          <w:rFonts w:ascii="仿宋_GB2312" w:eastAsia="仿宋_GB2312"/>
          <w:color w:val="000000"/>
          <w:sz w:val="30"/>
          <w:szCs w:val="30"/>
        </w:rPr>
        <w:t>关联人之间进行委托理财的，</w:t>
      </w:r>
      <w:r>
        <w:rPr>
          <w:rFonts w:hint="eastAsia" w:ascii="仿宋_GB2312" w:eastAsia="仿宋_GB2312"/>
          <w:color w:val="000000"/>
          <w:sz w:val="30"/>
          <w:szCs w:val="30"/>
        </w:rPr>
        <w:t>应当适用关联交易相关公告格式，并参考本公告格式的相关内容进行披露。</w:t>
      </w:r>
    </w:p>
    <w:p w14:paraId="6BABB045">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4.以闲置募集资金进行现金管理投资委托理财产品的，适用本公告格式，且应当与闲置自有资金委托理财有效区分，分别测算信息披露标准，分别履行信息披露义务。</w:t>
      </w:r>
    </w:p>
    <w:p w14:paraId="08097276">
      <w:pPr>
        <w:spacing w:line="560" w:lineRule="exact"/>
        <w:ind w:firstLine="600" w:firstLineChars="200"/>
        <w:rPr>
          <w:rFonts w:ascii="仿宋_GB2312" w:hAnsi="宋体" w:eastAsia="仿宋_GB2312" w:cs="宋体"/>
          <w:sz w:val="30"/>
          <w:szCs w:val="30"/>
        </w:rPr>
      </w:pPr>
    </w:p>
    <w:p w14:paraId="5F8E0A42">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4FFC2CE">
      <w:pPr>
        <w:adjustRightInd w:val="0"/>
        <w:snapToGrid w:val="0"/>
        <w:spacing w:line="560" w:lineRule="exact"/>
        <w:jc w:val="center"/>
        <w:rPr>
          <w:rFonts w:ascii="仿宋_GB2312" w:hAnsi="宋体" w:eastAsia="仿宋_GB2312"/>
          <w:color w:val="000000"/>
          <w:sz w:val="30"/>
          <w:szCs w:val="30"/>
        </w:rPr>
      </w:pPr>
    </w:p>
    <w:p w14:paraId="4FDC74DB">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股份有限公司证券投资</w:t>
      </w:r>
      <w:r>
        <w:rPr>
          <w:rFonts w:ascii="仿宋_GB2312" w:hAnsi="宋体" w:eastAsia="仿宋_GB2312"/>
          <w:color w:val="000000"/>
          <w:sz w:val="30"/>
          <w:szCs w:val="30"/>
        </w:rPr>
        <w:t>/</w:t>
      </w:r>
      <w:r>
        <w:rPr>
          <w:rFonts w:hint="eastAsia" w:ascii="仿宋_GB2312" w:hAnsi="宋体" w:eastAsia="仿宋_GB2312"/>
          <w:color w:val="000000"/>
          <w:sz w:val="30"/>
          <w:szCs w:val="30"/>
        </w:rPr>
        <w:t>委托理财</w:t>
      </w:r>
      <w:r>
        <w:rPr>
          <w:rFonts w:hint="eastAsia" w:ascii="仿宋_GB2312" w:hAnsi="宋体" w:eastAsia="仿宋_GB2312" w:cs="黑体-WinCharSetFFFF-H"/>
          <w:kern w:val="0"/>
          <w:sz w:val="30"/>
          <w:szCs w:val="30"/>
        </w:rPr>
        <w:t>公告</w:t>
      </w:r>
    </w:p>
    <w:p w14:paraId="650120BF">
      <w:pPr>
        <w:snapToGrid w:val="0"/>
        <w:spacing w:line="560" w:lineRule="exact"/>
        <w:jc w:val="center"/>
        <w:rPr>
          <w:rFonts w:ascii="仿宋_GB2312" w:hAnsi="宋体" w:eastAsia="仿宋_GB2312"/>
          <w:color w:val="000000"/>
          <w:sz w:val="30"/>
          <w:szCs w:val="30"/>
        </w:rPr>
      </w:pPr>
    </w:p>
    <w:p w14:paraId="1348619F">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本公司董事会及全体董事保证本公告内容不存在任何虚假记载、误导性陈述或者重大遗漏，并对其内容的真实性、准确性和完整性依法承担法律责任。</w:t>
      </w:r>
    </w:p>
    <w:p w14:paraId="333F9949">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2C9CD0CD">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4CAE7484">
      <w:pPr>
        <w:numPr>
          <w:ilvl w:val="0"/>
          <w:numId w:val="1"/>
        </w:numPr>
        <w:adjustRightInd w:val="0"/>
        <w:snapToGrid w:val="0"/>
        <w:spacing w:line="560" w:lineRule="exact"/>
        <w:ind w:left="1020"/>
        <w:rPr>
          <w:rFonts w:ascii="仿宋_GB2312" w:hAnsi="宋体" w:eastAsia="仿宋_GB2312"/>
          <w:bCs/>
          <w:sz w:val="30"/>
          <w:szCs w:val="30"/>
        </w:rPr>
      </w:pPr>
      <w:r>
        <w:rPr>
          <w:rFonts w:hint="eastAsia" w:ascii="仿宋_GB2312" w:hAnsi="宋体" w:eastAsia="仿宋_GB2312"/>
          <w:bCs/>
          <w:sz w:val="30"/>
          <w:szCs w:val="30"/>
        </w:rPr>
        <w:t>投资种类</w:t>
      </w:r>
    </w:p>
    <w:p w14:paraId="75C0FB22">
      <w:pPr>
        <w:numPr>
          <w:ilvl w:val="0"/>
          <w:numId w:val="1"/>
        </w:numPr>
        <w:adjustRightInd w:val="0"/>
        <w:snapToGrid w:val="0"/>
        <w:spacing w:line="560" w:lineRule="exact"/>
        <w:ind w:left="1020"/>
        <w:rPr>
          <w:rFonts w:ascii="仿宋_GB2312" w:hAnsi="宋体" w:eastAsia="仿宋_GB2312"/>
          <w:bCs/>
          <w:sz w:val="30"/>
          <w:szCs w:val="30"/>
        </w:rPr>
      </w:pPr>
      <w:r>
        <w:rPr>
          <w:rFonts w:hint="eastAsia" w:ascii="仿宋_GB2312" w:hAnsi="宋体" w:eastAsia="仿宋_GB2312"/>
          <w:bCs/>
          <w:sz w:val="30"/>
          <w:szCs w:val="30"/>
        </w:rPr>
        <w:t>投资金额</w:t>
      </w:r>
    </w:p>
    <w:p w14:paraId="5F0F87C0">
      <w:pPr>
        <w:pStyle w:val="12"/>
        <w:numPr>
          <w:ilvl w:val="0"/>
          <w:numId w:val="2"/>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bCs/>
          <w:sz w:val="30"/>
          <w:szCs w:val="30"/>
        </w:rPr>
        <w:t>已履行及拟履行的审议程序</w:t>
      </w:r>
    </w:p>
    <w:p w14:paraId="609BA230">
      <w:pPr>
        <w:pStyle w:val="12"/>
        <w:numPr>
          <w:ilvl w:val="0"/>
          <w:numId w:val="2"/>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bCs/>
          <w:sz w:val="30"/>
          <w:szCs w:val="30"/>
        </w:rPr>
        <w:t>特别</w:t>
      </w:r>
      <w:r>
        <w:rPr>
          <w:rFonts w:ascii="仿宋_GB2312" w:hAnsi="宋体" w:eastAsia="仿宋_GB2312"/>
          <w:bCs/>
          <w:sz w:val="30"/>
          <w:szCs w:val="30"/>
        </w:rPr>
        <w:t>风险提示</w:t>
      </w:r>
    </w:p>
    <w:p w14:paraId="33C5115E">
      <w:pPr>
        <w:autoSpaceDE w:val="0"/>
        <w:autoSpaceDN w:val="0"/>
        <w:adjustRightInd w:val="0"/>
        <w:spacing w:line="560" w:lineRule="exact"/>
        <w:ind w:firstLine="578"/>
        <w:jc w:val="left"/>
        <w:rPr>
          <w:rFonts w:ascii="仿宋_GB2312" w:hAnsi="宋体" w:eastAsia="仿宋_GB2312" w:cs="黑体-WinCharSetFFFF-H"/>
          <w:kern w:val="0"/>
          <w:sz w:val="30"/>
          <w:szCs w:val="30"/>
        </w:rPr>
      </w:pPr>
    </w:p>
    <w:p w14:paraId="0EA4D27E">
      <w:pPr>
        <w:widowControl/>
        <w:spacing w:line="560" w:lineRule="exact"/>
        <w:ind w:firstLine="602" w:firstLineChars="200"/>
        <w:rPr>
          <w:rFonts w:ascii="仿宋_GB2312" w:hAnsi="宋体" w:eastAsia="仿宋_GB2312" w:cs="宋体"/>
          <w:color w:val="000000"/>
          <w:kern w:val="0"/>
          <w:sz w:val="30"/>
          <w:szCs w:val="30"/>
        </w:rPr>
      </w:pPr>
      <w:r>
        <w:rPr>
          <w:rFonts w:hint="eastAsia" w:ascii="黑体" w:hAnsi="黑体" w:eastAsia="黑体" w:cs="宋体"/>
          <w:b/>
          <w:color w:val="000000"/>
          <w:kern w:val="0"/>
          <w:sz w:val="30"/>
          <w:szCs w:val="30"/>
        </w:rPr>
        <w:t>一、投资情况概述</w:t>
      </w:r>
    </w:p>
    <w:p w14:paraId="74236D81">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w:t>
      </w:r>
      <w:r>
        <w:rPr>
          <w:rFonts w:ascii="仿宋_GB2312" w:hAnsi="宋体" w:eastAsia="仿宋_GB2312" w:cs="宋体"/>
          <w:color w:val="000000"/>
          <w:kern w:val="0"/>
          <w:sz w:val="30"/>
          <w:szCs w:val="30"/>
        </w:rPr>
        <w:t>投资</w:t>
      </w:r>
      <w:r>
        <w:rPr>
          <w:rFonts w:hint="eastAsia" w:ascii="仿宋_GB2312" w:hAnsi="宋体" w:eastAsia="仿宋_GB2312" w:cs="宋体"/>
          <w:color w:val="000000"/>
          <w:kern w:val="0"/>
          <w:sz w:val="30"/>
          <w:szCs w:val="30"/>
        </w:rPr>
        <w:t>目的</w:t>
      </w:r>
    </w:p>
    <w:p w14:paraId="342B653A">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准确披露</w:t>
      </w:r>
      <w:r>
        <w:rPr>
          <w:rFonts w:ascii="仿宋_GB2312" w:hAnsi="宋体" w:eastAsia="仿宋_GB2312" w:cs="宋体"/>
          <w:color w:val="000000"/>
          <w:kern w:val="0"/>
          <w:sz w:val="30"/>
          <w:szCs w:val="30"/>
        </w:rPr>
        <w:t>本次证券投资/委托理财的目的，说明投资是否影响公司主营业务的发展，公司资金使用安排是否合理等情况。</w:t>
      </w:r>
    </w:p>
    <w:p w14:paraId="46F922E4">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二）投资</w:t>
      </w:r>
      <w:r>
        <w:rPr>
          <w:rFonts w:hint="eastAsia" w:ascii="仿宋_GB2312" w:hAnsi="宋体" w:eastAsia="仿宋_GB2312" w:cs="宋体"/>
          <w:color w:val="000000"/>
          <w:kern w:val="0"/>
          <w:sz w:val="30"/>
          <w:szCs w:val="30"/>
        </w:rPr>
        <w:t>金额</w:t>
      </w:r>
    </w:p>
    <w:p w14:paraId="6DCB70B7">
      <w:pPr>
        <w:widowControl/>
        <w:spacing w:line="56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说明本次</w:t>
      </w:r>
      <w:r>
        <w:rPr>
          <w:rFonts w:hint="eastAsia" w:ascii="仿宋_GB2312" w:hAnsi="宋体" w:eastAsia="仿宋_GB2312" w:cs="宋体"/>
          <w:color w:val="000000"/>
          <w:kern w:val="0"/>
          <w:sz w:val="30"/>
          <w:szCs w:val="30"/>
        </w:rPr>
        <w:t>拟</w:t>
      </w:r>
      <w:r>
        <w:rPr>
          <w:rFonts w:ascii="仿宋_GB2312" w:hAnsi="宋体" w:eastAsia="仿宋_GB2312" w:cs="宋体"/>
          <w:color w:val="000000"/>
          <w:kern w:val="0"/>
          <w:sz w:val="30"/>
          <w:szCs w:val="30"/>
        </w:rPr>
        <w:t>投资总金额</w:t>
      </w:r>
      <w:r>
        <w:rPr>
          <w:rFonts w:hint="eastAsia" w:ascii="仿宋_GB2312" w:hAnsi="宋体" w:eastAsia="仿宋_GB2312" w:cs="宋体"/>
          <w:color w:val="000000"/>
          <w:kern w:val="0"/>
          <w:sz w:val="30"/>
          <w:szCs w:val="30"/>
        </w:rPr>
        <w:t>。</w:t>
      </w:r>
    </w:p>
    <w:p w14:paraId="163B311A">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（编制提醒：如公</w:t>
      </w:r>
      <w:r>
        <w:rPr>
          <w:rFonts w:ascii="楷体" w:hAnsi="楷体" w:eastAsia="楷体" w:cs="宋体-WinCharSetFFFF-H"/>
          <w:color w:val="000000"/>
          <w:kern w:val="0"/>
          <w:sz w:val="24"/>
        </w:rPr>
        <w:t>司以额度金额在规定期限内进行投资的，期限内任一时点的交易金额（含前述投资的收益进行再投资的相关金额）不应超过投资额度。）</w:t>
      </w:r>
    </w:p>
    <w:p w14:paraId="606C2E3A">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（三）资金来源</w:t>
      </w:r>
    </w:p>
    <w:p w14:paraId="259C6E79">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例如，借贷资金、募集资金（</w:t>
      </w:r>
      <w:r>
        <w:rPr>
          <w:rFonts w:ascii="仿宋_GB2312" w:hAnsi="宋体" w:eastAsia="仿宋_GB2312" w:cs="宋体"/>
          <w:color w:val="000000"/>
          <w:kern w:val="0"/>
          <w:sz w:val="30"/>
          <w:szCs w:val="30"/>
        </w:rPr>
        <w:t>仅针对委托理财）</w:t>
      </w:r>
      <w:r>
        <w:rPr>
          <w:rFonts w:hint="eastAsia" w:ascii="仿宋_GB2312" w:hAnsi="宋体" w:eastAsia="仿宋_GB2312" w:cs="宋体"/>
          <w:color w:val="000000"/>
          <w:kern w:val="0"/>
          <w:sz w:val="30"/>
          <w:szCs w:val="30"/>
        </w:rPr>
        <w:t>、自有资金等。若同时存在多种来源的资金，请具体说明各来源相应的金额和比例。若上市公司使用闲置募集资金进行委托理财的，还应当说明募集资金的基本情况，例如募集时间、募集资金金额、募集资金净额、投资计划、募集资金使用、</w:t>
      </w:r>
      <w:r>
        <w:rPr>
          <w:rFonts w:ascii="仿宋_GB2312" w:hAnsi="宋体" w:eastAsia="仿宋_GB2312" w:cs="宋体"/>
          <w:color w:val="000000"/>
          <w:kern w:val="0"/>
          <w:sz w:val="30"/>
          <w:szCs w:val="30"/>
        </w:rPr>
        <w:t>是否影响募投项目实施</w:t>
      </w:r>
      <w:r>
        <w:rPr>
          <w:rFonts w:hint="eastAsia" w:ascii="仿宋_GB2312" w:hAnsi="宋体" w:eastAsia="仿宋_GB2312" w:cs="宋体"/>
          <w:color w:val="000000"/>
          <w:kern w:val="0"/>
          <w:sz w:val="30"/>
          <w:szCs w:val="30"/>
        </w:rPr>
        <w:t>等。</w:t>
      </w:r>
    </w:p>
    <w:p w14:paraId="13D08CCB">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投资方式</w:t>
      </w:r>
    </w:p>
    <w:p w14:paraId="04BE3DEA">
      <w:pPr>
        <w:widowControl/>
        <w:spacing w:line="56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说明拟采取的具体投资方式</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投资品种、风险等级等情况。</w:t>
      </w:r>
    </w:p>
    <w:p w14:paraId="2F7C3548">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上市公司</w:t>
      </w:r>
      <w:r>
        <w:rPr>
          <w:rFonts w:ascii="仿宋_GB2312" w:hAnsi="宋体" w:eastAsia="仿宋_GB2312" w:cs="宋体"/>
          <w:color w:val="000000"/>
          <w:kern w:val="0"/>
          <w:sz w:val="30"/>
          <w:szCs w:val="30"/>
        </w:rPr>
        <w:t>进行委托理财的，应当披露</w:t>
      </w:r>
      <w:r>
        <w:rPr>
          <w:rFonts w:hint="eastAsia" w:ascii="仿宋_GB2312" w:hAnsi="宋体" w:eastAsia="仿宋_GB2312" w:cs="宋体"/>
          <w:color w:val="000000"/>
          <w:kern w:val="0"/>
          <w:sz w:val="30"/>
          <w:szCs w:val="30"/>
        </w:rPr>
        <w:t>委托理财的</w:t>
      </w:r>
      <w:r>
        <w:rPr>
          <w:rFonts w:ascii="仿宋_GB2312" w:hAnsi="宋体" w:eastAsia="仿宋_GB2312" w:cs="宋体"/>
          <w:color w:val="000000"/>
          <w:kern w:val="0"/>
          <w:sz w:val="30"/>
          <w:szCs w:val="30"/>
        </w:rPr>
        <w:t>基本情况，包括但不限于受托方名称</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如有）、产品类型、产品名称、</w:t>
      </w:r>
      <w:r>
        <w:rPr>
          <w:rFonts w:hint="eastAsia" w:ascii="仿宋_GB2312" w:hAnsi="宋体" w:eastAsia="仿宋_GB2312" w:cs="宋体"/>
          <w:color w:val="000000"/>
          <w:kern w:val="0"/>
          <w:sz w:val="30"/>
          <w:szCs w:val="30"/>
        </w:rPr>
        <w:t>产品</w:t>
      </w:r>
      <w:r>
        <w:rPr>
          <w:rFonts w:ascii="仿宋_GB2312" w:hAnsi="宋体" w:eastAsia="仿宋_GB2312" w:cs="宋体"/>
          <w:color w:val="000000"/>
          <w:kern w:val="0"/>
          <w:sz w:val="30"/>
          <w:szCs w:val="30"/>
        </w:rPr>
        <w:t>金额、预计</w:t>
      </w:r>
      <w:r>
        <w:rPr>
          <w:rFonts w:hint="eastAsia" w:ascii="仿宋_GB2312" w:hAnsi="宋体" w:eastAsia="仿宋_GB2312" w:cs="宋体"/>
          <w:color w:val="000000"/>
          <w:kern w:val="0"/>
          <w:sz w:val="30"/>
          <w:szCs w:val="30"/>
        </w:rPr>
        <w:t>年化收益率（</w:t>
      </w:r>
      <w:r>
        <w:rPr>
          <w:rFonts w:ascii="仿宋_GB2312" w:hAnsi="宋体" w:eastAsia="仿宋_GB2312" w:cs="宋体"/>
          <w:color w:val="000000"/>
          <w:kern w:val="0"/>
          <w:sz w:val="30"/>
          <w:szCs w:val="30"/>
        </w:rPr>
        <w:t>如有）、预计收益金额、产品期限、收益类型、结构化安排、是否构成关联交易等。</w:t>
      </w:r>
    </w:p>
    <w:p w14:paraId="5D11C703">
      <w:pPr>
        <w:widowControl/>
        <w:spacing w:line="560" w:lineRule="exact"/>
        <w:ind w:firstLine="480" w:firstLineChars="200"/>
        <w:jc w:val="left"/>
        <w:rPr>
          <w:rFonts w:ascii="楷体" w:hAnsi="楷体" w:eastAsia="楷体" w:cs="宋体-WinCharSetFFFF-H"/>
          <w:color w:val="000000"/>
          <w:kern w:val="0"/>
          <w:sz w:val="24"/>
        </w:rPr>
      </w:pPr>
      <w:r>
        <w:rPr>
          <w:rFonts w:hint="eastAsia" w:ascii="楷体" w:hAnsi="楷体" w:eastAsia="楷体" w:cs="宋体-WinCharSetFFFF-H"/>
          <w:color w:val="000000"/>
          <w:kern w:val="0"/>
          <w:sz w:val="24"/>
        </w:rPr>
        <w:t>（编制提醒：1.产品类型，例如，银行理财产品、券商理财产品、信托理财产品、其他类（如公募基金产品、私募基金产品）等；2.结构化安排，例如，优先、夹层、劣后等；3.收益类型，例如保证收益、浮动收益等。）</w:t>
      </w:r>
    </w:p>
    <w:p w14:paraId="29599167">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若使用暂时闲置的募集资金委托理财的，上市公司还应当单独说明其投资产品的额度、期限、收益分配方式、投资范围，是否符合安全性高、流动性好的使用条件要求，是否存在变相改变募集资金用途的行为，以及保证不影响募投项目正常进行的具体措施。</w:t>
      </w:r>
    </w:p>
    <w:p w14:paraId="0A2EFC07">
      <w:pPr>
        <w:autoSpaceDE w:val="0"/>
        <w:autoSpaceDN w:val="0"/>
        <w:adjustRightInd w:val="0"/>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投资</w:t>
      </w:r>
      <w:r>
        <w:rPr>
          <w:rFonts w:ascii="仿宋_GB2312" w:hAnsi="宋体" w:eastAsia="仿宋_GB2312" w:cs="宋体"/>
          <w:color w:val="000000"/>
          <w:kern w:val="0"/>
          <w:sz w:val="30"/>
          <w:szCs w:val="30"/>
        </w:rPr>
        <w:t>期限</w:t>
      </w:r>
    </w:p>
    <w:p w14:paraId="069F5CEA">
      <w:pPr>
        <w:autoSpaceDE w:val="0"/>
        <w:autoSpaceDN w:val="0"/>
        <w:adjustRightInd w:val="0"/>
        <w:spacing w:line="560" w:lineRule="exact"/>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说明本次授权在投资额度范围内进行证券投资/委托理财的期限</w:t>
      </w:r>
      <w:r>
        <w:rPr>
          <w:rFonts w:hint="eastAsia" w:ascii="仿宋_GB2312" w:hAnsi="宋体" w:eastAsia="仿宋_GB2312" w:cs="宋体"/>
          <w:color w:val="000000"/>
          <w:kern w:val="0"/>
          <w:sz w:val="30"/>
          <w:szCs w:val="30"/>
        </w:rPr>
        <w:t>，</w:t>
      </w:r>
      <w:r>
        <w:rPr>
          <w:rFonts w:hint="eastAsia" w:ascii="仿宋_GB2312" w:eastAsia="仿宋_GB2312" w:hAnsiTheme="minorEastAsia"/>
          <w:color w:val="000000" w:themeColor="text1"/>
          <w:kern w:val="0"/>
          <w:sz w:val="30"/>
          <w:szCs w:val="30"/>
          <w14:textFill>
            <w14:solidFill>
              <w14:schemeClr w14:val="tx1"/>
            </w14:solidFill>
          </w14:textFill>
        </w:rPr>
        <w:t>相关额度的使用期限不应超过12个月。</w:t>
      </w:r>
    </w:p>
    <w:p w14:paraId="7D3B7C33">
      <w:pPr>
        <w:widowControl/>
        <w:spacing w:line="560" w:lineRule="exact"/>
        <w:ind w:firstLine="602" w:firstLineChars="200"/>
        <w:rPr>
          <w:rFonts w:ascii="黑体" w:hAnsi="黑体" w:eastAsia="黑体" w:cs="宋体"/>
          <w:b/>
          <w:color w:val="000000"/>
          <w:kern w:val="0"/>
          <w:sz w:val="30"/>
          <w:szCs w:val="30"/>
        </w:rPr>
      </w:pPr>
    </w:p>
    <w:p w14:paraId="17621899">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二</w:t>
      </w:r>
      <w:r>
        <w:rPr>
          <w:rFonts w:ascii="黑体" w:hAnsi="黑体" w:eastAsia="黑体" w:cs="宋体"/>
          <w:b/>
          <w:color w:val="000000"/>
          <w:kern w:val="0"/>
          <w:sz w:val="30"/>
          <w:szCs w:val="30"/>
        </w:rPr>
        <w:t>、</w:t>
      </w:r>
      <w:r>
        <w:rPr>
          <w:rFonts w:hint="eastAsia" w:ascii="黑体" w:hAnsi="黑体" w:eastAsia="黑体" w:cs="宋体"/>
          <w:b/>
          <w:color w:val="000000"/>
          <w:kern w:val="0"/>
          <w:sz w:val="30"/>
          <w:szCs w:val="30"/>
        </w:rPr>
        <w:t>审议程序</w:t>
      </w:r>
    </w:p>
    <w:p w14:paraId="3EA7B107">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说明</w:t>
      </w:r>
      <w:r>
        <w:rPr>
          <w:rFonts w:ascii="仿宋_GB2312" w:hAnsi="宋体" w:eastAsia="仿宋_GB2312" w:cs="宋体"/>
          <w:color w:val="000000"/>
          <w:kern w:val="0"/>
          <w:sz w:val="30"/>
          <w:szCs w:val="30"/>
        </w:rPr>
        <w:t>本次投资需要履行的程序，涉及关联投资的，说明是否需要履行或已履行了关联交易</w:t>
      </w:r>
      <w:r>
        <w:rPr>
          <w:rFonts w:hint="eastAsia" w:ascii="仿宋_GB2312" w:hAnsi="宋体" w:eastAsia="仿宋_GB2312" w:cs="宋体"/>
          <w:color w:val="000000"/>
          <w:kern w:val="0"/>
          <w:sz w:val="30"/>
          <w:szCs w:val="30"/>
        </w:rPr>
        <w:t>审议</w:t>
      </w:r>
      <w:r>
        <w:rPr>
          <w:rFonts w:ascii="仿宋_GB2312" w:hAnsi="宋体" w:eastAsia="仿宋_GB2312" w:cs="宋体"/>
          <w:color w:val="000000"/>
          <w:kern w:val="0"/>
          <w:sz w:val="30"/>
          <w:szCs w:val="30"/>
        </w:rPr>
        <w:t>程序，以及相关的表决情况等。</w:t>
      </w:r>
    </w:p>
    <w:p w14:paraId="31EF4A92">
      <w:pPr>
        <w:widowControl/>
        <w:spacing w:line="560" w:lineRule="exact"/>
        <w:ind w:firstLine="602" w:firstLineChars="200"/>
        <w:rPr>
          <w:rFonts w:ascii="黑体" w:hAnsi="黑体" w:eastAsia="黑体" w:cs="宋体"/>
          <w:b/>
          <w:color w:val="000000"/>
          <w:kern w:val="0"/>
          <w:sz w:val="30"/>
          <w:szCs w:val="30"/>
        </w:rPr>
      </w:pPr>
    </w:p>
    <w:p w14:paraId="7C2507E2">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三</w:t>
      </w:r>
      <w:r>
        <w:rPr>
          <w:rFonts w:ascii="黑体" w:hAnsi="黑体" w:eastAsia="黑体" w:cs="宋体"/>
          <w:b/>
          <w:color w:val="000000"/>
          <w:kern w:val="0"/>
          <w:sz w:val="30"/>
          <w:szCs w:val="30"/>
        </w:rPr>
        <w:t>、</w:t>
      </w:r>
      <w:r>
        <w:rPr>
          <w:rFonts w:hint="eastAsia" w:ascii="黑体" w:hAnsi="黑体" w:eastAsia="黑体" w:cs="宋体"/>
          <w:b/>
          <w:color w:val="000000"/>
          <w:kern w:val="0"/>
          <w:sz w:val="30"/>
          <w:szCs w:val="30"/>
        </w:rPr>
        <w:t>投资</w:t>
      </w:r>
      <w:r>
        <w:rPr>
          <w:rFonts w:ascii="黑体" w:hAnsi="黑体" w:eastAsia="黑体" w:cs="宋体"/>
          <w:b/>
          <w:color w:val="000000"/>
          <w:kern w:val="0"/>
          <w:sz w:val="30"/>
          <w:szCs w:val="30"/>
        </w:rPr>
        <w:t>风险分析及风控措施</w:t>
      </w:r>
    </w:p>
    <w:p w14:paraId="09505F74">
      <w:pPr>
        <w:widowControl/>
        <w:spacing w:line="560" w:lineRule="exact"/>
        <w:ind w:firstLine="600" w:firstLineChars="200"/>
        <w:rPr>
          <w:rFonts w:ascii="仿宋_GB2312" w:hAnsi="仿宋_GB2312" w:eastAsia="仿宋_GB2312" w:cs="宋体"/>
          <w:color w:val="000000"/>
          <w:kern w:val="0"/>
          <w:sz w:val="30"/>
          <w:szCs w:val="30"/>
        </w:rPr>
      </w:pPr>
      <w:r>
        <w:rPr>
          <w:rFonts w:ascii="仿宋_GB2312" w:hAnsi="仿宋_GB2312" w:eastAsia="仿宋_GB2312" w:cs="宋体"/>
          <w:color w:val="000000"/>
          <w:kern w:val="0"/>
          <w:sz w:val="30"/>
          <w:szCs w:val="30"/>
        </w:rPr>
        <w:t>评估本次投资的风险，说明</w:t>
      </w:r>
      <w:r>
        <w:rPr>
          <w:rFonts w:hint="eastAsia" w:ascii="仿宋_GB2312" w:hAnsi="仿宋_GB2312" w:eastAsia="仿宋_GB2312" w:cs="宋体"/>
          <w:color w:val="000000"/>
          <w:kern w:val="0"/>
          <w:sz w:val="30"/>
          <w:szCs w:val="30"/>
        </w:rPr>
        <w:t>上市</w:t>
      </w:r>
      <w:r>
        <w:rPr>
          <w:rFonts w:ascii="仿宋_GB2312" w:hAnsi="仿宋_GB2312" w:eastAsia="仿宋_GB2312" w:cs="宋体"/>
          <w:color w:val="000000"/>
          <w:kern w:val="0"/>
          <w:sz w:val="30"/>
          <w:szCs w:val="30"/>
        </w:rPr>
        <w:t>公司关于证券投资/委托理财的人员配备、账户及资金管理制度、决策程序、报告制度、内部控制及风险监控管理措施等方面的情况。</w:t>
      </w:r>
    </w:p>
    <w:p w14:paraId="28BDCA60">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仿宋_GB2312" w:eastAsia="仿宋_GB2312" w:cs="宋体"/>
          <w:color w:val="000000"/>
          <w:kern w:val="0"/>
          <w:sz w:val="30"/>
          <w:szCs w:val="30"/>
        </w:rPr>
        <w:t>进行</w:t>
      </w:r>
      <w:r>
        <w:rPr>
          <w:rFonts w:ascii="仿宋_GB2312" w:hAnsi="仿宋_GB2312" w:eastAsia="仿宋_GB2312" w:cs="宋体"/>
          <w:color w:val="000000"/>
          <w:kern w:val="0"/>
          <w:sz w:val="30"/>
          <w:szCs w:val="30"/>
        </w:rPr>
        <w:t>委托理财的，</w:t>
      </w:r>
      <w:r>
        <w:rPr>
          <w:rFonts w:hint="eastAsia" w:ascii="仿宋_GB2312" w:hAnsi="宋体" w:eastAsia="仿宋_GB2312" w:cs="宋体"/>
          <w:color w:val="000000"/>
          <w:kern w:val="0"/>
          <w:sz w:val="30"/>
          <w:szCs w:val="30"/>
        </w:rPr>
        <w:t>上市公司应当针对委托理财项目，依据风险管理目标，说明为防范市场、流动性、信用、操作、法律、内部控制等风险，所制定的风险管理策略及其可行性。</w:t>
      </w:r>
    </w:p>
    <w:p w14:paraId="460817A2">
      <w:pPr>
        <w:widowControl/>
        <w:spacing w:line="560" w:lineRule="exact"/>
        <w:ind w:firstLine="600" w:firstLineChars="200"/>
        <w:rPr>
          <w:rFonts w:ascii="仿宋_GB2312" w:hAnsi="仿宋_GB2312" w:eastAsia="仿宋_GB2312" w:cs="宋体"/>
          <w:color w:val="000000"/>
          <w:kern w:val="0"/>
          <w:sz w:val="30"/>
          <w:szCs w:val="30"/>
        </w:rPr>
      </w:pPr>
    </w:p>
    <w:p w14:paraId="13B78209">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四、投资对公司的影响</w:t>
      </w:r>
    </w:p>
    <w:p w14:paraId="30FE5176">
      <w:pPr>
        <w:widowControl/>
        <w:spacing w:line="56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说明本次投资对</w:t>
      </w:r>
      <w:r>
        <w:rPr>
          <w:rFonts w:hint="eastAsia" w:ascii="仿宋_GB2312" w:hAnsi="宋体" w:eastAsia="仿宋_GB2312" w:cs="宋体"/>
          <w:color w:val="000000"/>
          <w:kern w:val="0"/>
          <w:sz w:val="30"/>
          <w:szCs w:val="30"/>
        </w:rPr>
        <w:t>上市</w:t>
      </w:r>
      <w:r>
        <w:rPr>
          <w:rFonts w:ascii="仿宋_GB2312" w:hAnsi="宋体" w:eastAsia="仿宋_GB2312" w:cs="宋体"/>
          <w:color w:val="000000"/>
          <w:kern w:val="0"/>
          <w:sz w:val="30"/>
          <w:szCs w:val="30"/>
        </w:rPr>
        <w:t>公司可能带来的影响，公司拟采用的会计政策及核算原则。</w:t>
      </w:r>
    </w:p>
    <w:p w14:paraId="0AD3C5A1">
      <w:pPr>
        <w:widowControl/>
        <w:spacing w:line="560" w:lineRule="exact"/>
        <w:rPr>
          <w:rFonts w:ascii="仿宋_GB2312" w:hAnsi="宋体" w:eastAsia="仿宋_GB2312" w:cs="宋体"/>
          <w:color w:val="000000"/>
          <w:kern w:val="0"/>
          <w:sz w:val="30"/>
          <w:szCs w:val="30"/>
        </w:rPr>
      </w:pPr>
    </w:p>
    <w:p w14:paraId="546B2CE3">
      <w:pPr>
        <w:widowControl/>
        <w:spacing w:line="560" w:lineRule="exact"/>
        <w:ind w:firstLine="602" w:firstLineChars="200"/>
        <w:rPr>
          <w:rFonts w:ascii="仿宋_GB2312" w:hAnsi="宋体" w:eastAsia="仿宋_GB2312" w:cs="宋体"/>
          <w:color w:val="000000"/>
          <w:kern w:val="0"/>
          <w:sz w:val="30"/>
          <w:szCs w:val="30"/>
        </w:rPr>
      </w:pPr>
      <w:r>
        <w:rPr>
          <w:rFonts w:hint="eastAsia" w:ascii="黑体" w:hAnsi="黑体" w:eastAsia="黑体" w:cs="宋体"/>
          <w:b/>
          <w:color w:val="000000"/>
          <w:kern w:val="0"/>
          <w:sz w:val="30"/>
          <w:szCs w:val="30"/>
        </w:rPr>
        <w:t>五、中介机构意见（如适用）</w:t>
      </w:r>
    </w:p>
    <w:p w14:paraId="49880046">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保荐人</w:t>
      </w:r>
      <w:r>
        <w:rPr>
          <w:rFonts w:ascii="仿宋_GB2312" w:hAnsi="宋体" w:eastAsia="仿宋_GB2312" w:cs="宋体"/>
          <w:color w:val="000000"/>
          <w:kern w:val="0"/>
          <w:sz w:val="30"/>
          <w:szCs w:val="30"/>
        </w:rPr>
        <w:t>应就</w:t>
      </w:r>
      <w:r>
        <w:rPr>
          <w:rFonts w:hint="eastAsia" w:ascii="仿宋_GB2312" w:hAnsi="宋体" w:eastAsia="仿宋_GB2312" w:cs="宋体"/>
          <w:color w:val="000000"/>
          <w:kern w:val="0"/>
          <w:sz w:val="30"/>
          <w:szCs w:val="30"/>
        </w:rPr>
        <w:t>上市</w:t>
      </w:r>
      <w:r>
        <w:rPr>
          <w:rFonts w:ascii="仿宋_GB2312" w:hAnsi="宋体" w:eastAsia="仿宋_GB2312" w:cs="宋体"/>
          <w:color w:val="000000"/>
          <w:kern w:val="0"/>
          <w:sz w:val="30"/>
          <w:szCs w:val="30"/>
        </w:rPr>
        <w:t>公司证券投资/委托理财的合规性、对公司的影响、可能存在的风险、公司采取的风险控制措施是否充分有效等事项进行核查，并出具明确同意的意见（如适用）。</w:t>
      </w:r>
    </w:p>
    <w:p w14:paraId="1D34C278">
      <w:pPr>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（编制提醒：对于</w:t>
      </w:r>
      <w:r>
        <w:rPr>
          <w:rFonts w:ascii="楷体" w:hAnsi="楷体" w:eastAsia="楷体" w:cs="宋体-WinCharSetFFFF-H"/>
          <w:color w:val="000000"/>
          <w:kern w:val="0"/>
          <w:sz w:val="24"/>
        </w:rPr>
        <w:t>委托理财，</w:t>
      </w:r>
      <w:r>
        <w:rPr>
          <w:rFonts w:hint="eastAsia" w:ascii="楷体" w:hAnsi="楷体" w:eastAsia="楷体" w:cs="宋体-WinCharSetFFFF-H"/>
          <w:color w:val="000000"/>
          <w:kern w:val="0"/>
          <w:sz w:val="24"/>
        </w:rPr>
        <w:t>同时存在使用闲置自有资金和闲置募集资金委托理财的，应当进行区分，说明各自履行的决策程序情况。对于使用闲置募集资金进行委托理财的，保荐人应当按规定发表意见。）</w:t>
      </w:r>
    </w:p>
    <w:p w14:paraId="6C3FEBDD">
      <w:pPr>
        <w:spacing w:line="560" w:lineRule="exact"/>
        <w:ind w:firstLine="480" w:firstLineChars="200"/>
        <w:rPr>
          <w:rFonts w:ascii="楷体" w:hAnsi="楷体" w:eastAsia="楷体" w:cs="宋体-WinCharSetFFFF-H"/>
          <w:color w:val="000000"/>
          <w:kern w:val="0"/>
          <w:sz w:val="24"/>
        </w:rPr>
      </w:pPr>
    </w:p>
    <w:p w14:paraId="2B8BFFB6">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六</w:t>
      </w:r>
      <w:r>
        <w:rPr>
          <w:rFonts w:ascii="黑体" w:hAnsi="黑体" w:eastAsia="黑体" w:cs="宋体"/>
          <w:b/>
          <w:color w:val="000000"/>
          <w:kern w:val="0"/>
          <w:sz w:val="30"/>
          <w:szCs w:val="30"/>
        </w:rPr>
        <w:t>、进展披露（如有）</w:t>
      </w:r>
    </w:p>
    <w:p w14:paraId="3861AE07">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上市公司</w:t>
      </w:r>
      <w:r>
        <w:rPr>
          <w:rFonts w:ascii="仿宋_GB2312" w:hAnsi="宋体" w:eastAsia="仿宋_GB2312" w:cs="宋体"/>
          <w:color w:val="000000"/>
          <w:kern w:val="0"/>
          <w:sz w:val="30"/>
          <w:szCs w:val="30"/>
        </w:rPr>
        <w:t>证券投资/委托理财发生《股票上市规则》</w:t>
      </w:r>
      <w:r>
        <w:rPr>
          <w:rFonts w:hint="eastAsia" w:ascii="仿宋_GB2312" w:hAnsi="宋体" w:eastAsia="仿宋_GB2312" w:cs="宋体"/>
          <w:color w:val="000000"/>
          <w:kern w:val="0"/>
          <w:sz w:val="30"/>
          <w:szCs w:val="30"/>
        </w:rPr>
        <w:t>《上市公司</w:t>
      </w:r>
      <w:r>
        <w:rPr>
          <w:rFonts w:ascii="仿宋_GB2312" w:hAnsi="宋体" w:eastAsia="仿宋_GB2312" w:cs="宋体"/>
          <w:color w:val="000000"/>
          <w:kern w:val="0"/>
          <w:sz w:val="30"/>
          <w:szCs w:val="30"/>
        </w:rPr>
        <w:t>自律监管指引第5号——交易与关联交易》等</w:t>
      </w:r>
      <w:r>
        <w:rPr>
          <w:rFonts w:hint="eastAsia" w:ascii="仿宋_GB2312" w:hAnsi="宋体" w:eastAsia="仿宋_GB2312" w:cs="宋体"/>
          <w:color w:val="000000"/>
          <w:kern w:val="0"/>
          <w:sz w:val="30"/>
          <w:szCs w:val="30"/>
        </w:rPr>
        <w:t>规定</w:t>
      </w:r>
      <w:r>
        <w:rPr>
          <w:rFonts w:ascii="仿宋_GB2312" w:hAnsi="宋体" w:eastAsia="仿宋_GB2312" w:cs="宋体"/>
          <w:color w:val="000000"/>
          <w:kern w:val="0"/>
          <w:sz w:val="30"/>
          <w:szCs w:val="30"/>
        </w:rPr>
        <w:t>的特定情形的，公司应当及时披露相关进展情况，和公司拟采取的</w:t>
      </w:r>
      <w:r>
        <w:rPr>
          <w:rFonts w:hint="eastAsia" w:ascii="仿宋_GB2312" w:hAnsi="宋体" w:eastAsia="仿宋_GB2312" w:cs="宋体"/>
          <w:color w:val="000000"/>
          <w:kern w:val="0"/>
          <w:sz w:val="30"/>
          <w:szCs w:val="30"/>
        </w:rPr>
        <w:t>应对措施</w:t>
      </w:r>
      <w:r>
        <w:rPr>
          <w:rFonts w:ascii="仿宋_GB2312" w:hAnsi="宋体" w:eastAsia="仿宋_GB2312" w:cs="宋体"/>
          <w:color w:val="000000"/>
          <w:kern w:val="0"/>
          <w:sz w:val="30"/>
          <w:szCs w:val="30"/>
        </w:rPr>
        <w:t>。</w:t>
      </w:r>
    </w:p>
    <w:p w14:paraId="43DD6AEA">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 xml:space="preserve">（编制提醒： </w:t>
      </w:r>
    </w:p>
    <w:p w14:paraId="3C2E13BA">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1.根据《上市公司自律监管指引第5号——交易与关联交易》相关规定， 公司董事会应当持续跟踪证券投资的进展和风险状况，如发生较大损失等异常情况的，应当立即采取措施并按规定履行信息披露义务。</w:t>
      </w:r>
    </w:p>
    <w:p w14:paraId="715B38DF">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2.根据《上市公司自律监管指引第5号——交易与关联交易》相关规定，上市公司进行委托理财，发生特定情形的，应当及时披露相关进展情况和拟采取的应对措施，包括理财产品募集失败、未能完成备案登记、提前终止、到期不能收回；理财产品协议或者相关担保合同主要条款变更；受托方、资金使用方经营或者财务状况出现重大风险事件；其他可能会损害上市公司利益或者具有重要影响的情形。）</w:t>
      </w:r>
    </w:p>
    <w:p w14:paraId="2446EA16">
      <w:pPr>
        <w:widowControl/>
        <w:spacing w:line="560" w:lineRule="exact"/>
        <w:ind w:firstLine="602" w:firstLineChars="200"/>
        <w:rPr>
          <w:rFonts w:ascii="黑体" w:hAnsi="黑体" w:eastAsia="黑体" w:cs="宋体"/>
          <w:b/>
          <w:color w:val="000000"/>
          <w:kern w:val="0"/>
          <w:sz w:val="30"/>
          <w:szCs w:val="30"/>
        </w:rPr>
      </w:pPr>
    </w:p>
    <w:p w14:paraId="257E3E5D">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254D75E4">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5EE21C71">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4C7BD431">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66AD3D52">
      <w:pPr>
        <w:spacing w:line="560" w:lineRule="exact"/>
        <w:ind w:right="600"/>
        <w:jc w:val="left"/>
        <w:rPr>
          <w:rFonts w:ascii="仿宋_GB2312" w:hAnsi="宋体" w:eastAsia="仿宋_GB2312" w:cs="宋体-WinCharSetFFFF-H"/>
          <w:color w:val="000000"/>
          <w:kern w:val="0"/>
          <w:sz w:val="30"/>
          <w:szCs w:val="30"/>
        </w:rPr>
      </w:pPr>
    </w:p>
    <w:p w14:paraId="1DFE5E2A">
      <w:pPr>
        <w:pStyle w:val="12"/>
        <w:numPr>
          <w:ilvl w:val="0"/>
          <w:numId w:val="3"/>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上网公告文件</w:t>
      </w:r>
    </w:p>
    <w:p w14:paraId="583E3A48">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中介机构</w:t>
      </w:r>
      <w:r>
        <w:rPr>
          <w:rFonts w:ascii="仿宋_GB2312" w:eastAsia="仿宋_GB2312"/>
          <w:color w:val="000000"/>
          <w:sz w:val="30"/>
          <w:szCs w:val="30"/>
        </w:rPr>
        <w:t>意见（如适用）</w:t>
      </w:r>
    </w:p>
    <w:p w14:paraId="1CBCC589">
      <w:pPr>
        <w:autoSpaceDE w:val="0"/>
        <w:autoSpaceDN w:val="0"/>
        <w:adjustRightInd w:val="0"/>
        <w:snapToGrid w:val="0"/>
        <w:spacing w:line="560" w:lineRule="exact"/>
        <w:ind w:firstLine="600" w:firstLineChars="200"/>
        <w:rPr>
          <w:rFonts w:ascii="仿宋_GB2312" w:hAnsi="宋体" w:eastAsia="仿宋_GB2312" w:cs="宋体-WinCharSetFFFF-H"/>
          <w:color w:val="000000"/>
          <w:kern w:val="0"/>
          <w:sz w:val="30"/>
          <w:szCs w:val="30"/>
        </w:rPr>
      </w:pPr>
    </w:p>
    <w:p w14:paraId="538ABC76">
      <w:pPr>
        <w:widowControl/>
        <w:jc w:val="center"/>
        <w:outlineLvl w:val="0"/>
        <w:rPr>
          <w:rFonts w:ascii="仿宋_GB2312" w:eastAsia="仿宋_GB2312"/>
          <w:color w:val="000000"/>
          <w:sz w:val="30"/>
          <w:szCs w:val="30"/>
        </w:rPr>
      </w:pPr>
    </w:p>
    <w:p w14:paraId="5C7BB1E9">
      <w:pPr>
        <w:widowControl/>
        <w:jc w:val="center"/>
        <w:outlineLvl w:val="0"/>
        <w:rPr>
          <w:rFonts w:ascii="仿宋_GB2312" w:eastAsia="仿宋_GB2312"/>
          <w:color w:val="000000"/>
          <w:sz w:val="30"/>
          <w:szCs w:val="30"/>
        </w:rPr>
      </w:pPr>
    </w:p>
    <w:p w14:paraId="390BA0A9">
      <w:pPr>
        <w:widowControl/>
        <w:jc w:val="left"/>
        <w:rPr>
          <w:rFonts w:ascii="黑体" w:hAnsi="黑体" w:eastAsia="黑体"/>
          <w:b/>
          <w:bCs/>
          <w:kern w:val="44"/>
          <w:sz w:val="32"/>
          <w:szCs w:val="32"/>
        </w:rPr>
      </w:pPr>
      <w:bookmarkStart w:id="4" w:name="_Toc18463"/>
      <w:r>
        <w:rPr>
          <w:rFonts w:ascii="黑体" w:hAnsi="黑体" w:eastAsia="黑体"/>
          <w:b/>
          <w:bCs/>
          <w:kern w:val="44"/>
          <w:sz w:val="32"/>
          <w:szCs w:val="32"/>
        </w:rPr>
        <w:br w:type="page"/>
      </w:r>
    </w:p>
    <w:p w14:paraId="1E586908">
      <w:pPr>
        <w:widowControl/>
        <w:jc w:val="center"/>
        <w:outlineLvl w:val="0"/>
        <w:rPr>
          <w:rFonts w:ascii="黑体" w:hAnsi="黑体" w:eastAsia="黑体"/>
          <w:b/>
          <w:bCs/>
          <w:kern w:val="44"/>
          <w:sz w:val="32"/>
          <w:szCs w:val="32"/>
        </w:rPr>
      </w:pPr>
      <w:r>
        <w:rPr>
          <w:rFonts w:hint="eastAsia" w:ascii="黑体" w:hAnsi="黑体" w:eastAsia="黑体"/>
          <w:b/>
          <w:bCs/>
          <w:kern w:val="44"/>
          <w:sz w:val="32"/>
          <w:szCs w:val="32"/>
        </w:rPr>
        <w:t>二、上</w:t>
      </w:r>
      <w:bookmarkStart w:id="5" w:name="_Toc3999"/>
      <w:bookmarkStart w:id="6" w:name="_Toc15475"/>
      <w:r>
        <w:rPr>
          <w:rFonts w:hint="eastAsia" w:ascii="黑体" w:hAnsi="黑体" w:eastAsia="黑体"/>
          <w:b/>
          <w:bCs/>
          <w:kern w:val="44"/>
          <w:sz w:val="32"/>
          <w:szCs w:val="32"/>
        </w:rPr>
        <w:t>市公司开展期货和衍生品交易公告</w:t>
      </w:r>
      <w:bookmarkEnd w:id="4"/>
      <w:bookmarkEnd w:id="5"/>
      <w:bookmarkEnd w:id="6"/>
    </w:p>
    <w:p w14:paraId="743EFA9D">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51F93636">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ascii="仿宋_GB2312" w:eastAsia="仿宋_GB2312"/>
          <w:color w:val="000000"/>
          <w:sz w:val="30"/>
          <w:szCs w:val="30"/>
        </w:rPr>
        <w:t>.</w:t>
      </w:r>
      <w:r>
        <w:rPr>
          <w:rFonts w:hint="eastAsia" w:ascii="仿宋_GB2312" w:eastAsia="仿宋_GB2312"/>
          <w:color w:val="000000"/>
          <w:sz w:val="30"/>
          <w:szCs w:val="30"/>
        </w:rPr>
        <w:t>上市公司开展《上海证券交易所上市公司自律监管指引第5号——交易与关联交易》中规定的期货和衍生品交易的，适用本公告格式。</w:t>
      </w:r>
    </w:p>
    <w:p w14:paraId="0A0C023B">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w:t>
      </w:r>
      <w:r>
        <w:rPr>
          <w:rFonts w:hint="eastAsia" w:ascii="仿宋_GB2312" w:eastAsia="仿宋_GB2312"/>
          <w:color w:val="000000"/>
          <w:sz w:val="30"/>
          <w:szCs w:val="30"/>
        </w:rPr>
        <w:t>上市公司进行期货和</w:t>
      </w:r>
      <w:r>
        <w:rPr>
          <w:rFonts w:ascii="仿宋_GB2312" w:eastAsia="仿宋_GB2312"/>
          <w:color w:val="000000"/>
          <w:sz w:val="30"/>
          <w:szCs w:val="30"/>
        </w:rPr>
        <w:t>衍生品交易，发生</w:t>
      </w:r>
      <w:r>
        <w:rPr>
          <w:rFonts w:hint="eastAsia" w:ascii="仿宋_GB2312" w:eastAsia="仿宋_GB2312"/>
          <w:color w:val="000000"/>
          <w:sz w:val="30"/>
          <w:szCs w:val="30"/>
        </w:rPr>
        <w:t>本公告格式</w:t>
      </w:r>
      <w:r>
        <w:rPr>
          <w:rFonts w:ascii="仿宋_GB2312" w:eastAsia="仿宋_GB2312"/>
          <w:color w:val="000000"/>
          <w:sz w:val="30"/>
          <w:szCs w:val="30"/>
        </w:rPr>
        <w:t>规定的特定情形的，应</w:t>
      </w:r>
      <w:r>
        <w:rPr>
          <w:rFonts w:hint="eastAsia" w:ascii="仿宋_GB2312" w:eastAsia="仿宋_GB2312"/>
          <w:color w:val="000000"/>
          <w:sz w:val="30"/>
          <w:szCs w:val="30"/>
        </w:rPr>
        <w:t>当</w:t>
      </w:r>
      <w:r>
        <w:rPr>
          <w:rFonts w:ascii="仿宋_GB2312" w:eastAsia="仿宋_GB2312"/>
          <w:color w:val="000000"/>
          <w:sz w:val="30"/>
          <w:szCs w:val="30"/>
        </w:rPr>
        <w:t>及时披露相关进展情况和拟采取的应对措施。</w:t>
      </w:r>
    </w:p>
    <w:p w14:paraId="30DCD483">
      <w:pPr>
        <w:spacing w:line="560" w:lineRule="exact"/>
        <w:ind w:firstLine="600" w:firstLineChars="200"/>
        <w:rPr>
          <w:rFonts w:ascii="仿宋_GB2312" w:hAnsi="宋体" w:eastAsia="仿宋_GB2312" w:cs="宋体"/>
          <w:sz w:val="30"/>
          <w:szCs w:val="30"/>
        </w:rPr>
      </w:pPr>
    </w:p>
    <w:p w14:paraId="28684B0F">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4F0DB558">
      <w:pPr>
        <w:adjustRightInd w:val="0"/>
        <w:snapToGrid w:val="0"/>
        <w:spacing w:line="560" w:lineRule="exact"/>
        <w:jc w:val="center"/>
        <w:rPr>
          <w:rFonts w:ascii="仿宋_GB2312" w:hAnsi="宋体" w:eastAsia="仿宋_GB2312"/>
          <w:color w:val="000000"/>
          <w:sz w:val="30"/>
          <w:szCs w:val="30"/>
        </w:rPr>
      </w:pPr>
    </w:p>
    <w:p w14:paraId="595E2796">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股份有限公司开展期货和</w:t>
      </w:r>
      <w:r>
        <w:rPr>
          <w:rFonts w:ascii="仿宋_GB2312" w:hAnsi="宋体" w:eastAsia="仿宋_GB2312"/>
          <w:color w:val="000000"/>
          <w:sz w:val="30"/>
          <w:szCs w:val="30"/>
        </w:rPr>
        <w:t>衍生品交易</w:t>
      </w:r>
      <w:r>
        <w:rPr>
          <w:rFonts w:hint="eastAsia" w:ascii="仿宋_GB2312" w:hAnsi="宋体" w:eastAsia="仿宋_GB2312" w:cs="黑体-WinCharSetFFFF-H"/>
          <w:kern w:val="0"/>
          <w:sz w:val="30"/>
          <w:szCs w:val="30"/>
        </w:rPr>
        <w:t>公告</w:t>
      </w:r>
    </w:p>
    <w:p w14:paraId="03215F6F">
      <w:pPr>
        <w:snapToGrid w:val="0"/>
        <w:spacing w:line="560" w:lineRule="exact"/>
        <w:jc w:val="center"/>
        <w:rPr>
          <w:rFonts w:ascii="楷体" w:hAnsi="楷体" w:eastAsia="楷体" w:cs="宋体-WinCharSetFFFF-H"/>
          <w:color w:val="000000"/>
          <w:kern w:val="0"/>
          <w:sz w:val="24"/>
        </w:rPr>
      </w:pPr>
      <w:r>
        <w:rPr>
          <w:rFonts w:hint="eastAsia" w:ascii="楷体" w:hAnsi="楷体" w:eastAsia="楷体" w:cs="宋体-WinCharSetFFFF-H"/>
          <w:color w:val="000000"/>
          <w:kern w:val="0"/>
          <w:sz w:val="24"/>
        </w:rPr>
        <w:t>（编制提醒：以获取投资收益为目的开展期货和衍生品交易的，不得在公告标题中使用“套期保值”“风险管理”等可能使投资者对交易目的产生误解的词语。）</w:t>
      </w:r>
    </w:p>
    <w:p w14:paraId="5A0B22B6">
      <w:pPr>
        <w:snapToGrid w:val="0"/>
        <w:spacing w:line="560" w:lineRule="exact"/>
        <w:jc w:val="center"/>
        <w:rPr>
          <w:rFonts w:ascii="仿宋_GB2312" w:hAnsi="宋体" w:eastAsia="仿宋_GB2312"/>
          <w:color w:val="000000"/>
          <w:sz w:val="30"/>
          <w:szCs w:val="30"/>
        </w:rPr>
      </w:pPr>
    </w:p>
    <w:p w14:paraId="2A1BA4DD">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本公司董事会及全体董事保证本公告内容不存在任何虚假记载、误导性陈述或者重大遗漏，并对其内容的真实性、准确性和完整性依法承担法律责任。</w:t>
      </w:r>
    </w:p>
    <w:p w14:paraId="69681852">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2616C863">
      <w:pPr>
        <w:adjustRightInd w:val="0"/>
        <w:snapToGrid w:val="0"/>
        <w:spacing w:line="560" w:lineRule="exact"/>
        <w:rPr>
          <w:rFonts w:ascii="仿宋_GB2312" w:hAnsi="宋体" w:eastAsia="仿宋_GB2312"/>
          <w:sz w:val="30"/>
          <w:szCs w:val="30"/>
        </w:rPr>
      </w:pPr>
    </w:p>
    <w:p w14:paraId="2C96E715">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6F0D3098">
      <w:pPr>
        <w:numPr>
          <w:ilvl w:val="0"/>
          <w:numId w:val="1"/>
        </w:numPr>
        <w:adjustRightInd w:val="0"/>
        <w:snapToGrid w:val="0"/>
        <w:spacing w:line="560" w:lineRule="exact"/>
        <w:ind w:left="1020"/>
        <w:rPr>
          <w:rFonts w:ascii="仿宋_GB2312" w:hAnsi="宋体" w:eastAsia="仿宋_GB2312"/>
          <w:bCs/>
          <w:sz w:val="30"/>
          <w:szCs w:val="30"/>
        </w:rPr>
      </w:pPr>
      <w:r>
        <w:rPr>
          <w:rFonts w:hint="eastAsia" w:ascii="仿宋_GB2312" w:hAnsi="宋体" w:eastAsia="仿宋_GB2312"/>
          <w:bCs/>
          <w:sz w:val="30"/>
          <w:szCs w:val="30"/>
        </w:rPr>
        <w:t>交易目的、交易品种、交易工具、交易场所和交易金额</w:t>
      </w:r>
    </w:p>
    <w:p w14:paraId="3AF67B03">
      <w:pPr>
        <w:pStyle w:val="12"/>
        <w:numPr>
          <w:ilvl w:val="0"/>
          <w:numId w:val="2"/>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bCs/>
          <w:sz w:val="30"/>
          <w:szCs w:val="30"/>
        </w:rPr>
        <w:t>已履行及拟履行的审议程序</w:t>
      </w:r>
    </w:p>
    <w:p w14:paraId="40E6189A">
      <w:pPr>
        <w:pStyle w:val="12"/>
        <w:numPr>
          <w:ilvl w:val="0"/>
          <w:numId w:val="2"/>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bCs/>
          <w:sz w:val="30"/>
          <w:szCs w:val="30"/>
        </w:rPr>
        <w:t>特别</w:t>
      </w:r>
      <w:r>
        <w:rPr>
          <w:rFonts w:ascii="仿宋_GB2312" w:hAnsi="宋体" w:eastAsia="仿宋_GB2312"/>
          <w:bCs/>
          <w:sz w:val="30"/>
          <w:szCs w:val="30"/>
        </w:rPr>
        <w:t>风险提示</w:t>
      </w:r>
    </w:p>
    <w:p w14:paraId="40DF0CB5">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一、交易情况概述</w:t>
      </w:r>
    </w:p>
    <w:p w14:paraId="26C8AA70">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（一）交易目的</w:t>
      </w:r>
    </w:p>
    <w:p w14:paraId="1DC198F7">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准确披露</w:t>
      </w:r>
      <w:r>
        <w:rPr>
          <w:rFonts w:ascii="仿宋_GB2312" w:hAnsi="宋体" w:eastAsia="仿宋_GB2312" w:cs="宋体"/>
          <w:color w:val="000000"/>
          <w:kern w:val="0"/>
          <w:sz w:val="30"/>
          <w:szCs w:val="30"/>
        </w:rPr>
        <w:t>本次</w:t>
      </w:r>
      <w:r>
        <w:rPr>
          <w:rFonts w:hint="eastAsia" w:ascii="仿宋_GB2312" w:hAnsi="宋体" w:eastAsia="仿宋_GB2312" w:cs="宋体"/>
          <w:color w:val="000000"/>
          <w:kern w:val="0"/>
          <w:sz w:val="30"/>
          <w:szCs w:val="30"/>
        </w:rPr>
        <w:t>期货和</w:t>
      </w:r>
      <w:r>
        <w:rPr>
          <w:rFonts w:ascii="仿宋_GB2312" w:hAnsi="宋体" w:eastAsia="仿宋_GB2312" w:cs="宋体"/>
          <w:color w:val="000000"/>
          <w:kern w:val="0"/>
          <w:sz w:val="30"/>
          <w:szCs w:val="30"/>
        </w:rPr>
        <w:t>衍生品交易的目的</w:t>
      </w:r>
      <w:r>
        <w:rPr>
          <w:rFonts w:hint="eastAsia" w:ascii="仿宋_GB2312" w:hAnsi="宋体" w:eastAsia="仿宋_GB2312" w:cs="宋体"/>
          <w:color w:val="000000"/>
          <w:kern w:val="0"/>
          <w:sz w:val="30"/>
          <w:szCs w:val="30"/>
        </w:rPr>
        <w:t>（获取投资收益、套期保值）</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结合公司主营业务说明交易的必要性、可行性、与公司日常经营需求的相关程度</w:t>
      </w:r>
      <w:r>
        <w:rPr>
          <w:rFonts w:ascii="仿宋_GB2312" w:hAnsi="宋体" w:eastAsia="仿宋_GB2312" w:cs="宋体"/>
          <w:color w:val="000000"/>
          <w:kern w:val="0"/>
          <w:sz w:val="30"/>
          <w:szCs w:val="30"/>
        </w:rPr>
        <w:t>，公司资金使用安排是否合理等情况。</w:t>
      </w:r>
    </w:p>
    <w:p w14:paraId="6B7DBD11">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（编制提醒：以获取投资收益为目的开展期货和衍生品交易的，不得在公告标题和重要内容提示中使用“套期保值”“风险管理”等可能使投资者对交易目的产生误解的词语。）</w:t>
      </w:r>
    </w:p>
    <w:p w14:paraId="3569DE02">
      <w:pPr>
        <w:widowControl/>
        <w:spacing w:line="56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公司以套期保值为目的开展期货和衍生品交易的，应当说明期货和衍生品合约类别、预期管理的风险敞口，明确两者是否存在风险相互对冲的经济关系，以及如何运用期货和衍生品合约对相关风险敞口进行套期保值，并说明套期保值预计可实现的效果。</w:t>
      </w:r>
    </w:p>
    <w:p w14:paraId="1B37AE58">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交易金额</w:t>
      </w:r>
    </w:p>
    <w:p w14:paraId="7A571F8A">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说明预计动用的交易保证金和权利金上限（包括为交易而提供的担保物价值、预计占用的金融机构授信额度、为应急措施所预留的保证金等），预计任一交易日持有的最高合约价值。</w:t>
      </w:r>
    </w:p>
    <w:p w14:paraId="501DB691">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上市公司对未来12个月内期货和衍生品交易的范围、额度及期限等进行合理预计的，应明确期限内任一</w:t>
      </w:r>
      <w:r>
        <w:rPr>
          <w:rFonts w:ascii="仿宋_GB2312" w:eastAsia="仿宋_GB2312"/>
          <w:color w:val="000000"/>
          <w:sz w:val="30"/>
          <w:szCs w:val="30"/>
        </w:rPr>
        <w:t>时点的</w:t>
      </w:r>
      <w:r>
        <w:rPr>
          <w:rFonts w:hint="eastAsia" w:ascii="仿宋_GB2312" w:eastAsia="仿宋_GB2312"/>
          <w:color w:val="000000"/>
          <w:sz w:val="30"/>
          <w:szCs w:val="30"/>
        </w:rPr>
        <w:t>交易金额（含前述交易的收益进行再交易的相关金额）不超过已审议额度。</w:t>
      </w:r>
    </w:p>
    <w:p w14:paraId="27F8080D">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（三）资金来源</w:t>
      </w:r>
    </w:p>
    <w:p w14:paraId="7785C005">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说明本次交易的资金来源，如自有资金、借贷资金等，明确是否涉及募集资金。</w:t>
      </w:r>
    </w:p>
    <w:p w14:paraId="18B07884">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交易方式</w:t>
      </w:r>
    </w:p>
    <w:p w14:paraId="5DF9CAC2">
      <w:pPr>
        <w:widowControl/>
        <w:spacing w:line="56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说明具体</w:t>
      </w:r>
      <w:r>
        <w:rPr>
          <w:rFonts w:hint="eastAsia" w:ascii="仿宋_GB2312" w:hAnsi="宋体" w:eastAsia="仿宋_GB2312" w:cs="宋体"/>
          <w:color w:val="000000"/>
          <w:kern w:val="0"/>
          <w:sz w:val="30"/>
          <w:szCs w:val="30"/>
        </w:rPr>
        <w:t>交易</w:t>
      </w:r>
      <w:r>
        <w:rPr>
          <w:rFonts w:ascii="仿宋_GB2312" w:hAnsi="宋体" w:eastAsia="仿宋_GB2312" w:cs="宋体"/>
          <w:color w:val="000000"/>
          <w:kern w:val="0"/>
          <w:sz w:val="30"/>
          <w:szCs w:val="30"/>
        </w:rPr>
        <w:t>品种、</w:t>
      </w:r>
      <w:r>
        <w:rPr>
          <w:rFonts w:hint="eastAsia" w:ascii="仿宋_GB2312" w:hAnsi="宋体" w:eastAsia="仿宋_GB2312" w:cs="宋体"/>
          <w:color w:val="000000"/>
          <w:kern w:val="0"/>
          <w:sz w:val="30"/>
          <w:szCs w:val="30"/>
        </w:rPr>
        <w:t>交易工具及交易场所。以套期保值为目的开展期货和衍生品交易的，说明属于何种交易类型。如拟在境外开展期货和衍生品交易的，应当说明交易的必要性。拟开展场外衍生品交易的，应当说明交易必要性、产品结构复杂程度，交易对手方的基本情况、履约能力介绍、交易合同生效条件、附加条件以及争议处理方式等主要条款。</w:t>
      </w:r>
    </w:p>
    <w:p w14:paraId="378BA8E5">
      <w:pPr>
        <w:autoSpaceDE w:val="0"/>
        <w:autoSpaceDN w:val="0"/>
        <w:adjustRightInd w:val="0"/>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交易</w:t>
      </w:r>
      <w:r>
        <w:rPr>
          <w:rFonts w:ascii="仿宋_GB2312" w:hAnsi="宋体" w:eastAsia="仿宋_GB2312" w:cs="宋体"/>
          <w:color w:val="000000"/>
          <w:kern w:val="0"/>
          <w:sz w:val="30"/>
          <w:szCs w:val="30"/>
        </w:rPr>
        <w:t>期限</w:t>
      </w:r>
    </w:p>
    <w:p w14:paraId="7C790F42">
      <w:pPr>
        <w:autoSpaceDE w:val="0"/>
        <w:autoSpaceDN w:val="0"/>
        <w:adjustRightInd w:val="0"/>
        <w:spacing w:line="560" w:lineRule="exact"/>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说明本次授权在</w:t>
      </w:r>
      <w:r>
        <w:rPr>
          <w:rFonts w:hint="eastAsia" w:ascii="仿宋_GB2312" w:hAnsi="宋体" w:eastAsia="仿宋_GB2312" w:cs="宋体"/>
          <w:color w:val="000000"/>
          <w:kern w:val="0"/>
          <w:sz w:val="30"/>
          <w:szCs w:val="30"/>
        </w:rPr>
        <w:t>交易</w:t>
      </w:r>
      <w:r>
        <w:rPr>
          <w:rFonts w:ascii="仿宋_GB2312" w:hAnsi="宋体" w:eastAsia="仿宋_GB2312" w:cs="宋体"/>
          <w:color w:val="000000"/>
          <w:kern w:val="0"/>
          <w:sz w:val="30"/>
          <w:szCs w:val="30"/>
        </w:rPr>
        <w:t>额度范围内进行</w:t>
      </w:r>
      <w:r>
        <w:rPr>
          <w:rFonts w:hint="eastAsia" w:ascii="仿宋_GB2312" w:hAnsi="宋体" w:eastAsia="仿宋_GB2312" w:cs="宋体"/>
          <w:color w:val="000000"/>
          <w:kern w:val="0"/>
          <w:sz w:val="30"/>
          <w:szCs w:val="30"/>
        </w:rPr>
        <w:t>期货和</w:t>
      </w:r>
      <w:r>
        <w:rPr>
          <w:rFonts w:ascii="仿宋_GB2312" w:hAnsi="宋体" w:eastAsia="仿宋_GB2312" w:cs="宋体"/>
          <w:color w:val="000000"/>
          <w:kern w:val="0"/>
          <w:sz w:val="30"/>
          <w:szCs w:val="30"/>
        </w:rPr>
        <w:t>衍生品交易的期限</w:t>
      </w:r>
      <w:r>
        <w:rPr>
          <w:rFonts w:hint="eastAsia" w:ascii="仿宋_GB2312" w:hAnsi="宋体" w:eastAsia="仿宋_GB2312" w:cs="宋体"/>
          <w:color w:val="000000"/>
          <w:kern w:val="0"/>
          <w:sz w:val="30"/>
          <w:szCs w:val="30"/>
        </w:rPr>
        <w:t>，</w:t>
      </w:r>
      <w:r>
        <w:rPr>
          <w:rFonts w:hint="eastAsia" w:ascii="仿宋_GB2312" w:eastAsia="仿宋_GB2312" w:hAnsiTheme="minorEastAsia"/>
          <w:color w:val="000000" w:themeColor="text1"/>
          <w:kern w:val="0"/>
          <w:sz w:val="30"/>
          <w:szCs w:val="30"/>
          <w14:textFill>
            <w14:solidFill>
              <w14:schemeClr w14:val="tx1"/>
            </w14:solidFill>
          </w14:textFill>
        </w:rPr>
        <w:t>相关额度的使用期限不应超过12个月。</w:t>
      </w:r>
    </w:p>
    <w:p w14:paraId="6AA5D50A">
      <w:pPr>
        <w:widowControl/>
        <w:spacing w:line="560" w:lineRule="exact"/>
        <w:ind w:firstLine="602" w:firstLineChars="200"/>
        <w:rPr>
          <w:rFonts w:ascii="黑体" w:hAnsi="黑体" w:eastAsia="黑体" w:cs="宋体"/>
          <w:b/>
          <w:color w:val="000000"/>
          <w:kern w:val="0"/>
          <w:sz w:val="30"/>
          <w:szCs w:val="30"/>
        </w:rPr>
      </w:pPr>
    </w:p>
    <w:p w14:paraId="3F14B429">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二</w:t>
      </w:r>
      <w:r>
        <w:rPr>
          <w:rFonts w:ascii="黑体" w:hAnsi="黑体" w:eastAsia="黑体" w:cs="宋体"/>
          <w:b/>
          <w:color w:val="000000"/>
          <w:kern w:val="0"/>
          <w:sz w:val="30"/>
          <w:szCs w:val="30"/>
        </w:rPr>
        <w:t>、</w:t>
      </w:r>
      <w:r>
        <w:rPr>
          <w:rFonts w:hint="eastAsia" w:ascii="黑体" w:hAnsi="黑体" w:eastAsia="黑体" w:cs="宋体"/>
          <w:b/>
          <w:color w:val="000000"/>
          <w:kern w:val="0"/>
          <w:sz w:val="30"/>
          <w:szCs w:val="30"/>
        </w:rPr>
        <w:t>审议程序</w:t>
      </w:r>
    </w:p>
    <w:p w14:paraId="621ABE0D">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说明</w:t>
      </w:r>
      <w:r>
        <w:rPr>
          <w:rFonts w:ascii="仿宋_GB2312" w:hAnsi="宋体" w:eastAsia="仿宋_GB2312" w:cs="宋体"/>
          <w:color w:val="000000"/>
          <w:kern w:val="0"/>
          <w:sz w:val="30"/>
          <w:szCs w:val="30"/>
        </w:rPr>
        <w:t>本次</w:t>
      </w:r>
      <w:r>
        <w:rPr>
          <w:rFonts w:hint="eastAsia" w:ascii="仿宋_GB2312" w:hAnsi="宋体" w:eastAsia="仿宋_GB2312" w:cs="宋体"/>
          <w:color w:val="000000"/>
          <w:kern w:val="0"/>
          <w:sz w:val="30"/>
          <w:szCs w:val="30"/>
        </w:rPr>
        <w:t>交易</w:t>
      </w:r>
      <w:r>
        <w:rPr>
          <w:rFonts w:ascii="仿宋_GB2312" w:hAnsi="宋体" w:eastAsia="仿宋_GB2312" w:cs="宋体"/>
          <w:color w:val="000000"/>
          <w:kern w:val="0"/>
          <w:sz w:val="30"/>
          <w:szCs w:val="30"/>
        </w:rPr>
        <w:t>需要履行的程序，是否已获得公司董事会或者股东会审议通过；涉及关联</w:t>
      </w:r>
      <w:r>
        <w:rPr>
          <w:rFonts w:hint="eastAsia" w:ascii="仿宋_GB2312" w:hAnsi="宋体" w:eastAsia="仿宋_GB2312" w:cs="宋体"/>
          <w:color w:val="000000"/>
          <w:kern w:val="0"/>
          <w:sz w:val="30"/>
          <w:szCs w:val="30"/>
        </w:rPr>
        <w:t>交易</w:t>
      </w:r>
      <w:r>
        <w:rPr>
          <w:rFonts w:ascii="仿宋_GB2312" w:hAnsi="宋体" w:eastAsia="仿宋_GB2312" w:cs="宋体"/>
          <w:color w:val="000000"/>
          <w:kern w:val="0"/>
          <w:sz w:val="30"/>
          <w:szCs w:val="30"/>
        </w:rPr>
        <w:t>的，说明是否需要履行或已履行</w:t>
      </w:r>
      <w:r>
        <w:rPr>
          <w:rFonts w:hint="eastAsia" w:ascii="仿宋_GB2312" w:hAnsi="宋体" w:eastAsia="仿宋_GB2312" w:cs="宋体"/>
          <w:color w:val="000000"/>
          <w:kern w:val="0"/>
          <w:sz w:val="30"/>
          <w:szCs w:val="30"/>
        </w:rPr>
        <w:t>的</w:t>
      </w:r>
      <w:r>
        <w:rPr>
          <w:rFonts w:ascii="仿宋_GB2312" w:hAnsi="宋体" w:eastAsia="仿宋_GB2312" w:cs="宋体"/>
          <w:color w:val="000000"/>
          <w:kern w:val="0"/>
          <w:sz w:val="30"/>
          <w:szCs w:val="30"/>
        </w:rPr>
        <w:t>关联交易</w:t>
      </w:r>
      <w:r>
        <w:rPr>
          <w:rFonts w:hint="eastAsia" w:ascii="仿宋_GB2312" w:hAnsi="宋体" w:eastAsia="仿宋_GB2312" w:cs="宋体"/>
          <w:color w:val="000000"/>
          <w:kern w:val="0"/>
          <w:sz w:val="30"/>
          <w:szCs w:val="30"/>
        </w:rPr>
        <w:t>审议</w:t>
      </w:r>
      <w:r>
        <w:rPr>
          <w:rFonts w:ascii="仿宋_GB2312" w:hAnsi="宋体" w:eastAsia="仿宋_GB2312" w:cs="宋体"/>
          <w:color w:val="000000"/>
          <w:kern w:val="0"/>
          <w:sz w:val="30"/>
          <w:szCs w:val="30"/>
        </w:rPr>
        <w:t>程序，以及相关的表决情况等。</w:t>
      </w:r>
    </w:p>
    <w:p w14:paraId="334F4089">
      <w:pPr>
        <w:widowControl/>
        <w:spacing w:line="560" w:lineRule="exact"/>
        <w:ind w:firstLine="602" w:firstLineChars="200"/>
        <w:rPr>
          <w:rFonts w:ascii="黑体" w:hAnsi="黑体" w:eastAsia="黑体" w:cs="宋体"/>
          <w:b/>
          <w:color w:val="000000"/>
          <w:kern w:val="0"/>
          <w:sz w:val="30"/>
          <w:szCs w:val="30"/>
        </w:rPr>
      </w:pPr>
    </w:p>
    <w:p w14:paraId="1B43D6B2">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三</w:t>
      </w:r>
      <w:r>
        <w:rPr>
          <w:rFonts w:ascii="黑体" w:hAnsi="黑体" w:eastAsia="黑体" w:cs="宋体"/>
          <w:b/>
          <w:color w:val="000000"/>
          <w:kern w:val="0"/>
          <w:sz w:val="30"/>
          <w:szCs w:val="30"/>
        </w:rPr>
        <w:t>、</w:t>
      </w:r>
      <w:r>
        <w:rPr>
          <w:rFonts w:hint="eastAsia" w:ascii="黑体" w:hAnsi="黑体" w:eastAsia="黑体" w:cs="宋体"/>
          <w:b/>
          <w:color w:val="000000"/>
          <w:kern w:val="0"/>
          <w:sz w:val="30"/>
          <w:szCs w:val="30"/>
        </w:rPr>
        <w:t>交易</w:t>
      </w:r>
      <w:r>
        <w:rPr>
          <w:rFonts w:ascii="黑体" w:hAnsi="黑体" w:eastAsia="黑体" w:cs="宋体"/>
          <w:b/>
          <w:color w:val="000000"/>
          <w:kern w:val="0"/>
          <w:sz w:val="30"/>
          <w:szCs w:val="30"/>
        </w:rPr>
        <w:t>风险分析及风控措施</w:t>
      </w:r>
    </w:p>
    <w:p w14:paraId="5FAC8D5C">
      <w:pPr>
        <w:widowControl/>
        <w:spacing w:line="560" w:lineRule="exact"/>
        <w:ind w:firstLine="600" w:firstLineChars="200"/>
        <w:rPr>
          <w:rFonts w:ascii="仿宋_GB2312" w:hAnsi="仿宋_GB2312" w:eastAsia="仿宋_GB2312" w:cs="宋体"/>
          <w:color w:val="000000"/>
          <w:kern w:val="0"/>
          <w:sz w:val="30"/>
          <w:szCs w:val="30"/>
        </w:rPr>
      </w:pPr>
      <w:r>
        <w:rPr>
          <w:rFonts w:ascii="仿宋_GB2312" w:hAnsi="仿宋_GB2312" w:eastAsia="仿宋_GB2312" w:cs="宋体"/>
          <w:color w:val="000000"/>
          <w:kern w:val="0"/>
          <w:sz w:val="30"/>
          <w:szCs w:val="30"/>
        </w:rPr>
        <w:t>评估本次</w:t>
      </w:r>
      <w:r>
        <w:rPr>
          <w:rFonts w:hint="eastAsia" w:ascii="仿宋_GB2312" w:hAnsi="仿宋_GB2312" w:eastAsia="仿宋_GB2312" w:cs="宋体"/>
          <w:color w:val="000000"/>
          <w:kern w:val="0"/>
          <w:sz w:val="30"/>
          <w:szCs w:val="30"/>
        </w:rPr>
        <w:t>交易</w:t>
      </w:r>
      <w:r>
        <w:rPr>
          <w:rFonts w:ascii="仿宋_GB2312" w:hAnsi="仿宋_GB2312" w:eastAsia="仿宋_GB2312" w:cs="宋体"/>
          <w:color w:val="000000"/>
          <w:kern w:val="0"/>
          <w:sz w:val="30"/>
          <w:szCs w:val="30"/>
        </w:rPr>
        <w:t>的风险，说明</w:t>
      </w:r>
      <w:r>
        <w:rPr>
          <w:rFonts w:hint="eastAsia" w:ascii="仿宋_GB2312" w:hAnsi="仿宋_GB2312" w:eastAsia="仿宋_GB2312" w:cs="宋体"/>
          <w:color w:val="000000"/>
          <w:kern w:val="0"/>
          <w:sz w:val="30"/>
          <w:szCs w:val="30"/>
        </w:rPr>
        <w:t>上市</w:t>
      </w:r>
      <w:r>
        <w:rPr>
          <w:rFonts w:ascii="仿宋_GB2312" w:hAnsi="仿宋_GB2312" w:eastAsia="仿宋_GB2312" w:cs="宋体"/>
          <w:color w:val="000000"/>
          <w:kern w:val="0"/>
          <w:sz w:val="30"/>
          <w:szCs w:val="30"/>
        </w:rPr>
        <w:t>公司关于</w:t>
      </w:r>
      <w:r>
        <w:rPr>
          <w:rFonts w:hint="eastAsia" w:ascii="仿宋_GB2312" w:hAnsi="仿宋_GB2312" w:eastAsia="仿宋_GB2312" w:cs="宋体"/>
          <w:color w:val="000000"/>
          <w:kern w:val="0"/>
          <w:sz w:val="30"/>
          <w:szCs w:val="30"/>
        </w:rPr>
        <w:t>期货和</w:t>
      </w:r>
      <w:r>
        <w:rPr>
          <w:rFonts w:ascii="仿宋_GB2312" w:hAnsi="仿宋_GB2312" w:eastAsia="仿宋_GB2312" w:cs="宋体"/>
          <w:color w:val="000000"/>
          <w:kern w:val="0"/>
          <w:sz w:val="30"/>
          <w:szCs w:val="30"/>
        </w:rPr>
        <w:t>衍生品交易的</w:t>
      </w:r>
      <w:r>
        <w:rPr>
          <w:rFonts w:hint="eastAsia" w:ascii="仿宋_GB2312" w:hAnsi="仿宋_GB2312" w:eastAsia="仿宋_GB2312" w:cs="宋体"/>
          <w:color w:val="000000"/>
          <w:kern w:val="0"/>
          <w:sz w:val="30"/>
          <w:szCs w:val="30"/>
        </w:rPr>
        <w:t>专业</w:t>
      </w:r>
      <w:r>
        <w:rPr>
          <w:rFonts w:ascii="仿宋_GB2312" w:hAnsi="仿宋_GB2312" w:eastAsia="仿宋_GB2312" w:cs="宋体"/>
          <w:color w:val="000000"/>
          <w:kern w:val="0"/>
          <w:sz w:val="30"/>
          <w:szCs w:val="30"/>
        </w:rPr>
        <w:t>人员配备、账户及资金管理制度、决策程序、报告制度</w:t>
      </w:r>
      <w:r>
        <w:rPr>
          <w:rFonts w:hint="eastAsia" w:ascii="仿宋_GB2312" w:hAnsi="仿宋_GB2312" w:eastAsia="仿宋_GB2312" w:cs="宋体"/>
          <w:color w:val="000000"/>
          <w:kern w:val="0"/>
          <w:sz w:val="30"/>
          <w:szCs w:val="30"/>
        </w:rPr>
        <w:t>和风险监控措施</w:t>
      </w:r>
      <w:r>
        <w:rPr>
          <w:rFonts w:ascii="仿宋_GB2312" w:hAnsi="仿宋_GB2312" w:eastAsia="仿宋_GB2312" w:cs="宋体"/>
          <w:color w:val="000000"/>
          <w:kern w:val="0"/>
          <w:sz w:val="30"/>
          <w:szCs w:val="30"/>
        </w:rPr>
        <w:t>。</w:t>
      </w:r>
    </w:p>
    <w:p w14:paraId="632307E0">
      <w:pPr>
        <w:widowControl/>
        <w:spacing w:line="560" w:lineRule="exact"/>
        <w:ind w:firstLine="600" w:firstLineChars="200"/>
        <w:rPr>
          <w:rFonts w:ascii="仿宋_GB2312" w:hAnsi="仿宋_GB2312" w:eastAsia="仿宋_GB2312" w:cs="宋体"/>
          <w:color w:val="000000"/>
          <w:kern w:val="0"/>
          <w:sz w:val="30"/>
          <w:szCs w:val="30"/>
        </w:rPr>
      </w:pPr>
      <w:r>
        <w:rPr>
          <w:rFonts w:hint="eastAsia" w:ascii="仿宋_GB2312" w:hAnsi="仿宋_GB2312" w:eastAsia="仿宋_GB2312" w:cs="宋体"/>
          <w:color w:val="000000"/>
          <w:kern w:val="0"/>
          <w:sz w:val="30"/>
          <w:szCs w:val="30"/>
        </w:rPr>
        <w:t>公司拟在境外开展期货和衍生品交易的，应当披露在相关国家和地区开展交易的政治、经济和法律等风险，是否已充分考虑结算便捷性、交易流动性、汇率波动性等因素。拟开展场外衍生品交易的，应当披露产品结构复杂程度、流动性风险及交易对手信用风险。</w:t>
      </w:r>
    </w:p>
    <w:p w14:paraId="76A67710">
      <w:pPr>
        <w:widowControl/>
        <w:spacing w:line="560" w:lineRule="exact"/>
        <w:ind w:firstLine="600" w:firstLineChars="200"/>
        <w:rPr>
          <w:rFonts w:ascii="仿宋_GB2312" w:hAnsi="仿宋_GB2312" w:eastAsia="仿宋_GB2312" w:cs="宋体"/>
          <w:color w:val="000000"/>
          <w:kern w:val="0"/>
          <w:sz w:val="30"/>
          <w:szCs w:val="30"/>
        </w:rPr>
      </w:pPr>
      <w:r>
        <w:rPr>
          <w:rFonts w:hint="eastAsia" w:ascii="仿宋_GB2312" w:hAnsi="仿宋_GB2312" w:eastAsia="仿宋_GB2312" w:cs="宋体"/>
          <w:color w:val="000000"/>
          <w:kern w:val="0"/>
          <w:sz w:val="30"/>
          <w:szCs w:val="30"/>
        </w:rPr>
        <w:t>公司以获取投资收益为目的开展期货和衍生品交易的，应当分项披露交易各类期货和衍生品的风险，包括但不限于市场风险、流动性风险、信用风险、操作风险、法律风险、针对各类期货和衍生品设定的止损限额等风险管理措施。</w:t>
      </w:r>
    </w:p>
    <w:p w14:paraId="685CC6C3">
      <w:pPr>
        <w:widowControl/>
        <w:spacing w:line="560" w:lineRule="exact"/>
        <w:ind w:firstLine="600" w:firstLineChars="200"/>
        <w:rPr>
          <w:rFonts w:ascii="仿宋_GB2312" w:hAnsi="仿宋_GB2312" w:eastAsia="仿宋_GB2312" w:cs="宋体"/>
          <w:color w:val="000000"/>
          <w:kern w:val="0"/>
          <w:sz w:val="30"/>
          <w:szCs w:val="30"/>
        </w:rPr>
      </w:pPr>
    </w:p>
    <w:p w14:paraId="77633DE2">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四、交易对公司的影响及相关会计处理</w:t>
      </w:r>
    </w:p>
    <w:p w14:paraId="7076BFFB">
      <w:pPr>
        <w:widowControl/>
        <w:spacing w:line="56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ascii="仿宋_GB2312" w:hAnsi="宋体" w:eastAsia="仿宋_GB2312" w:cs="宋体"/>
          <w:color w:val="000000"/>
          <w:kern w:val="0"/>
          <w:sz w:val="30"/>
          <w:szCs w:val="30"/>
        </w:rPr>
        <w:t>说明本次</w:t>
      </w:r>
      <w:r>
        <w:rPr>
          <w:rFonts w:hint="eastAsia" w:ascii="仿宋_GB2312" w:hAnsi="宋体" w:eastAsia="仿宋_GB2312" w:cs="宋体"/>
          <w:color w:val="000000"/>
          <w:kern w:val="0"/>
          <w:sz w:val="30"/>
          <w:szCs w:val="30"/>
        </w:rPr>
        <w:t>交易</w:t>
      </w:r>
      <w:r>
        <w:rPr>
          <w:rFonts w:ascii="仿宋_GB2312" w:hAnsi="宋体" w:eastAsia="仿宋_GB2312" w:cs="宋体"/>
          <w:color w:val="000000"/>
          <w:kern w:val="0"/>
          <w:sz w:val="30"/>
          <w:szCs w:val="30"/>
        </w:rPr>
        <w:t>对公司可能带来的影响，公司拟采用的会计政策及核算原则。</w:t>
      </w:r>
      <w:r>
        <w:rPr>
          <w:rFonts w:hint="eastAsia" w:ascii="仿宋_GB2312" w:eastAsia="仿宋_GB2312" w:hAnsiTheme="minorEastAsia"/>
          <w:color w:val="000000" w:themeColor="text1"/>
          <w:kern w:val="0"/>
          <w:sz w:val="30"/>
          <w:szCs w:val="30"/>
          <w14:textFill>
            <w14:solidFill>
              <w14:schemeClr w14:val="tx1"/>
            </w14:solidFill>
          </w14:textFill>
        </w:rPr>
        <w:t>公司以套期保值为目的开展期货和衍生品交易的，应当说明套期保值业务是否符合《企业会计准则第24号——套期会计》适用条件，是否拟采取套期会计进行确认和计量。</w:t>
      </w:r>
    </w:p>
    <w:p w14:paraId="3E98BE39">
      <w:pPr>
        <w:widowControl/>
        <w:spacing w:line="560" w:lineRule="exact"/>
        <w:rPr>
          <w:rFonts w:ascii="仿宋_GB2312" w:hAnsi="宋体" w:eastAsia="仿宋_GB2312" w:cs="宋体"/>
          <w:color w:val="000000"/>
          <w:kern w:val="0"/>
          <w:sz w:val="30"/>
          <w:szCs w:val="30"/>
        </w:rPr>
      </w:pPr>
    </w:p>
    <w:p w14:paraId="7B80A59D">
      <w:pPr>
        <w:widowControl/>
        <w:spacing w:line="560" w:lineRule="exact"/>
        <w:ind w:firstLine="602" w:firstLineChars="200"/>
        <w:rPr>
          <w:rFonts w:ascii="仿宋_GB2312" w:hAnsi="宋体" w:eastAsia="仿宋_GB2312" w:cs="宋体"/>
          <w:color w:val="000000"/>
          <w:kern w:val="0"/>
          <w:sz w:val="30"/>
          <w:szCs w:val="30"/>
        </w:rPr>
      </w:pPr>
      <w:r>
        <w:rPr>
          <w:rFonts w:hint="eastAsia" w:ascii="黑体" w:hAnsi="黑体" w:eastAsia="黑体" w:cs="宋体"/>
          <w:b/>
          <w:color w:val="000000"/>
          <w:kern w:val="0"/>
          <w:sz w:val="30"/>
          <w:szCs w:val="30"/>
        </w:rPr>
        <w:t>五、中介机构意见（如适用）</w:t>
      </w:r>
    </w:p>
    <w:p w14:paraId="14E52435">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保荐人</w:t>
      </w:r>
      <w:r>
        <w:rPr>
          <w:rFonts w:ascii="仿宋_GB2312" w:hAnsi="宋体" w:eastAsia="仿宋_GB2312" w:cs="宋体"/>
          <w:color w:val="000000"/>
          <w:kern w:val="0"/>
          <w:sz w:val="30"/>
          <w:szCs w:val="30"/>
        </w:rPr>
        <w:t>应就公司</w:t>
      </w:r>
      <w:r>
        <w:rPr>
          <w:rFonts w:hint="eastAsia" w:ascii="仿宋_GB2312" w:hAnsi="宋体" w:eastAsia="仿宋_GB2312" w:cs="宋体"/>
          <w:color w:val="000000"/>
          <w:kern w:val="0"/>
          <w:sz w:val="30"/>
          <w:szCs w:val="30"/>
        </w:rPr>
        <w:t>期货和</w:t>
      </w:r>
      <w:r>
        <w:rPr>
          <w:rFonts w:ascii="仿宋_GB2312" w:hAnsi="宋体" w:eastAsia="仿宋_GB2312" w:cs="宋体"/>
          <w:color w:val="000000"/>
          <w:kern w:val="0"/>
          <w:sz w:val="30"/>
          <w:szCs w:val="30"/>
        </w:rPr>
        <w:t>衍生品交易的合规性、对公司的影响、可能存在的风险、公司采取的风险控制措施是否充分有效等事项进行核查，并出具明确同意的意见（如适用）。</w:t>
      </w:r>
    </w:p>
    <w:p w14:paraId="2EEFA508">
      <w:pPr>
        <w:spacing w:line="560" w:lineRule="exact"/>
        <w:ind w:firstLine="480" w:firstLineChars="200"/>
        <w:rPr>
          <w:rFonts w:ascii="楷体" w:hAnsi="楷体" w:eastAsia="楷体" w:cs="宋体-WinCharSetFFFF-H"/>
          <w:color w:val="000000"/>
          <w:kern w:val="0"/>
          <w:sz w:val="24"/>
        </w:rPr>
      </w:pPr>
    </w:p>
    <w:p w14:paraId="412AC033">
      <w:pPr>
        <w:widowControl/>
        <w:spacing w:line="560" w:lineRule="exact"/>
        <w:ind w:firstLine="602" w:firstLineChars="20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六</w:t>
      </w:r>
      <w:r>
        <w:rPr>
          <w:rFonts w:ascii="黑体" w:hAnsi="黑体" w:eastAsia="黑体" w:cs="宋体"/>
          <w:b/>
          <w:color w:val="000000"/>
          <w:kern w:val="0"/>
          <w:sz w:val="30"/>
          <w:szCs w:val="30"/>
        </w:rPr>
        <w:t>、进展披露（如有）</w:t>
      </w:r>
    </w:p>
    <w:p w14:paraId="74784134">
      <w:pPr>
        <w:widowControl/>
        <w:spacing w:line="5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上市公司期货和</w:t>
      </w:r>
      <w:r>
        <w:rPr>
          <w:rFonts w:ascii="仿宋_GB2312" w:hAnsi="宋体" w:eastAsia="仿宋_GB2312" w:cs="宋体"/>
          <w:color w:val="000000"/>
          <w:kern w:val="0"/>
          <w:sz w:val="30"/>
          <w:szCs w:val="30"/>
        </w:rPr>
        <w:t>衍生品交易发生《股票上市规则》</w:t>
      </w:r>
      <w:r>
        <w:rPr>
          <w:rFonts w:hint="eastAsia" w:ascii="仿宋_GB2312" w:hAnsi="宋体" w:eastAsia="仿宋_GB2312" w:cs="宋体"/>
          <w:color w:val="000000"/>
          <w:kern w:val="0"/>
          <w:sz w:val="30"/>
          <w:szCs w:val="30"/>
        </w:rPr>
        <w:t>《上市公司</w:t>
      </w:r>
      <w:r>
        <w:rPr>
          <w:rFonts w:ascii="仿宋_GB2312" w:hAnsi="宋体" w:eastAsia="仿宋_GB2312" w:cs="宋体"/>
          <w:color w:val="000000"/>
          <w:kern w:val="0"/>
          <w:sz w:val="30"/>
          <w:szCs w:val="30"/>
        </w:rPr>
        <w:t>自律监管指引第5号——交易与关联交易》等</w:t>
      </w:r>
      <w:r>
        <w:rPr>
          <w:rFonts w:hint="eastAsia" w:ascii="仿宋_GB2312" w:hAnsi="宋体" w:eastAsia="仿宋_GB2312" w:cs="宋体"/>
          <w:color w:val="000000"/>
          <w:kern w:val="0"/>
          <w:sz w:val="30"/>
          <w:szCs w:val="30"/>
        </w:rPr>
        <w:t>规定</w:t>
      </w:r>
      <w:r>
        <w:rPr>
          <w:rFonts w:ascii="仿宋_GB2312" w:hAnsi="宋体" w:eastAsia="仿宋_GB2312" w:cs="宋体"/>
          <w:color w:val="000000"/>
          <w:kern w:val="0"/>
          <w:sz w:val="30"/>
          <w:szCs w:val="30"/>
        </w:rPr>
        <w:t>的特定情形的，公司应当及时披露相关进展情况，和公司拟采取的</w:t>
      </w:r>
      <w:r>
        <w:rPr>
          <w:rFonts w:hint="eastAsia" w:ascii="仿宋_GB2312" w:hAnsi="宋体" w:eastAsia="仿宋_GB2312" w:cs="宋体"/>
          <w:color w:val="000000"/>
          <w:kern w:val="0"/>
          <w:sz w:val="30"/>
          <w:szCs w:val="30"/>
        </w:rPr>
        <w:t>应对措施</w:t>
      </w:r>
      <w:r>
        <w:rPr>
          <w:rFonts w:ascii="仿宋_GB2312" w:hAnsi="宋体" w:eastAsia="仿宋_GB2312" w:cs="宋体"/>
          <w:color w:val="000000"/>
          <w:kern w:val="0"/>
          <w:sz w:val="30"/>
          <w:szCs w:val="30"/>
        </w:rPr>
        <w:t>。</w:t>
      </w:r>
    </w:p>
    <w:p w14:paraId="7CB15313">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 xml:space="preserve">（编制提醒： </w:t>
      </w:r>
    </w:p>
    <w:p w14:paraId="27A0BD8A">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根据《上市公司自律监管指引第5号——交易与关联交易》相关规定，上市公司期货和衍生品交易已确认损益及浮动亏损金额每达到公司最近一年经审计的归属于上市公司股东净利润的10%且绝对金额超过1000万元人民币的，应当及时披露。公司开展套期保值业务的，可以将套期工具与被套期项目价值变动加总后适用前述规定。</w:t>
      </w:r>
    </w:p>
    <w:p w14:paraId="62A94E5C">
      <w:pPr>
        <w:widowControl/>
        <w:spacing w:line="560" w:lineRule="exact"/>
        <w:ind w:firstLine="480" w:firstLineChars="200"/>
        <w:rPr>
          <w:rFonts w:ascii="楷体" w:hAnsi="楷体" w:eastAsia="楷体" w:cs="宋体-WinCharSetFFFF-H"/>
          <w:color w:val="000000"/>
          <w:kern w:val="0"/>
          <w:sz w:val="24"/>
        </w:rPr>
      </w:pPr>
      <w:r>
        <w:rPr>
          <w:rFonts w:hint="eastAsia" w:ascii="楷体" w:hAnsi="楷体" w:eastAsia="楷体" w:cs="宋体-WinCharSetFFFF-H"/>
          <w:color w:val="000000"/>
          <w:kern w:val="0"/>
          <w:sz w:val="24"/>
        </w:rPr>
        <w:t>公司开展套期保值业务出现前款规定的亏损情形时，还应当重新评估套期关系的有效性，披露套期工具和被套期项目的公允价值或者现金流量变动未按预期抵销的原因，并分别披露套期工具和被套期项目价值变动情况等。）</w:t>
      </w:r>
    </w:p>
    <w:p w14:paraId="48722CDF">
      <w:pPr>
        <w:widowControl/>
        <w:spacing w:line="560" w:lineRule="exact"/>
        <w:ind w:firstLine="602" w:firstLineChars="200"/>
        <w:rPr>
          <w:rFonts w:ascii="黑体" w:hAnsi="黑体" w:eastAsia="黑体" w:cs="宋体"/>
          <w:b/>
          <w:color w:val="000000"/>
          <w:kern w:val="0"/>
          <w:sz w:val="30"/>
          <w:szCs w:val="30"/>
        </w:rPr>
      </w:pPr>
    </w:p>
    <w:p w14:paraId="3F39F848">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3830868D">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798BD821">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2B3231A3">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6244CB9B">
      <w:pPr>
        <w:spacing w:line="560" w:lineRule="exact"/>
        <w:ind w:right="600"/>
        <w:jc w:val="left"/>
        <w:rPr>
          <w:rFonts w:ascii="仿宋_GB2312" w:hAnsi="宋体" w:eastAsia="仿宋_GB2312" w:cs="宋体-WinCharSetFFFF-H"/>
          <w:color w:val="000000"/>
          <w:kern w:val="0"/>
          <w:sz w:val="30"/>
          <w:szCs w:val="30"/>
        </w:rPr>
      </w:pPr>
    </w:p>
    <w:p w14:paraId="27EE895B">
      <w:pPr>
        <w:pStyle w:val="12"/>
        <w:numPr>
          <w:ilvl w:val="0"/>
          <w:numId w:val="3"/>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上网公告文件</w:t>
      </w:r>
    </w:p>
    <w:p w14:paraId="77B2274A">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中介机构</w:t>
      </w:r>
      <w:r>
        <w:rPr>
          <w:rFonts w:ascii="仿宋_GB2312" w:eastAsia="仿宋_GB2312"/>
          <w:color w:val="000000"/>
          <w:sz w:val="30"/>
          <w:szCs w:val="30"/>
        </w:rPr>
        <w:t>意见（如适用）</w:t>
      </w:r>
    </w:p>
    <w:p w14:paraId="02456A4C">
      <w:pPr>
        <w:spacing w:line="560" w:lineRule="exact"/>
        <w:ind w:right="600"/>
        <w:jc w:val="left"/>
        <w:rPr>
          <w:rFonts w:ascii="仿宋_GB2312" w:hAnsi="宋体" w:eastAsia="仿宋_GB2312" w:cs="宋体-WinCharSetFFFF-H"/>
          <w:color w:val="000000"/>
          <w:kern w:val="0"/>
          <w:sz w:val="30"/>
          <w:szCs w:val="30"/>
        </w:rPr>
      </w:pPr>
    </w:p>
    <w:p w14:paraId="447865EB">
      <w:pPr>
        <w:autoSpaceDE w:val="0"/>
        <w:autoSpaceDN w:val="0"/>
        <w:adjustRightInd w:val="0"/>
        <w:snapToGrid w:val="0"/>
        <w:spacing w:line="560" w:lineRule="exact"/>
        <w:rPr>
          <w:rFonts w:ascii="仿宋_GB2312" w:eastAsia="仿宋_GB2312"/>
          <w:color w:val="00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3A285A17">
        <w:pPr>
          <w:pStyle w:val="4"/>
          <w:jc w:val="center"/>
        </w:pPr>
        <w:r>
          <w:fldChar w:fldCharType="begin"/>
        </w:r>
        <w:r>
          <w:instrText xml:space="preserve"> PAGE   \* MERGEFORMAT </w:instrText>
        </w:r>
        <w:r>
          <w:fldChar w:fldCharType="separate"/>
        </w:r>
        <w:r>
          <w:rPr>
            <w:lang w:val="zh-CN"/>
          </w:rPr>
          <w:t>1</w:t>
        </w:r>
        <w:r>
          <w:fldChar w:fldCharType="end"/>
        </w:r>
      </w:p>
    </w:sdtContent>
  </w:sdt>
  <w:p w14:paraId="7E57A20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C00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D7E0F"/>
    <w:multiLevelType w:val="multilevel"/>
    <w:tmpl w:val="28CD7E0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2">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OWYxNDdkZWJmMTllYzhkNWUwYmJkNmYxNGRmMjIifQ=="/>
  </w:docVars>
  <w:rsids>
    <w:rsidRoot w:val="00BF2ECD"/>
    <w:rsid w:val="00000558"/>
    <w:rsid w:val="00023A81"/>
    <w:rsid w:val="00042BFF"/>
    <w:rsid w:val="00044C7A"/>
    <w:rsid w:val="00066A9B"/>
    <w:rsid w:val="000677A3"/>
    <w:rsid w:val="0007109D"/>
    <w:rsid w:val="00076890"/>
    <w:rsid w:val="00095403"/>
    <w:rsid w:val="000A303A"/>
    <w:rsid w:val="000B1501"/>
    <w:rsid w:val="000B4D07"/>
    <w:rsid w:val="000B749E"/>
    <w:rsid w:val="000C0ED4"/>
    <w:rsid w:val="001106DC"/>
    <w:rsid w:val="001131C8"/>
    <w:rsid w:val="00115784"/>
    <w:rsid w:val="0011587C"/>
    <w:rsid w:val="00116206"/>
    <w:rsid w:val="001234CD"/>
    <w:rsid w:val="00126188"/>
    <w:rsid w:val="001338F8"/>
    <w:rsid w:val="00136732"/>
    <w:rsid w:val="001368F4"/>
    <w:rsid w:val="001542ED"/>
    <w:rsid w:val="001736D2"/>
    <w:rsid w:val="00181099"/>
    <w:rsid w:val="00185083"/>
    <w:rsid w:val="00185AA5"/>
    <w:rsid w:val="001A4FF9"/>
    <w:rsid w:val="001C4748"/>
    <w:rsid w:val="001C7DE6"/>
    <w:rsid w:val="001F39E2"/>
    <w:rsid w:val="00200A4E"/>
    <w:rsid w:val="00217E0A"/>
    <w:rsid w:val="002248B6"/>
    <w:rsid w:val="00227135"/>
    <w:rsid w:val="00236BC5"/>
    <w:rsid w:val="00236C62"/>
    <w:rsid w:val="002403D1"/>
    <w:rsid w:val="0025203A"/>
    <w:rsid w:val="00256D90"/>
    <w:rsid w:val="002656E6"/>
    <w:rsid w:val="00280D65"/>
    <w:rsid w:val="00282074"/>
    <w:rsid w:val="002829FC"/>
    <w:rsid w:val="00283143"/>
    <w:rsid w:val="002916A3"/>
    <w:rsid w:val="00293FD7"/>
    <w:rsid w:val="00297220"/>
    <w:rsid w:val="002A204A"/>
    <w:rsid w:val="002B10C0"/>
    <w:rsid w:val="002B1AAA"/>
    <w:rsid w:val="002B1D51"/>
    <w:rsid w:val="002B272A"/>
    <w:rsid w:val="002C38B4"/>
    <w:rsid w:val="002D50A1"/>
    <w:rsid w:val="002F1362"/>
    <w:rsid w:val="00310B5F"/>
    <w:rsid w:val="00312751"/>
    <w:rsid w:val="00313A26"/>
    <w:rsid w:val="00323F0C"/>
    <w:rsid w:val="00335947"/>
    <w:rsid w:val="003518F4"/>
    <w:rsid w:val="00352E42"/>
    <w:rsid w:val="003618CE"/>
    <w:rsid w:val="00371D99"/>
    <w:rsid w:val="00373260"/>
    <w:rsid w:val="003B1937"/>
    <w:rsid w:val="003B4C94"/>
    <w:rsid w:val="003B6574"/>
    <w:rsid w:val="003C79FD"/>
    <w:rsid w:val="003D316E"/>
    <w:rsid w:val="003D568F"/>
    <w:rsid w:val="003E6D07"/>
    <w:rsid w:val="003E780F"/>
    <w:rsid w:val="0040046B"/>
    <w:rsid w:val="00401F64"/>
    <w:rsid w:val="00410B10"/>
    <w:rsid w:val="0041138F"/>
    <w:rsid w:val="00412966"/>
    <w:rsid w:val="00422ED8"/>
    <w:rsid w:val="004258D9"/>
    <w:rsid w:val="00431EE9"/>
    <w:rsid w:val="00453167"/>
    <w:rsid w:val="00464EE4"/>
    <w:rsid w:val="0047027B"/>
    <w:rsid w:val="00476CC5"/>
    <w:rsid w:val="00493947"/>
    <w:rsid w:val="004A1B28"/>
    <w:rsid w:val="004A7E13"/>
    <w:rsid w:val="004D1F87"/>
    <w:rsid w:val="004D3B4A"/>
    <w:rsid w:val="00506BF2"/>
    <w:rsid w:val="00513C5D"/>
    <w:rsid w:val="005359F9"/>
    <w:rsid w:val="00553D72"/>
    <w:rsid w:val="00556D82"/>
    <w:rsid w:val="00557379"/>
    <w:rsid w:val="00571B7B"/>
    <w:rsid w:val="00571D46"/>
    <w:rsid w:val="00573CBD"/>
    <w:rsid w:val="00590F58"/>
    <w:rsid w:val="00596FAF"/>
    <w:rsid w:val="00597369"/>
    <w:rsid w:val="005A0180"/>
    <w:rsid w:val="005B39CA"/>
    <w:rsid w:val="005C09E7"/>
    <w:rsid w:val="005C4172"/>
    <w:rsid w:val="005C61E2"/>
    <w:rsid w:val="005C682E"/>
    <w:rsid w:val="005D2835"/>
    <w:rsid w:val="005D5166"/>
    <w:rsid w:val="005E3CF0"/>
    <w:rsid w:val="005F4FF5"/>
    <w:rsid w:val="0061326B"/>
    <w:rsid w:val="00620B43"/>
    <w:rsid w:val="00620EC5"/>
    <w:rsid w:val="0062549D"/>
    <w:rsid w:val="00626AB6"/>
    <w:rsid w:val="00631267"/>
    <w:rsid w:val="006354CD"/>
    <w:rsid w:val="006504D4"/>
    <w:rsid w:val="00651AA4"/>
    <w:rsid w:val="00661053"/>
    <w:rsid w:val="00667AB7"/>
    <w:rsid w:val="00671FBA"/>
    <w:rsid w:val="006754DD"/>
    <w:rsid w:val="0067715C"/>
    <w:rsid w:val="006842FE"/>
    <w:rsid w:val="0068722C"/>
    <w:rsid w:val="00695BFD"/>
    <w:rsid w:val="006A2F1E"/>
    <w:rsid w:val="006B45CE"/>
    <w:rsid w:val="006C17EA"/>
    <w:rsid w:val="006C776A"/>
    <w:rsid w:val="006D0157"/>
    <w:rsid w:val="006D4126"/>
    <w:rsid w:val="006D43CB"/>
    <w:rsid w:val="006D5F6F"/>
    <w:rsid w:val="006F48CF"/>
    <w:rsid w:val="006F4AE8"/>
    <w:rsid w:val="00700B89"/>
    <w:rsid w:val="007013C7"/>
    <w:rsid w:val="0070209D"/>
    <w:rsid w:val="00712199"/>
    <w:rsid w:val="007234C6"/>
    <w:rsid w:val="00735DEB"/>
    <w:rsid w:val="00735F0E"/>
    <w:rsid w:val="007402F5"/>
    <w:rsid w:val="00743BE3"/>
    <w:rsid w:val="00755357"/>
    <w:rsid w:val="007750BF"/>
    <w:rsid w:val="00777CF0"/>
    <w:rsid w:val="00797591"/>
    <w:rsid w:val="007A1818"/>
    <w:rsid w:val="007C024B"/>
    <w:rsid w:val="007D094E"/>
    <w:rsid w:val="007E16BB"/>
    <w:rsid w:val="007E38B2"/>
    <w:rsid w:val="007F6E92"/>
    <w:rsid w:val="008025F1"/>
    <w:rsid w:val="0081337D"/>
    <w:rsid w:val="008153D5"/>
    <w:rsid w:val="00816BA0"/>
    <w:rsid w:val="00821EDA"/>
    <w:rsid w:val="008303FC"/>
    <w:rsid w:val="008309D3"/>
    <w:rsid w:val="008366EE"/>
    <w:rsid w:val="00852A08"/>
    <w:rsid w:val="0087416D"/>
    <w:rsid w:val="008857F3"/>
    <w:rsid w:val="00895647"/>
    <w:rsid w:val="008A1785"/>
    <w:rsid w:val="008A4264"/>
    <w:rsid w:val="008B0C8C"/>
    <w:rsid w:val="008B262B"/>
    <w:rsid w:val="008C1D3B"/>
    <w:rsid w:val="008C63A3"/>
    <w:rsid w:val="008E0969"/>
    <w:rsid w:val="008E2FF0"/>
    <w:rsid w:val="008F2413"/>
    <w:rsid w:val="00906861"/>
    <w:rsid w:val="00920744"/>
    <w:rsid w:val="00921EFC"/>
    <w:rsid w:val="00923C4A"/>
    <w:rsid w:val="009424BD"/>
    <w:rsid w:val="00942D16"/>
    <w:rsid w:val="00943543"/>
    <w:rsid w:val="0098079C"/>
    <w:rsid w:val="0099288B"/>
    <w:rsid w:val="009A7A4E"/>
    <w:rsid w:val="009C0D81"/>
    <w:rsid w:val="009D5A29"/>
    <w:rsid w:val="009E2EA7"/>
    <w:rsid w:val="009E4310"/>
    <w:rsid w:val="009E5995"/>
    <w:rsid w:val="009F1314"/>
    <w:rsid w:val="00A01970"/>
    <w:rsid w:val="00A11379"/>
    <w:rsid w:val="00A15199"/>
    <w:rsid w:val="00A213A6"/>
    <w:rsid w:val="00A317FA"/>
    <w:rsid w:val="00A36175"/>
    <w:rsid w:val="00A37804"/>
    <w:rsid w:val="00A41756"/>
    <w:rsid w:val="00A434E5"/>
    <w:rsid w:val="00A6419A"/>
    <w:rsid w:val="00A84644"/>
    <w:rsid w:val="00A859DD"/>
    <w:rsid w:val="00A87B9E"/>
    <w:rsid w:val="00AA141D"/>
    <w:rsid w:val="00AA1DF6"/>
    <w:rsid w:val="00AA29BA"/>
    <w:rsid w:val="00AC6182"/>
    <w:rsid w:val="00AE0A07"/>
    <w:rsid w:val="00AF679E"/>
    <w:rsid w:val="00AF6CBC"/>
    <w:rsid w:val="00B03C3F"/>
    <w:rsid w:val="00B05D30"/>
    <w:rsid w:val="00B13CF1"/>
    <w:rsid w:val="00B17E55"/>
    <w:rsid w:val="00B22503"/>
    <w:rsid w:val="00B22C3F"/>
    <w:rsid w:val="00B3338B"/>
    <w:rsid w:val="00B3792A"/>
    <w:rsid w:val="00B701B0"/>
    <w:rsid w:val="00B7072A"/>
    <w:rsid w:val="00B83B83"/>
    <w:rsid w:val="00B876F3"/>
    <w:rsid w:val="00B925FB"/>
    <w:rsid w:val="00B94464"/>
    <w:rsid w:val="00B952CF"/>
    <w:rsid w:val="00BA10CE"/>
    <w:rsid w:val="00BB2C6B"/>
    <w:rsid w:val="00BB5BE6"/>
    <w:rsid w:val="00BD73A5"/>
    <w:rsid w:val="00BE1443"/>
    <w:rsid w:val="00BE1872"/>
    <w:rsid w:val="00BF0E2C"/>
    <w:rsid w:val="00BF2ECD"/>
    <w:rsid w:val="00C127A1"/>
    <w:rsid w:val="00C24B0C"/>
    <w:rsid w:val="00C30043"/>
    <w:rsid w:val="00C32543"/>
    <w:rsid w:val="00C33D9B"/>
    <w:rsid w:val="00C350AC"/>
    <w:rsid w:val="00C5311C"/>
    <w:rsid w:val="00C55DD3"/>
    <w:rsid w:val="00C578DC"/>
    <w:rsid w:val="00C62566"/>
    <w:rsid w:val="00C95541"/>
    <w:rsid w:val="00CD0630"/>
    <w:rsid w:val="00CD1019"/>
    <w:rsid w:val="00CE14BC"/>
    <w:rsid w:val="00CE40EB"/>
    <w:rsid w:val="00CE4AF8"/>
    <w:rsid w:val="00CF0C42"/>
    <w:rsid w:val="00CF7440"/>
    <w:rsid w:val="00D05AB9"/>
    <w:rsid w:val="00D14999"/>
    <w:rsid w:val="00D22E8F"/>
    <w:rsid w:val="00D32D6F"/>
    <w:rsid w:val="00D369AC"/>
    <w:rsid w:val="00D467FA"/>
    <w:rsid w:val="00D55B04"/>
    <w:rsid w:val="00D65F63"/>
    <w:rsid w:val="00D6714D"/>
    <w:rsid w:val="00D86053"/>
    <w:rsid w:val="00DD5D73"/>
    <w:rsid w:val="00DF01A6"/>
    <w:rsid w:val="00DF1DBC"/>
    <w:rsid w:val="00E07AE5"/>
    <w:rsid w:val="00E11AE1"/>
    <w:rsid w:val="00E12D0A"/>
    <w:rsid w:val="00E26D37"/>
    <w:rsid w:val="00E3611A"/>
    <w:rsid w:val="00E472A4"/>
    <w:rsid w:val="00E5613E"/>
    <w:rsid w:val="00E64695"/>
    <w:rsid w:val="00E75646"/>
    <w:rsid w:val="00E77DAE"/>
    <w:rsid w:val="00E849A6"/>
    <w:rsid w:val="00E85DCB"/>
    <w:rsid w:val="00E91ED4"/>
    <w:rsid w:val="00EB1BF6"/>
    <w:rsid w:val="00EB6E87"/>
    <w:rsid w:val="00EE76FD"/>
    <w:rsid w:val="00EF1CA7"/>
    <w:rsid w:val="00EF2680"/>
    <w:rsid w:val="00F034B1"/>
    <w:rsid w:val="00F12638"/>
    <w:rsid w:val="00F14B37"/>
    <w:rsid w:val="00F16BA6"/>
    <w:rsid w:val="00F24536"/>
    <w:rsid w:val="00F25E23"/>
    <w:rsid w:val="00F37ED3"/>
    <w:rsid w:val="00F40CC9"/>
    <w:rsid w:val="00F64510"/>
    <w:rsid w:val="00F976C4"/>
    <w:rsid w:val="00FA7101"/>
    <w:rsid w:val="00FB1090"/>
    <w:rsid w:val="00FB5BD8"/>
    <w:rsid w:val="00FB66C9"/>
    <w:rsid w:val="00FF73E7"/>
    <w:rsid w:val="03EB2CFA"/>
    <w:rsid w:val="05957D83"/>
    <w:rsid w:val="06F70CDF"/>
    <w:rsid w:val="0BD37987"/>
    <w:rsid w:val="0D4A48FD"/>
    <w:rsid w:val="0E1D53EF"/>
    <w:rsid w:val="0F684B57"/>
    <w:rsid w:val="1057106E"/>
    <w:rsid w:val="106E29B8"/>
    <w:rsid w:val="117D1D4B"/>
    <w:rsid w:val="11ED013B"/>
    <w:rsid w:val="15E75F42"/>
    <w:rsid w:val="162D636F"/>
    <w:rsid w:val="175D50F9"/>
    <w:rsid w:val="1A7A3C00"/>
    <w:rsid w:val="1B4A1D1E"/>
    <w:rsid w:val="1FA522C9"/>
    <w:rsid w:val="20711CD8"/>
    <w:rsid w:val="240F5B5F"/>
    <w:rsid w:val="249E0AA2"/>
    <w:rsid w:val="2590132F"/>
    <w:rsid w:val="25E863C9"/>
    <w:rsid w:val="28C152E3"/>
    <w:rsid w:val="28CC03F4"/>
    <w:rsid w:val="2A157B78"/>
    <w:rsid w:val="2B276CEE"/>
    <w:rsid w:val="2C781282"/>
    <w:rsid w:val="2EFA5C41"/>
    <w:rsid w:val="2FE463EC"/>
    <w:rsid w:val="31A1021A"/>
    <w:rsid w:val="31B252B1"/>
    <w:rsid w:val="31BE2252"/>
    <w:rsid w:val="353B17D2"/>
    <w:rsid w:val="37F0752F"/>
    <w:rsid w:val="39C52500"/>
    <w:rsid w:val="3C73403C"/>
    <w:rsid w:val="3EA36BF5"/>
    <w:rsid w:val="3EF5367D"/>
    <w:rsid w:val="428C0DFC"/>
    <w:rsid w:val="43162B45"/>
    <w:rsid w:val="4A04467A"/>
    <w:rsid w:val="4ADF17E2"/>
    <w:rsid w:val="4C31118F"/>
    <w:rsid w:val="4C4332C5"/>
    <w:rsid w:val="4E953FA2"/>
    <w:rsid w:val="4F773D5F"/>
    <w:rsid w:val="51611D91"/>
    <w:rsid w:val="573434A1"/>
    <w:rsid w:val="5A1B46D2"/>
    <w:rsid w:val="5C35439C"/>
    <w:rsid w:val="5F5FEBCD"/>
    <w:rsid w:val="6071095D"/>
    <w:rsid w:val="64526F75"/>
    <w:rsid w:val="64D50AFB"/>
    <w:rsid w:val="67D84737"/>
    <w:rsid w:val="683776B8"/>
    <w:rsid w:val="6883289A"/>
    <w:rsid w:val="68B0214B"/>
    <w:rsid w:val="694C2FB7"/>
    <w:rsid w:val="695533C3"/>
    <w:rsid w:val="69FFF051"/>
    <w:rsid w:val="6B166CD1"/>
    <w:rsid w:val="6BDA6B6B"/>
    <w:rsid w:val="71C70D25"/>
    <w:rsid w:val="73430E75"/>
    <w:rsid w:val="74754417"/>
    <w:rsid w:val="75B17106"/>
    <w:rsid w:val="786762CD"/>
    <w:rsid w:val="795266C3"/>
    <w:rsid w:val="7AAA62CC"/>
    <w:rsid w:val="7E6D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unhideWhenUsed/>
    <w:qFormat/>
    <w:uiPriority w:val="39"/>
    <w:pPr>
      <w:ind w:left="420" w:leftChars="200"/>
    </w:pPr>
  </w:style>
  <w:style w:type="paragraph" w:styleId="7">
    <w:name w:val="annotation subject"/>
    <w:basedOn w:val="2"/>
    <w:next w:val="2"/>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Char"/>
    <w:basedOn w:val="9"/>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rFonts w:ascii="Calibri" w:hAnsi="Calibri" w:eastAsia="宋体" w:cs="Times New Roman"/>
      <w:sz w:val="18"/>
      <w:szCs w:val="18"/>
    </w:rPr>
  </w:style>
  <w:style w:type="character" w:customStyle="1" w:styleId="14">
    <w:name w:val="批注框文本 Char"/>
    <w:basedOn w:val="9"/>
    <w:link w:val="3"/>
    <w:semiHidden/>
    <w:qFormat/>
    <w:uiPriority w:val="99"/>
    <w:rPr>
      <w:rFonts w:ascii="Calibri" w:hAnsi="Calibri" w:eastAsia="宋体" w:cs="Times New Roman"/>
      <w:sz w:val="18"/>
      <w:szCs w:val="18"/>
    </w:rPr>
  </w:style>
  <w:style w:type="paragraph" w:customStyle="1" w:styleId="1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6">
    <w:name w:val="修订1"/>
    <w:hidden/>
    <w:semiHidden/>
    <w:qFormat/>
    <w:uiPriority w:val="99"/>
    <w:rPr>
      <w:rFonts w:ascii="Calibri" w:hAnsi="Calibri" w:eastAsia="宋体" w:cs="Times New Roman"/>
      <w:kern w:val="2"/>
      <w:sz w:val="21"/>
      <w:szCs w:val="22"/>
      <w:lang w:val="en-US" w:eastAsia="zh-CN" w:bidi="ar-SA"/>
    </w:rPr>
  </w:style>
  <w:style w:type="character" w:customStyle="1" w:styleId="17">
    <w:name w:val="批注文字 Char"/>
    <w:basedOn w:val="9"/>
    <w:link w:val="2"/>
    <w:qFormat/>
    <w:uiPriority w:val="99"/>
    <w:rPr>
      <w:rFonts w:ascii="Calibri" w:hAnsi="Calibri" w:eastAsia="宋体" w:cs="Times New Roman"/>
      <w:kern w:val="2"/>
      <w:sz w:val="21"/>
      <w:szCs w:val="22"/>
    </w:rPr>
  </w:style>
  <w:style w:type="character" w:customStyle="1" w:styleId="18">
    <w:name w:val="批注主题 Char"/>
    <w:basedOn w:val="17"/>
    <w:link w:val="7"/>
    <w:qFormat/>
    <w:uiPriority w:val="0"/>
    <w:rPr>
      <w:rFonts w:ascii="Calibri" w:hAnsi="Calibri" w:eastAsia="宋体" w:cs="Times New Roman"/>
      <w:kern w:val="2"/>
      <w:sz w:val="21"/>
      <w:szCs w:val="22"/>
    </w:rPr>
  </w:style>
  <w:style w:type="paragraph" w:customStyle="1" w:styleId="1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704</Words>
  <Characters>4017</Characters>
  <Lines>33</Lines>
  <Paragraphs>9</Paragraphs>
  <TotalTime>6</TotalTime>
  <ScaleCrop>false</ScaleCrop>
  <LinksUpToDate>false</LinksUpToDate>
  <CharactersWithSpaces>4712</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2025-05-09T10:14:00Z</dcterms:created>
  <dc:creator>whzhou</dc:creator>
  <cp:lastModifiedBy>wentinglou</cp:lastModifiedBy>
  <cp:lastPrinted>2022-09-26T18:35:00Z</cp:lastPrinted>
  <dcterms:modified xsi:type="dcterms:W3CDTF">2025-08-25T15:41:57Z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ED46317F167C401C91B75CDF8A0FEC0D_13</vt:lpwstr>
  </property>
</Properties>
</file>