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CD73"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8" w:name="_GoBack"/>
      <w:bookmarkEnd w:id="8"/>
      <w:bookmarkStart w:id="0" w:name="_Toc357500303"/>
      <w:bookmarkStart w:id="1" w:name="_Toc359483097"/>
      <w:r>
        <w:rPr>
          <w:rFonts w:hint="eastAsia" w:ascii="黑体" w:hAnsi="黑体" w:eastAsia="黑体"/>
          <w:b/>
          <w:bCs/>
          <w:sz w:val="36"/>
          <w:szCs w:val="36"/>
        </w:rPr>
        <w:t>第十二号 上市公司换股实施结果、股份变动暨</w:t>
      </w:r>
    </w:p>
    <w:p w14:paraId="27669063"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新增股份上市（合并方）公告</w:t>
      </w:r>
      <w:bookmarkEnd w:id="0"/>
      <w:bookmarkEnd w:id="1"/>
    </w:p>
    <w:p w14:paraId="2CE68BE9"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18"/>
        </w:rPr>
      </w:pPr>
    </w:p>
    <w:p w14:paraId="111A6A9F">
      <w:pPr>
        <w:adjustRightInd w:val="0"/>
        <w:snapToGrid w:val="0"/>
        <w:spacing w:line="560" w:lineRule="exact"/>
        <w:jc w:val="left"/>
        <w:rPr>
          <w:rFonts w:ascii="仿宋" w:hAnsi="仿宋" w:eastAsia="仿宋_GB2312" w:cstheme="minorBidi"/>
          <w:b/>
          <w:bCs/>
          <w:sz w:val="30"/>
          <w:szCs w:val="30"/>
        </w:rPr>
      </w:pPr>
      <w:r>
        <w:rPr>
          <w:rFonts w:hint="eastAsia" w:ascii="仿宋" w:hAnsi="仿宋" w:eastAsia="仿宋_GB2312" w:cstheme="minorBidi"/>
          <w:b/>
          <w:bCs/>
          <w:sz w:val="30"/>
          <w:szCs w:val="30"/>
        </w:rPr>
        <w:t>适用情形：</w:t>
      </w:r>
    </w:p>
    <w:p w14:paraId="62AD231D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_GB2312" w:cstheme="minorBidi"/>
          <w:sz w:val="30"/>
          <w:szCs w:val="30"/>
        </w:rPr>
      </w:pPr>
      <w:r>
        <w:rPr>
          <w:rFonts w:hint="eastAsia" w:ascii="仿宋" w:hAnsi="仿宋" w:eastAsia="仿宋_GB2312" w:cstheme="minorBidi"/>
          <w:sz w:val="30"/>
          <w:szCs w:val="30"/>
        </w:rPr>
        <w:t>本公告格式适用于合并方为上市公司的换股吸收合并；非上市公司吸收合并上市公司，不适用本公告格式。</w:t>
      </w:r>
    </w:p>
    <w:p w14:paraId="16AB65B6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 w14:paraId="6791B737">
      <w:pPr>
        <w:adjustRightInd w:val="0"/>
        <w:snapToGrid w:val="0"/>
        <w:spacing w:line="560" w:lineRule="exact"/>
        <w:jc w:val="left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证券代码：</w:t>
      </w:r>
      <w:r>
        <w:rPr>
          <w:rFonts w:ascii="仿宋" w:hAnsi="仿宋" w:eastAsia="仿宋_GB2312"/>
          <w:sz w:val="30"/>
          <w:szCs w:val="30"/>
        </w:rPr>
        <w:t xml:space="preserve">             </w:t>
      </w:r>
      <w:r>
        <w:rPr>
          <w:rFonts w:hint="eastAsia" w:ascii="仿宋" w:hAnsi="仿宋" w:eastAsia="仿宋_GB2312"/>
          <w:sz w:val="30"/>
          <w:szCs w:val="30"/>
        </w:rPr>
        <w:t>证券简称：</w:t>
      </w:r>
      <w:r>
        <w:rPr>
          <w:rFonts w:ascii="仿宋" w:hAnsi="仿宋" w:eastAsia="仿宋_GB2312"/>
          <w:sz w:val="30"/>
          <w:szCs w:val="30"/>
        </w:rPr>
        <w:t xml:space="preserve">            </w:t>
      </w:r>
      <w:r>
        <w:rPr>
          <w:rFonts w:hint="eastAsia" w:ascii="仿宋" w:hAnsi="仿宋" w:eastAsia="仿宋_GB2312"/>
          <w:sz w:val="30"/>
          <w:szCs w:val="30"/>
        </w:rPr>
        <w:t>公告编号：</w:t>
      </w:r>
    </w:p>
    <w:p w14:paraId="78DD1147">
      <w:pPr>
        <w:autoSpaceDE w:val="0"/>
        <w:autoSpaceDN w:val="0"/>
        <w:adjustRightInd w:val="0"/>
        <w:snapToGrid w:val="0"/>
        <w:spacing w:line="560" w:lineRule="exact"/>
        <w:ind w:firstLine="200"/>
        <w:jc w:val="center"/>
        <w:rPr>
          <w:rFonts w:ascii="宋体" w:hAnsi="宋体"/>
          <w:color w:val="000000"/>
          <w:sz w:val="24"/>
        </w:rPr>
      </w:pPr>
    </w:p>
    <w:p w14:paraId="549F749B">
      <w:pPr>
        <w:adjustRightInd w:val="0"/>
        <w:snapToGrid w:val="0"/>
        <w:spacing w:line="560" w:lineRule="exact"/>
        <w:jc w:val="center"/>
        <w:rPr>
          <w:rFonts w:ascii="仿宋" w:hAnsi="仿宋" w:eastAsia="仿宋_GB2312" w:cstheme="minorBidi"/>
          <w:sz w:val="30"/>
          <w:szCs w:val="30"/>
        </w:rPr>
      </w:pPr>
      <w:r>
        <w:rPr>
          <w:rFonts w:ascii="仿宋" w:hAnsi="仿宋" w:eastAsia="仿宋_GB2312" w:cstheme="minorBidi"/>
          <w:sz w:val="30"/>
          <w:szCs w:val="30"/>
        </w:rPr>
        <w:t>XXXX</w:t>
      </w:r>
      <w:r>
        <w:rPr>
          <w:rFonts w:hint="eastAsia" w:ascii="仿宋" w:hAnsi="仿宋" w:eastAsia="仿宋_GB2312" w:cstheme="minorBidi"/>
          <w:sz w:val="30"/>
          <w:szCs w:val="30"/>
        </w:rPr>
        <w:t>股份有限公司换股实施结果、股份变动暨新增股份上市</w:t>
      </w:r>
    </w:p>
    <w:p w14:paraId="37C02230">
      <w:pPr>
        <w:adjustRightInd w:val="0"/>
        <w:snapToGrid w:val="0"/>
        <w:spacing w:line="560" w:lineRule="exact"/>
        <w:jc w:val="center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 w:cstheme="minorBidi"/>
          <w:sz w:val="30"/>
          <w:szCs w:val="30"/>
        </w:rPr>
        <w:t>（合</w:t>
      </w:r>
      <w:r>
        <w:rPr>
          <w:rFonts w:hint="eastAsia" w:ascii="仿宋" w:hAnsi="仿宋" w:eastAsia="仿宋_GB2312"/>
          <w:sz w:val="30"/>
          <w:szCs w:val="30"/>
        </w:rPr>
        <w:t>并方）公告</w:t>
      </w:r>
    </w:p>
    <w:p w14:paraId="5B571369">
      <w:pPr>
        <w:adjustRightInd w:val="0"/>
        <w:snapToGrid w:val="0"/>
        <w:spacing w:line="560" w:lineRule="exact"/>
        <w:jc w:val="center"/>
        <w:rPr>
          <w:rFonts w:ascii="仿宋" w:hAnsi="仿宋" w:eastAsia="仿宋_GB2312"/>
          <w:sz w:val="30"/>
          <w:szCs w:val="30"/>
        </w:rPr>
      </w:pPr>
    </w:p>
    <w:p w14:paraId="5BC8B6B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 w:cstheme="minorBidi"/>
          <w:sz w:val="30"/>
          <w:szCs w:val="30"/>
        </w:rPr>
      </w:pPr>
      <w:r>
        <w:rPr>
          <w:rFonts w:hint="eastAsia" w:ascii="仿宋" w:hAnsi="仿宋" w:eastAsia="仿宋_GB2312" w:cstheme="minorBidi"/>
          <w:sz w:val="30"/>
          <w:szCs w:val="30"/>
        </w:rPr>
        <w:t>本公司董事会及全体董事保证本公告内容不存在任何虚假记载、误导性陈述或者重大遗漏，并对其内容的真实性、准确性和完整性承担法律责任。</w:t>
      </w:r>
    </w:p>
    <w:p w14:paraId="3E318C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 w:cstheme="minorBidi"/>
          <w:sz w:val="30"/>
          <w:szCs w:val="30"/>
        </w:rPr>
      </w:pPr>
      <w:r>
        <w:rPr>
          <w:rFonts w:hint="eastAsia" w:ascii="仿宋" w:hAnsi="仿宋" w:eastAsia="仿宋_GB2312" w:cstheme="minorBidi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0BECE223">
      <w:pPr>
        <w:adjustRightInd w:val="0"/>
        <w:snapToGrid w:val="0"/>
        <w:spacing w:line="560" w:lineRule="exact"/>
        <w:ind w:firstLine="480" w:firstLineChars="200"/>
        <w:rPr>
          <w:rFonts w:ascii="宋体" w:hAnsi="宋体" w:cs="Arial Unicode MS"/>
          <w:sz w:val="24"/>
        </w:rPr>
      </w:pPr>
    </w:p>
    <w:p w14:paraId="5A46CC46">
      <w:pPr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_GB2312" w:cstheme="minorBidi"/>
          <w:b/>
          <w:bCs/>
          <w:sz w:val="30"/>
          <w:szCs w:val="30"/>
        </w:rPr>
      </w:pPr>
      <w:r>
        <w:rPr>
          <w:rFonts w:hint="eastAsia" w:ascii="仿宋" w:hAnsi="仿宋" w:eastAsia="仿宋_GB2312" w:cstheme="minorBidi"/>
          <w:b/>
          <w:bCs/>
          <w:sz w:val="30"/>
          <w:szCs w:val="30"/>
        </w:rPr>
        <w:t>重要内容提示：</w:t>
      </w:r>
    </w:p>
    <w:p w14:paraId="26957D3B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本次新增股份共计XXX</w:t>
      </w:r>
      <w:r>
        <w:rPr>
          <w:rFonts w:ascii="仿宋_GB2312" w:hAnsi="仿宋" w:eastAsia="仿宋_GB2312" w:cstheme="minorBidi"/>
          <w:sz w:val="30"/>
          <w:szCs w:val="30"/>
        </w:rPr>
        <w:t>X</w:t>
      </w:r>
      <w:r>
        <w:rPr>
          <w:rFonts w:hint="eastAsia" w:ascii="仿宋_GB2312" w:hAnsi="仿宋" w:eastAsia="仿宋_GB2312" w:cstheme="minorBidi"/>
          <w:sz w:val="30"/>
          <w:szCs w:val="30"/>
        </w:rPr>
        <w:t>股。其中，无限售流通股XXXX股，限售流通股XXX</w:t>
      </w:r>
      <w:r>
        <w:rPr>
          <w:rFonts w:ascii="仿宋_GB2312" w:hAnsi="仿宋" w:eastAsia="仿宋_GB2312" w:cstheme="minorBidi"/>
          <w:sz w:val="30"/>
          <w:szCs w:val="30"/>
        </w:rPr>
        <w:t>X</w:t>
      </w:r>
      <w:r>
        <w:rPr>
          <w:rFonts w:hint="eastAsia" w:ascii="仿宋_GB2312" w:hAnsi="仿宋" w:eastAsia="仿宋_GB2312" w:cstheme="minorBidi"/>
          <w:sz w:val="30"/>
          <w:szCs w:val="30"/>
        </w:rPr>
        <w:t>股。</w:t>
      </w:r>
    </w:p>
    <w:p w14:paraId="448842A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本次新增无限售流通股上市流通日期为 XXXX年 XX月 XX日，限售流通股上市流通日期为XXXX年 XX月 XX日。</w:t>
      </w:r>
    </w:p>
    <w:p w14:paraId="0C70046B"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bCs/>
          <w:color w:val="000000"/>
          <w:sz w:val="28"/>
          <w:szCs w:val="28"/>
        </w:rPr>
      </w:pPr>
    </w:p>
    <w:p w14:paraId="428EEB1A"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一、简要介绍本次换股吸收合并的批准情况，以及完成后公司总股本的变化情况</w:t>
      </w:r>
    </w:p>
    <w:p w14:paraId="6AC41D2F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XXXX股份有限公司换股吸收合并XXXX股份有限公司的申请已获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中国证券监督管理委员会同意注册的决定，注册文号</w:t>
      </w:r>
      <w:r>
        <w:rPr>
          <w:rFonts w:hint="eastAsia" w:ascii="仿宋_GB2312" w:hAnsi="仿宋" w:eastAsia="仿宋_GB2312" w:cstheme="minorBidi"/>
          <w:sz w:val="30"/>
          <w:szCs w:val="30"/>
        </w:rPr>
        <w:t>XXX，并于XXXX年XX月 XX日完成换股。本次换股吸收合并后，公司总股本增加 XXXX股，变更为XXXX股。</w:t>
      </w:r>
    </w:p>
    <w:p w14:paraId="220FBDF1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用表格形式列示本次换股吸收合并前后公司股本结构变化情况，如：</w:t>
      </w:r>
    </w:p>
    <w:tbl>
      <w:tblPr>
        <w:tblStyle w:val="8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48"/>
        <w:gridCol w:w="1852"/>
        <w:gridCol w:w="1492"/>
        <w:gridCol w:w="1604"/>
      </w:tblGrid>
      <w:tr w14:paraId="3C1B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 w14:paraId="4B479E7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8FA809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变动前（股）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63795D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新增股份（股）</w:t>
            </w:r>
          </w:p>
        </w:tc>
        <w:tc>
          <w:tcPr>
            <w:tcW w:w="1492" w:type="dxa"/>
            <w:vAlign w:val="center"/>
          </w:tcPr>
          <w:p w14:paraId="5C66D59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变动后（股）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306C650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所占比例（%）</w:t>
            </w:r>
          </w:p>
        </w:tc>
      </w:tr>
      <w:tr w14:paraId="1403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 w14:paraId="7306BF2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有限售条件的流通股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08C43E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2FE15B2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4643D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69EF7C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F02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 w14:paraId="14D2F98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无限售条件的流通股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C4AF09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3A45A82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2D8A5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7177033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C0C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 w14:paraId="31EE81E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合计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21E57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7F434AA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31B4955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719805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4AAA8705">
      <w:pPr>
        <w:adjustRightInd w:val="0"/>
        <w:snapToGrid w:val="0"/>
        <w:spacing w:line="560" w:lineRule="exact"/>
        <w:ind w:firstLine="480" w:firstLineChars="200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(编制提醒:若公司发行除A股外其他类别的股票（如H股），则需分股票类别列示有限售和无限售股份的变化情况。)</w:t>
      </w:r>
    </w:p>
    <w:p w14:paraId="66DBF119">
      <w:pPr>
        <w:adjustRightInd w:val="0"/>
        <w:snapToGrid w:val="0"/>
        <w:spacing w:line="560" w:lineRule="exact"/>
        <w:ind w:firstLine="480" w:firstLineChars="200"/>
        <w:rPr>
          <w:rFonts w:ascii="楷体" w:hAnsi="楷体" w:eastAsia="楷体"/>
          <w:color w:val="000000"/>
          <w:sz w:val="24"/>
        </w:rPr>
      </w:pPr>
    </w:p>
    <w:p w14:paraId="07982EF5"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二、介绍新增股份的限售情况，包括新增股份的预计上市流通日期、</w:t>
      </w:r>
      <w:bookmarkStart w:id="2" w:name="OLE_LINK1"/>
      <w:r>
        <w:rPr>
          <w:rFonts w:hint="eastAsia" w:ascii="黑体" w:hAnsi="黑体" w:eastAsia="黑体"/>
          <w:bCs/>
          <w:color w:val="000000"/>
          <w:sz w:val="30"/>
          <w:szCs w:val="30"/>
        </w:rPr>
        <w:t>限售流通股解除限售的条件</w:t>
      </w:r>
      <w:bookmarkEnd w:id="2"/>
      <w:r>
        <w:rPr>
          <w:rFonts w:hint="eastAsia" w:ascii="黑体" w:hAnsi="黑体" w:eastAsia="黑体"/>
          <w:bCs/>
          <w:color w:val="000000"/>
          <w:sz w:val="30"/>
          <w:szCs w:val="30"/>
        </w:rPr>
        <w:t>等</w:t>
      </w:r>
    </w:p>
    <w:p w14:paraId="6198D04F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本次新增股份</w:t>
      </w:r>
      <w:r>
        <w:rPr>
          <w:rFonts w:ascii="仿宋_GB2312" w:hAnsi="仿宋" w:eastAsia="仿宋_GB2312" w:cstheme="minorBidi"/>
          <w:sz w:val="30"/>
          <w:szCs w:val="30"/>
        </w:rPr>
        <w:t>XXXX</w:t>
      </w:r>
      <w:r>
        <w:rPr>
          <w:rFonts w:hint="eastAsia" w:ascii="仿宋_GB2312" w:hAnsi="仿宋" w:eastAsia="仿宋_GB2312" w:cstheme="minorBidi"/>
          <w:sz w:val="30"/>
          <w:szCs w:val="30"/>
        </w:rPr>
        <w:t>股，其中无限售流通股</w:t>
      </w:r>
      <w:r>
        <w:rPr>
          <w:rFonts w:ascii="仿宋_GB2312" w:hAnsi="仿宋" w:eastAsia="仿宋_GB2312" w:cstheme="minorBidi"/>
          <w:sz w:val="30"/>
          <w:szCs w:val="30"/>
        </w:rPr>
        <w:t>XXXX</w:t>
      </w:r>
      <w:r>
        <w:rPr>
          <w:rFonts w:hint="eastAsia" w:ascii="仿宋_GB2312" w:hAnsi="仿宋" w:eastAsia="仿宋_GB2312" w:cstheme="minorBidi"/>
          <w:sz w:val="30"/>
          <w:szCs w:val="30"/>
        </w:rPr>
        <w:t>股，上市流通日期为</w:t>
      </w:r>
      <w:r>
        <w:rPr>
          <w:rFonts w:ascii="仿宋_GB2312" w:hAnsi="仿宋" w:eastAsia="仿宋_GB2312" w:cstheme="minorBidi"/>
          <w:sz w:val="30"/>
          <w:szCs w:val="30"/>
        </w:rPr>
        <w:t>XXXX</w:t>
      </w:r>
      <w:r>
        <w:rPr>
          <w:rFonts w:hint="eastAsia" w:ascii="仿宋_GB2312" w:hAnsi="仿宋" w:eastAsia="仿宋_GB2312" w:cstheme="minorBidi"/>
          <w:sz w:val="30"/>
          <w:szCs w:val="30"/>
        </w:rPr>
        <w:t>年</w:t>
      </w:r>
      <w:r>
        <w:rPr>
          <w:rFonts w:ascii="仿宋_GB2312" w:hAnsi="仿宋" w:eastAsia="仿宋_GB2312" w:cstheme="minorBidi"/>
          <w:sz w:val="30"/>
          <w:szCs w:val="30"/>
        </w:rPr>
        <w:t>XX</w:t>
      </w:r>
      <w:r>
        <w:rPr>
          <w:rFonts w:hint="eastAsia" w:ascii="仿宋_GB2312" w:hAnsi="仿宋" w:eastAsia="仿宋_GB2312" w:cstheme="minorBidi"/>
          <w:sz w:val="30"/>
          <w:szCs w:val="30"/>
        </w:rPr>
        <w:t>月</w:t>
      </w:r>
      <w:r>
        <w:rPr>
          <w:rFonts w:ascii="仿宋_GB2312" w:hAnsi="仿宋" w:eastAsia="仿宋_GB2312" w:cstheme="minorBidi"/>
          <w:sz w:val="30"/>
          <w:szCs w:val="30"/>
        </w:rPr>
        <w:t>XX</w:t>
      </w:r>
      <w:r>
        <w:rPr>
          <w:rFonts w:hint="eastAsia" w:ascii="仿宋_GB2312" w:hAnsi="仿宋" w:eastAsia="仿宋_GB2312" w:cstheme="minorBidi"/>
          <w:sz w:val="30"/>
          <w:szCs w:val="30"/>
        </w:rPr>
        <w:t>日，限售流通股</w:t>
      </w:r>
      <w:r>
        <w:rPr>
          <w:rFonts w:ascii="仿宋_GB2312" w:hAnsi="仿宋" w:eastAsia="仿宋_GB2312" w:cstheme="minorBidi"/>
          <w:sz w:val="30"/>
          <w:szCs w:val="30"/>
        </w:rPr>
        <w:t>XXXX</w:t>
      </w:r>
      <w:r>
        <w:rPr>
          <w:rFonts w:hint="eastAsia" w:ascii="仿宋_GB2312" w:hAnsi="仿宋" w:eastAsia="仿宋_GB2312" w:cstheme="minorBidi"/>
          <w:sz w:val="30"/>
          <w:szCs w:val="30"/>
        </w:rPr>
        <w:t>股，上市流通日期为</w:t>
      </w:r>
      <w:r>
        <w:rPr>
          <w:rFonts w:ascii="仿宋_GB2312" w:hAnsi="仿宋" w:eastAsia="仿宋_GB2312" w:cstheme="minorBidi"/>
          <w:sz w:val="30"/>
          <w:szCs w:val="30"/>
        </w:rPr>
        <w:t>XXXX</w:t>
      </w:r>
      <w:r>
        <w:rPr>
          <w:rFonts w:hint="eastAsia" w:ascii="仿宋_GB2312" w:hAnsi="仿宋" w:eastAsia="仿宋_GB2312" w:cstheme="minorBidi"/>
          <w:sz w:val="30"/>
          <w:szCs w:val="30"/>
        </w:rPr>
        <w:t>年</w:t>
      </w:r>
      <w:r>
        <w:rPr>
          <w:rFonts w:ascii="仿宋_GB2312" w:hAnsi="仿宋" w:eastAsia="仿宋_GB2312" w:cstheme="minorBidi"/>
          <w:sz w:val="30"/>
          <w:szCs w:val="30"/>
        </w:rPr>
        <w:t>XX</w:t>
      </w:r>
      <w:r>
        <w:rPr>
          <w:rFonts w:hint="eastAsia" w:ascii="仿宋_GB2312" w:hAnsi="仿宋" w:eastAsia="仿宋_GB2312" w:cstheme="minorBidi"/>
          <w:sz w:val="30"/>
          <w:szCs w:val="30"/>
        </w:rPr>
        <w:t>月</w:t>
      </w:r>
      <w:r>
        <w:rPr>
          <w:rFonts w:ascii="仿宋_GB2312" w:hAnsi="仿宋" w:eastAsia="仿宋_GB2312" w:cstheme="minorBidi"/>
          <w:sz w:val="30"/>
          <w:szCs w:val="30"/>
        </w:rPr>
        <w:t>XX</w:t>
      </w:r>
      <w:r>
        <w:rPr>
          <w:rFonts w:hint="eastAsia" w:ascii="仿宋_GB2312" w:hAnsi="仿宋" w:eastAsia="仿宋_GB2312" w:cstheme="minorBidi"/>
          <w:sz w:val="30"/>
          <w:szCs w:val="30"/>
        </w:rPr>
        <w:t>日。</w:t>
      </w:r>
    </w:p>
    <w:p w14:paraId="4D5C66E2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逐项列明限售流通股解除限售的条件。</w:t>
      </w:r>
    </w:p>
    <w:p w14:paraId="47E59255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 w:cstheme="minorBidi"/>
          <w:sz w:val="30"/>
          <w:szCs w:val="30"/>
        </w:rPr>
      </w:pPr>
    </w:p>
    <w:p w14:paraId="02EB6FE2"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三、介绍资产过户情况、注册会计师出具的专项验资报告的结论性意见和股份登记情况，独立财务顾问和律师事务所对本次换股吸收合并的结论性意见</w:t>
      </w:r>
    </w:p>
    <w:p w14:paraId="0E368FB7">
      <w:pPr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  <w:sz w:val="24"/>
        </w:rPr>
      </w:pPr>
    </w:p>
    <w:p w14:paraId="35A9420A"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四、用表格形式列示换股完成后，公司前十名股东及相关股东持股情况</w:t>
      </w:r>
    </w:p>
    <w:p w14:paraId="6F3868E9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（一）换股完成前后，公司前10名股东持股数量和持股比例变动情况。</w:t>
      </w:r>
    </w:p>
    <w:p w14:paraId="6A07451D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（二）换股前后公司相关股东持股变化（如适用）</w:t>
      </w:r>
    </w:p>
    <w:p w14:paraId="71411CF0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bCs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上市公司股本变动，可能导致公司</w:t>
      </w:r>
      <w:r>
        <w:rPr>
          <w:rFonts w:eastAsia="仿宋_GB2312"/>
          <w:color w:val="000000"/>
          <w:sz w:val="30"/>
          <w:szCs w:val="30"/>
        </w:rPr>
        <w:t>股东及其一致行动人拥有权益的股份比例</w:t>
      </w:r>
      <w:r>
        <w:rPr>
          <w:rFonts w:hint="eastAsia" w:eastAsia="仿宋_GB2312"/>
          <w:color w:val="000000"/>
          <w:sz w:val="30"/>
          <w:szCs w:val="30"/>
        </w:rPr>
        <w:t>触及</w:t>
      </w:r>
      <w:r>
        <w:rPr>
          <w:rFonts w:eastAsia="仿宋_GB2312"/>
          <w:color w:val="000000"/>
          <w:sz w:val="30"/>
          <w:szCs w:val="30"/>
        </w:rPr>
        <w:t>或者跨越5%及5%的整数倍，或者导致持股5%以上的</w:t>
      </w:r>
      <w:r>
        <w:rPr>
          <w:rFonts w:hint="eastAsia" w:eastAsia="仿宋_GB2312"/>
          <w:color w:val="000000"/>
          <w:sz w:val="30"/>
          <w:szCs w:val="30"/>
        </w:rPr>
        <w:t>股东</w:t>
      </w:r>
      <w:r>
        <w:rPr>
          <w:rFonts w:eastAsia="仿宋_GB2312"/>
          <w:color w:val="000000"/>
          <w:sz w:val="30"/>
          <w:szCs w:val="30"/>
        </w:rPr>
        <w:t>及其一致行动人拥有权益的股份比例</w:t>
      </w:r>
      <w:r>
        <w:rPr>
          <w:rFonts w:hint="eastAsia" w:eastAsia="仿宋_GB2312"/>
          <w:color w:val="000000"/>
          <w:sz w:val="30"/>
          <w:szCs w:val="30"/>
        </w:rPr>
        <w:t>触及</w:t>
      </w:r>
      <w:r>
        <w:rPr>
          <w:rFonts w:eastAsia="仿宋_GB2312"/>
          <w:color w:val="000000"/>
          <w:sz w:val="30"/>
          <w:szCs w:val="30"/>
        </w:rPr>
        <w:t>1%的整数倍</w:t>
      </w:r>
      <w:r>
        <w:rPr>
          <w:rFonts w:hint="eastAsia" w:eastAsia="仿宋_GB2312"/>
          <w:color w:val="000000"/>
          <w:sz w:val="30"/>
          <w:szCs w:val="30"/>
        </w:rPr>
        <w:t>。存在前述情况，公司应当</w:t>
      </w:r>
      <w:r>
        <w:rPr>
          <w:rFonts w:hint="eastAsia" w:ascii="仿宋" w:hAnsi="仿宋" w:eastAsia="仿宋_GB2312"/>
          <w:bCs/>
          <w:sz w:val="30"/>
          <w:szCs w:val="30"/>
        </w:rPr>
        <w:t>披露发行完成前后，上述股东及其一致行动人</w:t>
      </w:r>
      <w:r>
        <w:rPr>
          <w:rFonts w:hint="eastAsia" w:ascii="仿宋" w:hAnsi="仿宋" w:eastAsia="仿宋_GB2312"/>
          <w:sz w:val="30"/>
          <w:szCs w:val="30"/>
        </w:rPr>
        <w:t>持股数量和持股比例变动</w:t>
      </w:r>
      <w:r>
        <w:rPr>
          <w:rFonts w:hint="eastAsia" w:ascii="仿宋" w:hAnsi="仿宋" w:eastAsia="仿宋_GB2312"/>
          <w:bCs/>
          <w:sz w:val="30"/>
          <w:szCs w:val="30"/>
        </w:rPr>
        <w:t>情况。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1418"/>
        <w:gridCol w:w="1417"/>
        <w:gridCol w:w="1248"/>
        <w:gridCol w:w="1438"/>
      </w:tblGrid>
      <w:tr w14:paraId="5305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DA75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bookmarkStart w:id="3" w:name="_Hlk189844299"/>
            <w:bookmarkStart w:id="4" w:name="_Hlk189846806"/>
            <w:bookmarkStart w:id="5" w:name="OLE_LINK4"/>
            <w:r>
              <w:rPr>
                <w:rFonts w:hint="eastAsia" w:ascii="仿宋_GB2312" w:hAnsi="仿宋" w:eastAsia="仿宋_GB2312"/>
                <w:sz w:val="21"/>
                <w:szCs w:val="21"/>
              </w:rPr>
              <w:t>股东名称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160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变动前持股数量（股）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BECD4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变动前持股比例（%）</w:t>
            </w:r>
          </w:p>
        </w:tc>
        <w:tc>
          <w:tcPr>
            <w:tcW w:w="1248" w:type="dxa"/>
            <w:shd w:val="clear" w:color="auto" w:fill="FFFFFF" w:themeFill="background1"/>
          </w:tcPr>
          <w:p w14:paraId="75CF661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变动后持股数量（股）</w:t>
            </w:r>
          </w:p>
        </w:tc>
        <w:tc>
          <w:tcPr>
            <w:tcW w:w="0" w:type="auto"/>
            <w:shd w:val="clear" w:color="auto" w:fill="FFFFFF" w:themeFill="background1"/>
          </w:tcPr>
          <w:p w14:paraId="745DB34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变动后持股比例（%）</w:t>
            </w:r>
          </w:p>
        </w:tc>
      </w:tr>
      <w:bookmarkEnd w:id="3"/>
      <w:tr w14:paraId="459E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EE422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股东A及其</w:t>
            </w:r>
            <w:bookmarkStart w:id="6" w:name="OLE_LINK3"/>
            <w:r>
              <w:rPr>
                <w:rFonts w:hint="eastAsia" w:ascii="仿宋_GB2312" w:hAnsi="楷体" w:eastAsia="仿宋_GB2312" w:cs="楷体"/>
                <w:szCs w:val="21"/>
              </w:rPr>
              <w:t>一致行动人</w:t>
            </w:r>
            <w:bookmarkEnd w:id="6"/>
            <w:r>
              <w:rPr>
                <w:rFonts w:hint="eastAsia" w:ascii="仿宋_GB2312" w:hAnsi="楷体" w:eastAsia="仿宋_GB2312" w:cs="楷体"/>
                <w:szCs w:val="21"/>
              </w:rPr>
              <w:t>（合并计算）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B414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41315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209DE858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B32A24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3179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CD50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股东A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282A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6B6B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7243DE84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51B7D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6732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430A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bookmarkStart w:id="7" w:name="OLE_LINK2"/>
            <w:r>
              <w:rPr>
                <w:rFonts w:hint="eastAsia" w:ascii="仿宋_GB2312" w:hAnsi="楷体" w:eastAsia="仿宋_GB2312" w:cs="楷体"/>
                <w:szCs w:val="21"/>
              </w:rPr>
              <w:t>一致行动人1</w:t>
            </w:r>
            <w:bookmarkEnd w:id="7"/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A0A9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84C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00950D5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C9E41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52F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03993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一致行动人2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8741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86C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455C649B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29F78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tr w14:paraId="4E61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0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3DD20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楷体" w:eastAsia="仿宋_GB2312" w:cs="楷体"/>
                <w:szCs w:val="21"/>
              </w:rPr>
            </w:pPr>
            <w:r>
              <w:rPr>
                <w:rFonts w:hint="eastAsia" w:ascii="仿宋_GB2312" w:hAnsi="楷体" w:eastAsia="仿宋_GB2312" w:cs="楷体"/>
                <w:szCs w:val="21"/>
              </w:rPr>
              <w:t>股东B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7899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5F65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1D777D0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147799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楷体" w:eastAsia="仿宋_GB2312" w:cs="楷体"/>
                <w:szCs w:val="21"/>
              </w:rPr>
            </w:pPr>
          </w:p>
        </w:tc>
      </w:tr>
      <w:bookmarkEnd w:id="4"/>
    </w:tbl>
    <w:p w14:paraId="5BB88778">
      <w:pPr>
        <w:widowControl/>
        <w:ind w:firstLine="42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楷体" w:eastAsia="仿宋_GB2312" w:cs="楷体"/>
          <w:szCs w:val="20"/>
        </w:rPr>
        <w:t>注：</w:t>
      </w:r>
      <w:r>
        <w:rPr>
          <w:rFonts w:hint="eastAsia" w:ascii="仿宋_GB2312" w:hAnsi="楷体" w:eastAsia="仿宋_GB2312" w:cs="楷体"/>
        </w:rPr>
        <w:t>股东如有一致行动人参照股东A进行披露，先合并计算持股</w:t>
      </w:r>
      <w:r>
        <w:rPr>
          <w:rFonts w:hint="eastAsia" w:ascii="仿宋_GB2312" w:hAnsi="楷体" w:eastAsia="仿宋_GB2312" w:cs="楷体"/>
          <w:lang w:eastAsia="zh-CN"/>
        </w:rPr>
        <w:t>列示</w:t>
      </w:r>
      <w:r>
        <w:rPr>
          <w:rFonts w:hint="eastAsia" w:ascii="仿宋_GB2312" w:hAnsi="楷体" w:eastAsia="仿宋_GB2312" w:cs="楷体"/>
        </w:rPr>
        <w:t>，后单独列示；股东如无一致行动人参照股东B进行披露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</w:t>
      </w:r>
    </w:p>
    <w:bookmarkEnd w:id="5"/>
    <w:p w14:paraId="5CBE9EC5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bCs/>
          <w:sz w:val="30"/>
          <w:szCs w:val="30"/>
        </w:rPr>
      </w:pPr>
    </w:p>
    <w:p w14:paraId="75FCF560">
      <w:pPr>
        <w:adjustRightInd w:val="0"/>
        <w:snapToGrid w:val="0"/>
        <w:spacing w:line="560" w:lineRule="exact"/>
        <w:ind w:firstLine="600" w:firstLineChars="200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五、介绍本次换股吸收合并相关各方的其他承诺情况。</w:t>
      </w:r>
    </w:p>
    <w:p w14:paraId="7A947E79">
      <w:pPr>
        <w:adjustRightInd w:val="0"/>
        <w:snapToGrid w:val="0"/>
        <w:spacing w:line="560" w:lineRule="exact"/>
        <w:rPr>
          <w:rFonts w:ascii="宋体" w:hAnsi="宋体" w:cs="Arial Unicode MS"/>
          <w:sz w:val="24"/>
        </w:rPr>
      </w:pPr>
    </w:p>
    <w:p w14:paraId="74F13DE2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特此公告。</w:t>
      </w:r>
    </w:p>
    <w:p w14:paraId="4C7FA1C4">
      <w:pPr>
        <w:adjustRightInd w:val="0"/>
        <w:snapToGrid w:val="0"/>
        <w:spacing w:line="560" w:lineRule="exact"/>
        <w:ind w:firstLine="480" w:firstLineChars="200"/>
        <w:rPr>
          <w:rFonts w:ascii="仿宋_GB2312" w:hAnsi="宋体" w:eastAsia="仿宋_GB2312" w:cs="Arial Unicode MS"/>
          <w:sz w:val="24"/>
        </w:rPr>
      </w:pPr>
    </w:p>
    <w:p w14:paraId="6FFD7047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XXXX股份有限公司董事会</w:t>
      </w:r>
    </w:p>
    <w:p w14:paraId="07692EDF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年  月  日</w:t>
      </w:r>
    </w:p>
    <w:p w14:paraId="606473CA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_GB2312" w:hAnsi="仿宋" w:eastAsia="仿宋_GB2312" w:cstheme="minorBidi"/>
          <w:sz w:val="30"/>
          <w:szCs w:val="30"/>
        </w:rPr>
      </w:pPr>
    </w:p>
    <w:p w14:paraId="0855FD7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上网公告文件</w:t>
      </w:r>
    </w:p>
    <w:p w14:paraId="3FAA985E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ascii="仿宋_GB2312" w:hAnsi="仿宋" w:eastAsia="仿宋_GB2312" w:cstheme="minorBidi"/>
          <w:sz w:val="30"/>
          <w:szCs w:val="30"/>
        </w:rPr>
        <w:t>1</w:t>
      </w:r>
      <w:r>
        <w:rPr>
          <w:rFonts w:hint="eastAsia" w:ascii="仿宋_GB2312" w:hAnsi="仿宋" w:eastAsia="仿宋_GB2312" w:cstheme="minorBidi"/>
          <w:sz w:val="30"/>
          <w:szCs w:val="30"/>
        </w:rPr>
        <w:t>.独立财务顾问出具的换股吸收合并实施情况核查意见</w:t>
      </w:r>
    </w:p>
    <w:p w14:paraId="45A0E336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ascii="仿宋_GB2312" w:hAnsi="仿宋" w:eastAsia="仿宋_GB2312" w:cstheme="minorBidi"/>
          <w:sz w:val="30"/>
          <w:szCs w:val="30"/>
        </w:rPr>
        <w:t>2</w:t>
      </w:r>
      <w:r>
        <w:rPr>
          <w:rFonts w:hint="eastAsia" w:ascii="仿宋_GB2312" w:hAnsi="仿宋" w:eastAsia="仿宋_GB2312" w:cstheme="minorBidi"/>
          <w:sz w:val="30"/>
          <w:szCs w:val="30"/>
        </w:rPr>
        <w:t>.律师事务所出具的换股吸收合并实施情况法律意见书</w:t>
      </w:r>
    </w:p>
    <w:p w14:paraId="1847E647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3.会计师事务所出具的验资报告</w:t>
      </w:r>
    </w:p>
    <w:p w14:paraId="69FF3C7C">
      <w:pPr>
        <w:spacing w:line="560" w:lineRule="exact"/>
      </w:pPr>
    </w:p>
    <w:p w14:paraId="64FE07CE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报备文件</w:t>
      </w:r>
    </w:p>
    <w:p w14:paraId="00C1F598">
      <w:pPr>
        <w:adjustRightInd w:val="0"/>
        <w:snapToGrid w:val="0"/>
        <w:spacing w:line="560" w:lineRule="exact"/>
        <w:ind w:firstLine="600" w:firstLineChars="200"/>
        <w:rPr>
          <w:rFonts w:ascii="仿宋_GB2312" w:hAnsi="仿宋" w:eastAsia="仿宋_GB2312" w:cstheme="minorBidi"/>
          <w:sz w:val="30"/>
          <w:szCs w:val="30"/>
        </w:rPr>
      </w:pPr>
      <w:r>
        <w:rPr>
          <w:rFonts w:hint="eastAsia" w:ascii="仿宋_GB2312" w:hAnsi="仿宋" w:eastAsia="仿宋_GB2312" w:cstheme="minorBidi"/>
          <w:sz w:val="30"/>
          <w:szCs w:val="30"/>
        </w:rPr>
        <w:t>中国证券登记结算有限责任公司上海分公司出具的《证券变更登记证明》</w:t>
      </w:r>
    </w:p>
    <w:p w14:paraId="7E121463">
      <w:pPr>
        <w:adjustRightInd w:val="0"/>
        <w:snapToGrid w:val="0"/>
        <w:spacing w:line="560" w:lineRule="exact"/>
        <w:rPr>
          <w:rFonts w:ascii="仿宋_GB2312" w:hAnsi="仿宋" w:eastAsia="仿宋_GB2312" w:cstheme="minorBidi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257291"/>
    </w:sdtPr>
    <w:sdtContent>
      <w:p w14:paraId="5A0F364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4936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30EAA"/>
    <w:multiLevelType w:val="multilevel"/>
    <w:tmpl w:val="38030EAA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7ED21F62"/>
    <w:multiLevelType w:val="multilevel"/>
    <w:tmpl w:val="7ED21F62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C6"/>
    <w:rsid w:val="00004DD7"/>
    <w:rsid w:val="000309E2"/>
    <w:rsid w:val="00036712"/>
    <w:rsid w:val="000470E2"/>
    <w:rsid w:val="00091EB3"/>
    <w:rsid w:val="000E1058"/>
    <w:rsid w:val="00143B75"/>
    <w:rsid w:val="00186D81"/>
    <w:rsid w:val="001B4954"/>
    <w:rsid w:val="002335E3"/>
    <w:rsid w:val="0029577F"/>
    <w:rsid w:val="002C79C3"/>
    <w:rsid w:val="00386B3E"/>
    <w:rsid w:val="003B73CE"/>
    <w:rsid w:val="004074D1"/>
    <w:rsid w:val="00410E56"/>
    <w:rsid w:val="00474818"/>
    <w:rsid w:val="004D0593"/>
    <w:rsid w:val="00563C20"/>
    <w:rsid w:val="005E2679"/>
    <w:rsid w:val="005F6153"/>
    <w:rsid w:val="00687B5B"/>
    <w:rsid w:val="00690A61"/>
    <w:rsid w:val="00691382"/>
    <w:rsid w:val="00697415"/>
    <w:rsid w:val="006B3E81"/>
    <w:rsid w:val="007723BC"/>
    <w:rsid w:val="00776F43"/>
    <w:rsid w:val="007919D8"/>
    <w:rsid w:val="008032DF"/>
    <w:rsid w:val="008056B7"/>
    <w:rsid w:val="00853C4C"/>
    <w:rsid w:val="0085544F"/>
    <w:rsid w:val="00860B59"/>
    <w:rsid w:val="008B4437"/>
    <w:rsid w:val="008F2897"/>
    <w:rsid w:val="009710AF"/>
    <w:rsid w:val="009A0945"/>
    <w:rsid w:val="009E35FC"/>
    <w:rsid w:val="00AA3B33"/>
    <w:rsid w:val="00AA57A7"/>
    <w:rsid w:val="00AE317A"/>
    <w:rsid w:val="00B202DD"/>
    <w:rsid w:val="00B32E7B"/>
    <w:rsid w:val="00B354C0"/>
    <w:rsid w:val="00B638C6"/>
    <w:rsid w:val="00BC5544"/>
    <w:rsid w:val="00BE13B5"/>
    <w:rsid w:val="00BE52C7"/>
    <w:rsid w:val="00CA2C69"/>
    <w:rsid w:val="00CC2DEA"/>
    <w:rsid w:val="00CD158C"/>
    <w:rsid w:val="00CE3B99"/>
    <w:rsid w:val="00D10C94"/>
    <w:rsid w:val="00D170A3"/>
    <w:rsid w:val="00D707E3"/>
    <w:rsid w:val="00D73C4D"/>
    <w:rsid w:val="00D768D3"/>
    <w:rsid w:val="00D877D7"/>
    <w:rsid w:val="00DE70CE"/>
    <w:rsid w:val="00E62ED0"/>
    <w:rsid w:val="00EB37D3"/>
    <w:rsid w:val="00F25D69"/>
    <w:rsid w:val="00F67ABC"/>
    <w:rsid w:val="00F84FC5"/>
    <w:rsid w:val="00F87CBE"/>
    <w:rsid w:val="00FB0B73"/>
    <w:rsid w:val="1CC93134"/>
    <w:rsid w:val="20A41BDE"/>
    <w:rsid w:val="35526A5B"/>
    <w:rsid w:val="420712B2"/>
    <w:rsid w:val="4CEF6FC4"/>
    <w:rsid w:val="6023003E"/>
    <w:rsid w:val="61564C0E"/>
    <w:rsid w:val="63FC5D7F"/>
    <w:rsid w:val="D7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1276</Characters>
  <Lines>10</Lines>
  <Paragraphs>2</Paragraphs>
  <TotalTime>10</TotalTime>
  <ScaleCrop>false</ScaleCrop>
  <LinksUpToDate>false</LinksUpToDate>
  <CharactersWithSpaces>1497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2022-04-23T22:36:00Z</dcterms:created>
  <dc:creator>whzhou</dc:creator>
  <cp:lastModifiedBy>wentinglou</cp:lastModifiedBy>
  <dcterms:modified xsi:type="dcterms:W3CDTF">2025-08-25T16:08:49Z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B7DA9A42FE6A4782AB3B3E65471C6BE8_13</vt:lpwstr>
  </property>
</Properties>
</file>