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20381">
      <w:pPr>
        <w:jc w:val="center"/>
        <w:rPr>
          <w:rFonts w:ascii="黑体" w:hAnsi="黑体" w:eastAsia="黑体"/>
          <w:b/>
          <w:bCs/>
          <w:sz w:val="36"/>
          <w:szCs w:val="36"/>
        </w:rPr>
      </w:pPr>
      <w:bookmarkStart w:id="2" w:name="_GoBack"/>
      <w:bookmarkEnd w:id="2"/>
      <w:bookmarkStart w:id="0" w:name="_Toc50034136"/>
      <w:bookmarkStart w:id="1" w:name="_Toc408933478"/>
      <w:r>
        <w:rPr>
          <w:rFonts w:hint="eastAsia" w:ascii="黑体" w:hAnsi="黑体" w:eastAsia="黑体"/>
          <w:b/>
          <w:bCs/>
          <w:sz w:val="36"/>
          <w:szCs w:val="36"/>
        </w:rPr>
        <w:t>第十九号</w:t>
      </w:r>
      <w:r>
        <w:rPr>
          <w:rFonts w:ascii="黑体" w:hAnsi="黑体" w:eastAsia="黑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bCs/>
          <w:sz w:val="36"/>
          <w:szCs w:val="36"/>
        </w:rPr>
        <w:t>上市公司股东会延期公告</w:t>
      </w:r>
      <w:bookmarkEnd w:id="0"/>
      <w:bookmarkEnd w:id="1"/>
    </w:p>
    <w:p w14:paraId="33A30F91">
      <w:pPr>
        <w:adjustRightInd w:val="0"/>
        <w:snapToGrid w:val="0"/>
        <w:spacing w:line="56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（</w:t>
      </w:r>
      <w:r>
        <w:rPr>
          <w:rFonts w:ascii="楷体" w:hAnsi="楷体" w:eastAsia="楷体" w:cs="宋体"/>
          <w:kern w:val="0"/>
          <w:sz w:val="28"/>
          <w:szCs w:val="28"/>
        </w:rPr>
        <w:t>*</w:t>
      </w:r>
      <w:r>
        <w:rPr>
          <w:rFonts w:hint="eastAsia" w:ascii="楷体" w:hAnsi="楷体" w:eastAsia="楷体" w:cs="宋体"/>
          <w:kern w:val="0"/>
          <w:sz w:val="28"/>
          <w:szCs w:val="28"/>
        </w:rPr>
        <w:t>本公告应当使用本所公告编制软件编制）</w:t>
      </w:r>
    </w:p>
    <w:p w14:paraId="00B5BE4E">
      <w:pPr>
        <w:adjustRightInd w:val="0"/>
        <w:snapToGrid w:val="0"/>
        <w:spacing w:line="560" w:lineRule="exact"/>
        <w:ind w:firstLine="600" w:firstLineChars="200"/>
        <w:jc w:val="center"/>
        <w:rPr>
          <w:rFonts w:ascii="仿宋" w:hAnsi="仿宋" w:eastAsia="仿宋_GB2312"/>
          <w:sz w:val="30"/>
          <w:szCs w:val="30"/>
        </w:rPr>
      </w:pPr>
    </w:p>
    <w:p w14:paraId="0496D595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rPr>
          <w:rFonts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证券代码：</w:t>
      </w:r>
      <w:r>
        <w:rPr>
          <w:rFonts w:ascii="仿宋" w:hAnsi="仿宋" w:eastAsia="仿宋_GB2312"/>
          <w:sz w:val="30"/>
          <w:szCs w:val="30"/>
        </w:rPr>
        <w:t xml:space="preserve">        </w:t>
      </w:r>
      <w:r>
        <w:rPr>
          <w:rFonts w:hint="eastAsia" w:ascii="仿宋" w:hAnsi="仿宋" w:eastAsia="仿宋_GB2312"/>
          <w:sz w:val="30"/>
          <w:szCs w:val="30"/>
        </w:rPr>
        <w:t>　　　证券简称：</w:t>
      </w:r>
      <w:r>
        <w:rPr>
          <w:rFonts w:ascii="仿宋" w:hAnsi="仿宋" w:eastAsia="仿宋_GB2312"/>
          <w:sz w:val="30"/>
          <w:szCs w:val="30"/>
        </w:rPr>
        <w:t xml:space="preserve">       </w:t>
      </w:r>
      <w:r>
        <w:rPr>
          <w:rFonts w:hint="eastAsia" w:ascii="仿宋" w:hAnsi="仿宋" w:eastAsia="仿宋_GB2312"/>
          <w:sz w:val="30"/>
          <w:szCs w:val="30"/>
        </w:rPr>
        <w:t>　　　公告编号：</w:t>
      </w:r>
    </w:p>
    <w:p w14:paraId="0CD66302">
      <w:pPr>
        <w:adjustRightInd w:val="0"/>
        <w:snapToGrid w:val="0"/>
        <w:spacing w:line="560" w:lineRule="exact"/>
        <w:ind w:firstLine="600" w:firstLineChars="200"/>
        <w:jc w:val="center"/>
        <w:rPr>
          <w:rFonts w:ascii="仿宋" w:hAnsi="仿宋" w:eastAsia="仿宋_GB2312"/>
          <w:sz w:val="30"/>
          <w:szCs w:val="30"/>
        </w:rPr>
      </w:pPr>
    </w:p>
    <w:p w14:paraId="0C3B6A2D">
      <w:pPr>
        <w:snapToGrid w:val="0"/>
        <w:spacing w:line="560" w:lineRule="exact"/>
        <w:jc w:val="center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XXXXX股份有限公司关于XXXX年度股东会</w:t>
      </w:r>
    </w:p>
    <w:p w14:paraId="23F87079">
      <w:pPr>
        <w:snapToGrid w:val="0"/>
        <w:spacing w:line="560" w:lineRule="exact"/>
        <w:jc w:val="center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（或XXXX年第XX次临时股东会）的延期公告</w:t>
      </w:r>
    </w:p>
    <w:p w14:paraId="1CE37CE4">
      <w:pPr>
        <w:adjustRightInd w:val="0"/>
        <w:snapToGrid w:val="0"/>
        <w:spacing w:line="560" w:lineRule="exact"/>
        <w:ind w:firstLine="602" w:firstLineChars="200"/>
        <w:jc w:val="center"/>
        <w:rPr>
          <w:rFonts w:ascii="仿宋" w:hAnsi="仿宋" w:eastAsia="仿宋_GB2312"/>
          <w:b/>
          <w:sz w:val="30"/>
          <w:szCs w:val="30"/>
        </w:rPr>
      </w:pPr>
    </w:p>
    <w:p w14:paraId="53DA05D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560" w:lineRule="exact"/>
        <w:ind w:left="360" w:firstLine="600" w:firstLineChars="200"/>
        <w:rPr>
          <w:rFonts w:ascii="仿宋" w:hAnsi="仿宋" w:eastAsia="仿宋_GB2312" w:cs="宋体"/>
          <w:kern w:val="0"/>
          <w:sz w:val="30"/>
          <w:szCs w:val="30"/>
        </w:rPr>
      </w:pPr>
      <w:r>
        <w:rPr>
          <w:rFonts w:hint="eastAsia" w:ascii="仿宋" w:hAnsi="仿宋" w:eastAsia="仿宋_GB2312" w:cs="宋体"/>
          <w:kern w:val="0"/>
          <w:sz w:val="30"/>
          <w:szCs w:val="30"/>
        </w:rPr>
        <w:t>本公司及董事会全体成员保证公告内容不存在虚假记载、误导性陈述或者重大遗漏，并对其内容的真实性、准确性和完整性承担法律责任。</w:t>
      </w:r>
    </w:p>
    <w:p w14:paraId="3258004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560" w:lineRule="exact"/>
        <w:ind w:left="360" w:firstLine="600" w:firstLineChars="200"/>
        <w:rPr>
          <w:rFonts w:ascii="仿宋" w:hAnsi="仿宋" w:eastAsia="仿宋_GB2312" w:cs="宋体"/>
          <w:bCs/>
          <w:iCs/>
          <w:kern w:val="0"/>
          <w:sz w:val="30"/>
          <w:szCs w:val="30"/>
        </w:rPr>
      </w:pPr>
      <w:r>
        <w:rPr>
          <w:rFonts w:hint="eastAsia" w:ascii="仿宋" w:hAnsi="仿宋" w:eastAsia="仿宋_GB2312" w:cs="宋体"/>
          <w:bCs/>
          <w:iCs/>
          <w:kern w:val="0"/>
          <w:sz w:val="30"/>
          <w:szCs w:val="30"/>
        </w:rPr>
        <w:t>如有董事对临时公告内容的真实性、准确性和完整性无法保证或存有异议的，公司应当在公告中作特别提示。</w:t>
      </w:r>
    </w:p>
    <w:p w14:paraId="33BD8C75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sz w:val="30"/>
          <w:szCs w:val="30"/>
        </w:rPr>
      </w:pPr>
    </w:p>
    <w:p w14:paraId="13C07B8D">
      <w:pPr>
        <w:adjustRightInd w:val="0"/>
        <w:snapToGrid w:val="0"/>
        <w:spacing w:line="560" w:lineRule="exact"/>
        <w:ind w:firstLine="602" w:firstLineChars="200"/>
        <w:rPr>
          <w:rFonts w:ascii="仿宋_GB2312" w:hAnsi="宋体" w:eastAsia="仿宋_GB2312" w:cs="Times New Roman"/>
          <w:b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sz w:val="30"/>
          <w:szCs w:val="30"/>
        </w:rPr>
        <w:t>重要内容提示：</w:t>
      </w:r>
    </w:p>
    <w:p w14:paraId="450AFD52"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" w:hAnsi="仿宋" w:eastAsia="仿宋_GB2312"/>
          <w:sz w:val="30"/>
          <w:szCs w:val="30"/>
        </w:rPr>
      </w:pP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会议延期后的召开时间:</w:t>
      </w:r>
      <w:r>
        <w:rPr>
          <w:rFonts w:hint="eastAsia" w:ascii="仿宋_GB2312" w:hAnsi="Calibri" w:eastAsia="仿宋_GB2312" w:cs="Times New Roman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年</w:t>
      </w:r>
      <w:r>
        <w:rPr>
          <w:rFonts w:hint="eastAsia" w:ascii="仿宋_GB2312" w:hAnsi="Calibri" w:eastAsia="仿宋_GB2312" w:cs="Times New Roman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月</w:t>
      </w:r>
      <w:r>
        <w:rPr>
          <w:rFonts w:hint="eastAsia" w:ascii="仿宋_GB2312" w:hAnsi="Calibri" w:eastAsia="仿宋_GB2312" w:cs="Times New Roman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color w:val="000000"/>
          <w:sz w:val="30"/>
          <w:szCs w:val="30"/>
        </w:rPr>
        <w:t>日</w:t>
      </w:r>
    </w:p>
    <w:p w14:paraId="1C53DB5B">
      <w:pPr>
        <w:pStyle w:val="8"/>
        <w:adjustRightInd w:val="0"/>
        <w:snapToGrid w:val="0"/>
        <w:spacing w:line="560" w:lineRule="exact"/>
        <w:ind w:left="600" w:firstLine="0" w:firstLineChars="0"/>
        <w:rPr>
          <w:rFonts w:ascii="仿宋" w:hAnsi="仿宋" w:eastAsia="仿宋_GB2312"/>
          <w:sz w:val="30"/>
          <w:szCs w:val="30"/>
        </w:rPr>
      </w:pPr>
    </w:p>
    <w:p w14:paraId="78C658AF"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一、原股东会有关情况</w:t>
      </w:r>
    </w:p>
    <w:p w14:paraId="2A77D1E9">
      <w:pPr>
        <w:autoSpaceDE w:val="0"/>
        <w:autoSpaceDN w:val="0"/>
        <w:adjustRightInd w:val="0"/>
        <w:snapToGrid w:val="0"/>
        <w:spacing w:beforeLines="50" w:line="560" w:lineRule="exact"/>
        <w:ind w:right="357"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1.原股东会的类型和届次：</w:t>
      </w:r>
    </w:p>
    <w:p w14:paraId="4AE9A7B6">
      <w:pPr>
        <w:autoSpaceDE w:val="0"/>
        <w:autoSpaceDN w:val="0"/>
        <w:adjustRightInd w:val="0"/>
        <w:snapToGrid w:val="0"/>
        <w:spacing w:beforeLines="50" w:line="560" w:lineRule="exact"/>
        <w:ind w:right="357" w:firstLine="600" w:firstLineChars="200"/>
        <w:rPr>
          <w:rFonts w:ascii="仿宋_GB2312" w:hAnsi="仿宋_GB2312" w:eastAsia="仿宋_GB2312" w:cs="仿宋_GB2312"/>
          <w:iCs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iCs/>
          <w:sz w:val="30"/>
          <w:szCs w:val="30"/>
          <w:u w:val="single"/>
        </w:rPr>
        <w:t>[XXXX年度股东会/XXXX年XX次临时股东会]</w:t>
      </w:r>
    </w:p>
    <w:p w14:paraId="0711F1F8">
      <w:pPr>
        <w:autoSpaceDE w:val="0"/>
        <w:autoSpaceDN w:val="0"/>
        <w:adjustRightInd w:val="0"/>
        <w:snapToGrid w:val="0"/>
        <w:spacing w:beforeLines="50" w:line="560" w:lineRule="exact"/>
        <w:ind w:right="357" w:firstLine="600" w:firstLineChars="200"/>
        <w:rPr>
          <w:rFonts w:ascii="仿宋_GB2312" w:hAnsi="仿宋_GB2312" w:eastAsia="仿宋_GB2312" w:cs="仿宋_GB2312"/>
          <w:i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2.原股东会召开日期：</w:t>
      </w:r>
      <w:r>
        <w:rPr>
          <w:rFonts w:hint="eastAsia" w:ascii="仿宋_GB2312" w:hAnsi="仿宋_GB2312" w:eastAsia="仿宋_GB2312" w:cs="仿宋_GB2312"/>
          <w:iCs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iCs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iCs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iCs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iCs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iCs/>
          <w:sz w:val="30"/>
          <w:szCs w:val="30"/>
        </w:rPr>
        <w:t>日</w:t>
      </w:r>
    </w:p>
    <w:p w14:paraId="56A06295">
      <w:pPr>
        <w:adjustRightInd w:val="0"/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3.原股东会股权登记日：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1346"/>
        <w:gridCol w:w="1347"/>
        <w:gridCol w:w="1765"/>
        <w:gridCol w:w="1765"/>
      </w:tblGrid>
      <w:tr w14:paraId="0B13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9" w:type="dxa"/>
          </w:tcPr>
          <w:p w14:paraId="2201718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b/>
                <w:kern w:val="0"/>
                <w:sz w:val="24"/>
                <w:szCs w:val="24"/>
              </w:rPr>
              <w:t>股份类别</w:t>
            </w:r>
          </w:p>
        </w:tc>
        <w:tc>
          <w:tcPr>
            <w:tcW w:w="1346" w:type="dxa"/>
          </w:tcPr>
          <w:p w14:paraId="7CD2050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b/>
                <w:kern w:val="0"/>
                <w:sz w:val="24"/>
                <w:szCs w:val="24"/>
              </w:rPr>
              <w:t>股票代码</w:t>
            </w:r>
          </w:p>
        </w:tc>
        <w:tc>
          <w:tcPr>
            <w:tcW w:w="1347" w:type="dxa"/>
          </w:tcPr>
          <w:p w14:paraId="5ACF80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b/>
                <w:kern w:val="0"/>
                <w:sz w:val="24"/>
                <w:szCs w:val="24"/>
              </w:rPr>
              <w:t>股票简称</w:t>
            </w:r>
          </w:p>
        </w:tc>
        <w:tc>
          <w:tcPr>
            <w:tcW w:w="1765" w:type="dxa"/>
          </w:tcPr>
          <w:p w14:paraId="6470CB3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b/>
                <w:kern w:val="0"/>
                <w:sz w:val="24"/>
                <w:szCs w:val="24"/>
              </w:rPr>
              <w:t>股权登记日</w:t>
            </w:r>
          </w:p>
        </w:tc>
        <w:tc>
          <w:tcPr>
            <w:tcW w:w="1765" w:type="dxa"/>
          </w:tcPr>
          <w:p w14:paraId="12B35D1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b/>
                <w:kern w:val="0"/>
                <w:sz w:val="24"/>
                <w:szCs w:val="24"/>
              </w:rPr>
              <w:t>最后交易日</w:t>
            </w:r>
          </w:p>
        </w:tc>
      </w:tr>
      <w:tr w14:paraId="2D75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9" w:type="dxa"/>
          </w:tcPr>
          <w:p w14:paraId="489D815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kern w:val="0"/>
                <w:sz w:val="24"/>
                <w:szCs w:val="24"/>
              </w:rPr>
              <w:t>Ａ股</w:t>
            </w:r>
          </w:p>
        </w:tc>
        <w:tc>
          <w:tcPr>
            <w:tcW w:w="1346" w:type="dxa"/>
          </w:tcPr>
          <w:p w14:paraId="692087E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1CABF2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65" w:type="dxa"/>
          </w:tcPr>
          <w:p w14:paraId="54319F4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65" w:type="dxa"/>
          </w:tcPr>
          <w:p w14:paraId="07B436D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kern w:val="0"/>
                <w:sz w:val="24"/>
                <w:szCs w:val="24"/>
              </w:rPr>
              <w:t>－</w:t>
            </w:r>
          </w:p>
        </w:tc>
      </w:tr>
      <w:tr w14:paraId="7D8F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9" w:type="dxa"/>
          </w:tcPr>
          <w:p w14:paraId="460DB2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kern w:val="0"/>
                <w:sz w:val="24"/>
                <w:szCs w:val="24"/>
              </w:rPr>
              <w:t>Ｂ股</w:t>
            </w:r>
          </w:p>
        </w:tc>
        <w:tc>
          <w:tcPr>
            <w:tcW w:w="1346" w:type="dxa"/>
          </w:tcPr>
          <w:p w14:paraId="62F0761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2649E4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65" w:type="dxa"/>
          </w:tcPr>
          <w:p w14:paraId="2475CE8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65" w:type="dxa"/>
          </w:tcPr>
          <w:p w14:paraId="342A9BB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</w:tr>
      <w:tr w14:paraId="4C01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9" w:type="dxa"/>
          </w:tcPr>
          <w:p w14:paraId="2BB085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宋体"/>
                <w:kern w:val="0"/>
                <w:sz w:val="24"/>
                <w:szCs w:val="24"/>
              </w:rPr>
              <w:t>优先股</w:t>
            </w:r>
          </w:p>
        </w:tc>
        <w:tc>
          <w:tcPr>
            <w:tcW w:w="1346" w:type="dxa"/>
          </w:tcPr>
          <w:p w14:paraId="31D22C2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2D19A2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65" w:type="dxa"/>
          </w:tcPr>
          <w:p w14:paraId="5D74704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65" w:type="dxa"/>
          </w:tcPr>
          <w:p w14:paraId="1D8B9BA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_GB2312" w:cs="宋体"/>
                <w:kern w:val="0"/>
                <w:sz w:val="24"/>
                <w:szCs w:val="24"/>
              </w:rPr>
            </w:pPr>
          </w:p>
        </w:tc>
      </w:tr>
    </w:tbl>
    <w:p w14:paraId="5AB55C72">
      <w:pPr>
        <w:autoSpaceDE w:val="0"/>
        <w:autoSpaceDN w:val="0"/>
        <w:adjustRightInd w:val="0"/>
        <w:snapToGrid w:val="0"/>
        <w:spacing w:beforeLines="50" w:line="560" w:lineRule="exact"/>
        <w:ind w:right="357" w:firstLine="480" w:firstLineChars="200"/>
        <w:rPr>
          <w:rFonts w:ascii="楷体" w:hAnsi="楷体" w:eastAsia="楷体" w:cs="仿宋_GB2312"/>
          <w:bCs/>
          <w:color w:val="000000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（编制提醒：股东会延期后，股权登记日不得改变；</w:t>
      </w:r>
      <w:r>
        <w:rPr>
          <w:rFonts w:hint="eastAsia" w:ascii="楷体" w:hAnsi="楷体" w:eastAsia="楷体" w:cs="仿宋_GB2312"/>
          <w:bCs/>
          <w:color w:val="000000"/>
          <w:sz w:val="24"/>
          <w:szCs w:val="24"/>
        </w:rPr>
        <w:t>上市公司应当在原定召开日期的至少2个交易日之前发布通知。</w:t>
      </w:r>
      <w:r>
        <w:rPr>
          <w:rFonts w:hint="eastAsia" w:ascii="楷体" w:hAnsi="楷体" w:eastAsia="楷体" w:cs="仿宋_GB2312"/>
          <w:sz w:val="24"/>
          <w:szCs w:val="24"/>
        </w:rPr>
        <w:t>）</w:t>
      </w:r>
    </w:p>
    <w:p w14:paraId="7F244F89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sz w:val="30"/>
          <w:szCs w:val="30"/>
        </w:rPr>
      </w:pPr>
    </w:p>
    <w:p w14:paraId="2D7D41FA"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二、股东会延期原因</w:t>
      </w:r>
    </w:p>
    <w:p w14:paraId="6B45A3EA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i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说明延期召开股东会的原因，以及此次延期召开是否符合相关法律法规的要求</w:t>
      </w:r>
      <w:r>
        <w:rPr>
          <w:rFonts w:hint="eastAsia" w:ascii="仿宋" w:hAnsi="仿宋" w:eastAsia="仿宋_GB2312"/>
          <w:i/>
          <w:sz w:val="30"/>
          <w:szCs w:val="30"/>
        </w:rPr>
        <w:t>。</w:t>
      </w:r>
    </w:p>
    <w:p w14:paraId="4430FE9B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sz w:val="30"/>
          <w:szCs w:val="30"/>
        </w:rPr>
      </w:pPr>
    </w:p>
    <w:p w14:paraId="749213FF"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三、延期后的股东会有关情况</w:t>
      </w:r>
    </w:p>
    <w:p w14:paraId="24407668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1.延期后的现场会议的日期、时间</w:t>
      </w:r>
    </w:p>
    <w:p w14:paraId="2BCD00E0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召开日期时间：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XXXX年XX月XX日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XX点XX分</w:t>
      </w:r>
    </w:p>
    <w:p w14:paraId="0F662C72">
      <w:pPr>
        <w:widowControl/>
        <w:adjustRightInd w:val="0"/>
        <w:snapToGrid w:val="0"/>
        <w:spacing w:beforeLines="50" w:line="560" w:lineRule="exact"/>
        <w:ind w:firstLine="600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2.延期后的网络投票起止日期和投票时间。 </w:t>
      </w:r>
    </w:p>
    <w:p w14:paraId="38EEA898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网络投票起止时间：自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XXXX年XX月XX日XX时XX分</w:t>
      </w:r>
    </w:p>
    <w:p w14:paraId="45A35848"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至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XXXX年XX月XX日XX时XX分</w:t>
      </w:r>
    </w:p>
    <w:p w14:paraId="74110413">
      <w:pPr>
        <w:widowControl/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 w:cs="宋体"/>
          <w:kern w:val="0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（如适用）采用上海证券交易所网络投票系统，通过交易系统投票平台的投票时间为股东会召开当日的交易时间段，即</w:t>
      </w:r>
      <w:r>
        <w:rPr>
          <w:rFonts w:ascii="仿宋" w:hAnsi="仿宋" w:eastAsia="仿宋_GB2312"/>
          <w:sz w:val="30"/>
          <w:szCs w:val="30"/>
        </w:rPr>
        <w:t>9:15-9:25</w:t>
      </w:r>
      <w:r>
        <w:rPr>
          <w:rFonts w:hint="eastAsia" w:ascii="仿宋" w:hAnsi="仿宋" w:eastAsia="仿宋_GB2312"/>
          <w:sz w:val="30"/>
          <w:szCs w:val="30"/>
        </w:rPr>
        <w:t>，</w:t>
      </w:r>
      <w:r>
        <w:rPr>
          <w:rFonts w:ascii="仿宋" w:hAnsi="仿宋" w:eastAsia="仿宋_GB2312"/>
          <w:sz w:val="30"/>
          <w:szCs w:val="30"/>
        </w:rPr>
        <w:t>9:30-11:30</w:t>
      </w:r>
      <w:r>
        <w:rPr>
          <w:rFonts w:hint="eastAsia" w:ascii="仿宋" w:hAnsi="仿宋" w:eastAsia="仿宋_GB2312"/>
          <w:sz w:val="30"/>
          <w:szCs w:val="30"/>
        </w:rPr>
        <w:t>，</w:t>
      </w:r>
      <w:r>
        <w:rPr>
          <w:rFonts w:ascii="仿宋" w:hAnsi="仿宋" w:eastAsia="仿宋_GB2312"/>
          <w:sz w:val="30"/>
          <w:szCs w:val="30"/>
        </w:rPr>
        <w:t>13:00-15:00</w:t>
      </w:r>
      <w:r>
        <w:rPr>
          <w:rFonts w:hint="eastAsia" w:ascii="仿宋" w:hAnsi="仿宋" w:eastAsia="仿宋_GB2312"/>
          <w:sz w:val="30"/>
          <w:szCs w:val="30"/>
        </w:rPr>
        <w:t>；通过互联网投票平台的投票时间为股东会召开当日的</w:t>
      </w:r>
      <w:r>
        <w:rPr>
          <w:rFonts w:ascii="仿宋" w:hAnsi="仿宋" w:eastAsia="仿宋_GB2312"/>
          <w:sz w:val="30"/>
          <w:szCs w:val="30"/>
        </w:rPr>
        <w:t>9:15-15:00</w:t>
      </w:r>
      <w:r>
        <w:rPr>
          <w:rFonts w:hint="eastAsia" w:ascii="仿宋" w:hAnsi="仿宋" w:eastAsia="仿宋_GB2312"/>
          <w:sz w:val="30"/>
          <w:szCs w:val="30"/>
        </w:rPr>
        <w:t>。</w:t>
      </w:r>
    </w:p>
    <w:p w14:paraId="329DE2BC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sz w:val="30"/>
          <w:szCs w:val="30"/>
        </w:rPr>
      </w:pPr>
      <w:r>
        <w:rPr>
          <w:rFonts w:ascii="仿宋_GB2312" w:hAnsi="仿宋_GB2312" w:eastAsia="仿宋_GB2312" w:cs="仿宋_GB2312"/>
          <w:kern w:val="0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延期召</w:t>
      </w:r>
      <w:r>
        <w:rPr>
          <w:rFonts w:hint="eastAsia" w:ascii="仿宋" w:hAnsi="仿宋" w:eastAsia="仿宋_GB2312"/>
          <w:sz w:val="30"/>
          <w:szCs w:val="30"/>
        </w:rPr>
        <w:t>开的股东会股权登记日不变，其他相关事项参照公司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XXXX</w:t>
      </w:r>
      <w:r>
        <w:rPr>
          <w:rFonts w:hint="eastAsia" w:ascii="仿宋" w:hAnsi="仿宋" w:eastAsia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XX</w:t>
      </w:r>
      <w:r>
        <w:rPr>
          <w:rFonts w:hint="eastAsia" w:ascii="仿宋" w:hAnsi="仿宋" w:eastAsia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XX</w:t>
      </w:r>
      <w:r>
        <w:rPr>
          <w:rFonts w:hint="eastAsia" w:ascii="仿宋" w:hAnsi="仿宋" w:eastAsia="仿宋_GB2312"/>
          <w:sz w:val="30"/>
          <w:szCs w:val="30"/>
        </w:rPr>
        <w:t>日刊登的公告（公告编号：</w:t>
      </w:r>
      <w:r>
        <w:rPr>
          <w:rFonts w:hint="eastAsia" w:ascii="仿宋" w:hAnsi="仿宋" w:eastAsia="仿宋_GB2312"/>
          <w:sz w:val="30"/>
          <w:szCs w:val="30"/>
          <w:u w:val="single"/>
        </w:rPr>
        <w:t xml:space="preserve">　　    </w:t>
      </w:r>
      <w:r>
        <w:rPr>
          <w:rFonts w:hint="eastAsia" w:ascii="仿宋" w:hAnsi="仿宋" w:eastAsia="仿宋_GB2312"/>
          <w:sz w:val="30"/>
          <w:szCs w:val="30"/>
        </w:rPr>
        <w:t>）。</w:t>
      </w:r>
    </w:p>
    <w:p w14:paraId="00619B7C">
      <w:pPr>
        <w:adjustRightInd w:val="0"/>
        <w:snapToGrid w:val="0"/>
        <w:spacing w:line="560" w:lineRule="exact"/>
        <w:ind w:left="900" w:firstLine="600" w:firstLineChars="200"/>
        <w:rPr>
          <w:rFonts w:ascii="仿宋" w:hAnsi="仿宋" w:eastAsia="仿宋_GB2312"/>
          <w:sz w:val="30"/>
          <w:szCs w:val="30"/>
        </w:rPr>
      </w:pPr>
    </w:p>
    <w:p w14:paraId="3B962756"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四、其他事项</w:t>
      </w:r>
    </w:p>
    <w:p w14:paraId="6D86C6E0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说明联系方式、联系人员等必要信息。</w:t>
      </w:r>
    </w:p>
    <w:p w14:paraId="5242BBEF"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_GB2312"/>
          <w:sz w:val="30"/>
          <w:szCs w:val="30"/>
        </w:rPr>
      </w:pPr>
    </w:p>
    <w:p w14:paraId="641FF39C">
      <w:pPr>
        <w:adjustRightInd w:val="0"/>
        <w:snapToGrid w:val="0"/>
        <w:spacing w:line="560" w:lineRule="exact"/>
        <w:ind w:firstLine="600" w:firstLineChars="200"/>
        <w:jc w:val="right"/>
        <w:rPr>
          <w:rFonts w:ascii="仿宋" w:hAnsi="仿宋" w:eastAsia="仿宋_GB2312"/>
          <w:sz w:val="30"/>
          <w:szCs w:val="30"/>
        </w:rPr>
      </w:pPr>
      <w:r>
        <w:rPr>
          <w:rFonts w:ascii="仿宋" w:hAnsi="仿宋" w:eastAsia="仿宋_GB2312"/>
          <w:sz w:val="30"/>
          <w:szCs w:val="30"/>
        </w:rPr>
        <w:t xml:space="preserve">       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××××</w:t>
      </w:r>
      <w:r>
        <w:rPr>
          <w:rFonts w:hint="eastAsia" w:ascii="仿宋" w:hAnsi="仿宋" w:eastAsia="仿宋_GB2312"/>
          <w:sz w:val="30"/>
          <w:szCs w:val="30"/>
        </w:rPr>
        <w:t>股份有限公司董事会（或其他召集人）</w:t>
      </w:r>
    </w:p>
    <w:p w14:paraId="15AB27E1">
      <w:pPr>
        <w:adjustRightInd w:val="0"/>
        <w:snapToGrid w:val="0"/>
        <w:spacing w:line="560" w:lineRule="exact"/>
        <w:ind w:firstLine="600" w:firstLineChars="200"/>
        <w:jc w:val="right"/>
        <w:rPr>
          <w:rFonts w:ascii="仿宋" w:hAnsi="仿宋" w:eastAsia="仿宋_GB2312"/>
          <w:sz w:val="30"/>
          <w:szCs w:val="30"/>
        </w:rPr>
      </w:pPr>
      <w:r>
        <w:rPr>
          <w:rFonts w:ascii="仿宋" w:hAnsi="仿宋" w:eastAsia="仿宋_GB2312"/>
          <w:sz w:val="30"/>
          <w:szCs w:val="30"/>
        </w:rPr>
        <w:t xml:space="preserve">                                 </w:t>
      </w:r>
      <w:r>
        <w:rPr>
          <w:rFonts w:hint="eastAsia" w:ascii="仿宋" w:hAnsi="仿宋" w:eastAsia="仿宋_GB2312"/>
          <w:sz w:val="30"/>
          <w:szCs w:val="30"/>
        </w:rPr>
        <w:t>年</w:t>
      </w:r>
      <w:r>
        <w:rPr>
          <w:rFonts w:ascii="仿宋" w:hAnsi="仿宋" w:eastAsia="仿宋_GB2312"/>
          <w:sz w:val="30"/>
          <w:szCs w:val="30"/>
        </w:rPr>
        <w:t xml:space="preserve"> </w:t>
      </w:r>
      <w:r>
        <w:rPr>
          <w:rFonts w:hint="eastAsia" w:ascii="仿宋" w:hAnsi="仿宋" w:eastAsia="仿宋_GB2312"/>
          <w:sz w:val="30"/>
          <w:szCs w:val="30"/>
        </w:rPr>
        <w:t xml:space="preserve"> 月</w:t>
      </w:r>
      <w:r>
        <w:rPr>
          <w:rFonts w:ascii="仿宋" w:hAnsi="仿宋" w:eastAsia="仿宋_GB2312"/>
          <w:sz w:val="30"/>
          <w:szCs w:val="30"/>
        </w:rPr>
        <w:t xml:space="preserve"> </w:t>
      </w:r>
      <w:r>
        <w:rPr>
          <w:rFonts w:hint="eastAsia" w:ascii="仿宋" w:hAnsi="仿宋" w:eastAsia="仿宋_GB2312"/>
          <w:sz w:val="30"/>
          <w:szCs w:val="30"/>
        </w:rPr>
        <w:t xml:space="preserve"> 日</w:t>
      </w:r>
    </w:p>
    <w:p w14:paraId="605353BE">
      <w:pPr>
        <w:adjustRightInd w:val="0"/>
        <w:snapToGrid w:val="0"/>
        <w:spacing w:line="560" w:lineRule="exact"/>
        <w:ind w:firstLine="600" w:firstLineChars="200"/>
        <w:jc w:val="right"/>
        <w:rPr>
          <w:rFonts w:ascii="仿宋" w:hAnsi="仿宋" w:eastAsia="仿宋_GB2312"/>
          <w:sz w:val="30"/>
          <w:szCs w:val="30"/>
        </w:rPr>
      </w:pPr>
    </w:p>
    <w:p w14:paraId="4FD18A83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1537328"/>
      <w:docPartObj>
        <w:docPartGallery w:val="autotext"/>
      </w:docPartObj>
    </w:sdtPr>
    <w:sdtContent>
      <w:p w14:paraId="4CCBB00D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A1CFF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646B16"/>
    <w:multiLevelType w:val="multilevel"/>
    <w:tmpl w:val="74646B16"/>
    <w:lvl w:ilvl="0" w:tentative="0">
      <w:start w:val="1"/>
      <w:numFmt w:val="bullet"/>
      <w:lvlText w:val=""/>
      <w:lvlJc w:val="left"/>
      <w:pPr>
        <w:ind w:left="10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D64F8"/>
    <w:rsid w:val="00041003"/>
    <w:rsid w:val="0004582F"/>
    <w:rsid w:val="000D3348"/>
    <w:rsid w:val="0016203A"/>
    <w:rsid w:val="001E6A94"/>
    <w:rsid w:val="002060B3"/>
    <w:rsid w:val="00267FF8"/>
    <w:rsid w:val="00273729"/>
    <w:rsid w:val="003619BC"/>
    <w:rsid w:val="00377B8D"/>
    <w:rsid w:val="003E761C"/>
    <w:rsid w:val="004C66AB"/>
    <w:rsid w:val="00550A60"/>
    <w:rsid w:val="00570FE5"/>
    <w:rsid w:val="00572AD2"/>
    <w:rsid w:val="005B138B"/>
    <w:rsid w:val="00714CB7"/>
    <w:rsid w:val="007552BA"/>
    <w:rsid w:val="00755B57"/>
    <w:rsid w:val="007C3860"/>
    <w:rsid w:val="00834F73"/>
    <w:rsid w:val="00850C0A"/>
    <w:rsid w:val="00852FC7"/>
    <w:rsid w:val="00854D78"/>
    <w:rsid w:val="00881FBC"/>
    <w:rsid w:val="00946811"/>
    <w:rsid w:val="00954195"/>
    <w:rsid w:val="009669F2"/>
    <w:rsid w:val="009B050F"/>
    <w:rsid w:val="00A07986"/>
    <w:rsid w:val="00A2548D"/>
    <w:rsid w:val="00A30196"/>
    <w:rsid w:val="00B867BB"/>
    <w:rsid w:val="00B90E36"/>
    <w:rsid w:val="00B9177F"/>
    <w:rsid w:val="00BA61E1"/>
    <w:rsid w:val="00C049D9"/>
    <w:rsid w:val="00C14B0F"/>
    <w:rsid w:val="00C76F92"/>
    <w:rsid w:val="00D70D69"/>
    <w:rsid w:val="00E5338E"/>
    <w:rsid w:val="00E75F3A"/>
    <w:rsid w:val="00E8326B"/>
    <w:rsid w:val="00F51B15"/>
    <w:rsid w:val="00F71D2F"/>
    <w:rsid w:val="00F82458"/>
    <w:rsid w:val="00F9048C"/>
    <w:rsid w:val="00F975D1"/>
    <w:rsid w:val="00FC71C0"/>
    <w:rsid w:val="00FD6CCE"/>
    <w:rsid w:val="05DE55D4"/>
    <w:rsid w:val="1AFE36AD"/>
    <w:rsid w:val="2FED36AF"/>
    <w:rsid w:val="385357F5"/>
    <w:rsid w:val="72AE44BB"/>
    <w:rsid w:val="78ED64F8"/>
    <w:rsid w:val="7FE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0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</Words>
  <Characters>848</Characters>
  <Lines>7</Lines>
  <Paragraphs>1</Paragraphs>
  <TotalTime>35</TotalTime>
  <ScaleCrop>false</ScaleCrop>
  <LinksUpToDate>false</LinksUpToDate>
  <CharactersWithSpaces>995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2020-12-09T19:49:00Z</dcterms:created>
  <dc:creator>whzhou</dc:creator>
  <cp:lastModifiedBy>wentinglou</cp:lastModifiedBy>
  <dcterms:modified xsi:type="dcterms:W3CDTF">2025-08-25T16:11:32Z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E086C6733C064386B68B1C4CBA15D679_13</vt:lpwstr>
  </property>
</Properties>
</file>