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F4542">
      <w:pPr>
        <w:jc w:val="center"/>
        <w:rPr>
          <w:rFonts w:ascii="Times New Roman" w:hAnsi="Times New Roman" w:eastAsia="黑体"/>
          <w:b/>
          <w:bCs/>
          <w:sz w:val="36"/>
          <w:szCs w:val="36"/>
        </w:rPr>
      </w:pPr>
      <w:r>
        <w:rPr>
          <w:rFonts w:ascii="Times New Roman" w:hAnsi="Times New Roman" w:eastAsia="黑体"/>
          <w:b/>
          <w:bCs/>
          <w:sz w:val="36"/>
          <w:szCs w:val="36"/>
        </w:rPr>
        <w:t>第三十</w:t>
      </w:r>
      <w:r>
        <w:rPr>
          <w:rFonts w:hint="eastAsia" w:ascii="Times New Roman" w:hAnsi="Times New Roman" w:eastAsia="黑体"/>
          <w:b/>
          <w:bCs/>
          <w:sz w:val="36"/>
          <w:szCs w:val="36"/>
        </w:rPr>
        <w:t>三</w:t>
      </w:r>
      <w:r>
        <w:rPr>
          <w:rFonts w:ascii="Times New Roman" w:hAnsi="Times New Roman" w:eastAsia="黑体"/>
          <w:b/>
          <w:bCs/>
          <w:sz w:val="36"/>
          <w:szCs w:val="36"/>
        </w:rPr>
        <w:t>号 会计差错更正、会计政策</w:t>
      </w:r>
    </w:p>
    <w:p w14:paraId="3986341E">
      <w:pPr>
        <w:jc w:val="center"/>
        <w:rPr>
          <w:rFonts w:ascii="Times New Roman" w:hAnsi="Times New Roman" w:eastAsia="黑体"/>
          <w:b/>
          <w:bCs/>
          <w:sz w:val="36"/>
          <w:szCs w:val="36"/>
        </w:rPr>
      </w:pPr>
      <w:r>
        <w:rPr>
          <w:rFonts w:ascii="Times New Roman" w:hAnsi="Times New Roman" w:eastAsia="黑体"/>
          <w:b/>
          <w:bCs/>
          <w:sz w:val="36"/>
          <w:szCs w:val="36"/>
        </w:rPr>
        <w:t>或会计估计变更公告</w:t>
      </w:r>
    </w:p>
    <w:p w14:paraId="200EFD3D">
      <w:pPr>
        <w:autoSpaceDE w:val="0"/>
        <w:autoSpaceDN w:val="0"/>
        <w:adjustRightInd w:val="0"/>
        <w:spacing w:line="560" w:lineRule="exact"/>
        <w:jc w:val="center"/>
        <w:rPr>
          <w:rFonts w:ascii="Times New Roman" w:hAnsi="Times New Roman"/>
          <w:color w:val="000000"/>
          <w:kern w:val="0"/>
          <w:sz w:val="32"/>
          <w:szCs w:val="32"/>
        </w:rPr>
      </w:pPr>
    </w:p>
    <w:p w14:paraId="28F76482">
      <w:pPr>
        <w:autoSpaceDE w:val="0"/>
        <w:autoSpaceDN w:val="0"/>
        <w:adjustRightInd w:val="0"/>
        <w:snapToGrid w:val="0"/>
        <w:spacing w:line="560" w:lineRule="exact"/>
        <w:rPr>
          <w:rFonts w:ascii="Times New Roman" w:hAnsi="Times New Roman" w:eastAsia="仿宋_GB2312"/>
          <w:b/>
          <w:sz w:val="30"/>
          <w:szCs w:val="30"/>
        </w:rPr>
      </w:pPr>
      <w:r>
        <w:rPr>
          <w:rFonts w:ascii="Times New Roman" w:hAnsi="Times New Roman" w:eastAsia="仿宋_GB2312"/>
          <w:b/>
          <w:sz w:val="30"/>
          <w:szCs w:val="30"/>
        </w:rPr>
        <w:t>适用情形：</w:t>
      </w:r>
    </w:p>
    <w:p w14:paraId="605FE2EB">
      <w:pPr>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1.上市公司会计差错更正、会计政策或会计估计变更达到本所《股票上市规则》规定的披露标准的，应当适用本公告格式。</w:t>
      </w:r>
    </w:p>
    <w:p w14:paraId="12724D51">
      <w:pPr>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2.依据企业会计准则需要在财务报表附注中进行说明的会计差错更正、会计政策或会计估计变更，应当适用本公告格式。</w:t>
      </w:r>
    </w:p>
    <w:p w14:paraId="78D8D6BA">
      <w:pPr>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3.上市公司会计差错更正披露除按照本公告格式披露外，还应当遵守《公开发行证券的公司信息披露编报规则第19号——财务信息的更正及相关披露》（以下简称“19号编报规则”）的规定要求。</w:t>
      </w:r>
    </w:p>
    <w:p w14:paraId="34D15535">
      <w:pPr>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4.上市公司根据法律、行政法规或者国家统一的会计制度等要求变更会计政策的，可以免于审议，但仍应当按照本公告格式披露。</w:t>
      </w:r>
    </w:p>
    <w:p w14:paraId="75E425B9">
      <w:pPr>
        <w:spacing w:line="560" w:lineRule="exact"/>
        <w:ind w:firstLine="600" w:firstLineChars="200"/>
        <w:rPr>
          <w:rFonts w:ascii="Times New Roman" w:hAnsi="Times New Roman" w:eastAsia="仿宋_GB2312"/>
          <w:sz w:val="30"/>
          <w:szCs w:val="30"/>
        </w:rPr>
      </w:pPr>
    </w:p>
    <w:p w14:paraId="43AC44C5">
      <w:pPr>
        <w:adjustRightInd w:val="0"/>
        <w:snapToGrid w:val="0"/>
        <w:spacing w:line="560" w:lineRule="exact"/>
        <w:rPr>
          <w:rFonts w:ascii="Times New Roman" w:hAnsi="Times New Roman" w:eastAsia="仿宋_GB2312"/>
          <w:sz w:val="30"/>
          <w:szCs w:val="30"/>
        </w:rPr>
      </w:pPr>
      <w:r>
        <w:rPr>
          <w:rFonts w:ascii="Times New Roman" w:hAnsi="Times New Roman" w:eastAsia="仿宋_GB2312"/>
          <w:sz w:val="30"/>
          <w:szCs w:val="30"/>
        </w:rPr>
        <w:t>证券代码：             证券简称：            公告编号：</w:t>
      </w:r>
    </w:p>
    <w:p w14:paraId="59C0CCC5">
      <w:pPr>
        <w:adjustRightInd w:val="0"/>
        <w:snapToGrid w:val="0"/>
        <w:spacing w:line="560" w:lineRule="exact"/>
        <w:jc w:val="center"/>
        <w:rPr>
          <w:rFonts w:ascii="Times New Roman" w:hAnsi="Times New Roman" w:eastAsia="仿宋_GB2312"/>
          <w:color w:val="000000"/>
          <w:sz w:val="30"/>
          <w:szCs w:val="30"/>
        </w:rPr>
      </w:pPr>
    </w:p>
    <w:p w14:paraId="76334807">
      <w:pPr>
        <w:snapToGrid w:val="0"/>
        <w:spacing w:line="560" w:lineRule="exact"/>
        <w:jc w:val="center"/>
        <w:rPr>
          <w:rFonts w:ascii="仿宋_GB2312" w:hAnsi="Times New Roman" w:eastAsia="仿宋_GB2312"/>
          <w:kern w:val="0"/>
          <w:sz w:val="30"/>
          <w:szCs w:val="30"/>
        </w:rPr>
      </w:pPr>
      <w:r>
        <w:rPr>
          <w:rFonts w:hint="eastAsia" w:ascii="仿宋_GB2312" w:hAnsi="Times New Roman" w:eastAsia="仿宋_GB2312"/>
          <w:color w:val="000000"/>
          <w:sz w:val="30"/>
          <w:szCs w:val="30"/>
        </w:rPr>
        <w:t>X</w:t>
      </w:r>
      <w:r>
        <w:rPr>
          <w:rFonts w:ascii="仿宋_GB2312" w:hAnsi="Times New Roman" w:eastAsia="仿宋_GB2312"/>
          <w:color w:val="000000"/>
          <w:sz w:val="30"/>
          <w:szCs w:val="30"/>
        </w:rPr>
        <w:t>XXX</w:t>
      </w:r>
      <w:r>
        <w:rPr>
          <w:rFonts w:hint="eastAsia" w:ascii="仿宋_GB2312" w:hAnsi="Times New Roman" w:eastAsia="仿宋_GB2312"/>
          <w:color w:val="000000"/>
          <w:sz w:val="30"/>
          <w:szCs w:val="30"/>
        </w:rPr>
        <w:t>股份有限公司</w:t>
      </w:r>
      <w:r>
        <w:rPr>
          <w:rFonts w:hint="eastAsia" w:ascii="仿宋_GB2312" w:hAnsi="Times New Roman" w:eastAsia="仿宋_GB2312"/>
          <w:kern w:val="0"/>
          <w:sz w:val="30"/>
          <w:szCs w:val="30"/>
        </w:rPr>
        <w:t>会计差错、会计政策或会计估计变更公告</w:t>
      </w:r>
    </w:p>
    <w:p w14:paraId="0AAD0042">
      <w:pPr>
        <w:snapToGrid w:val="0"/>
        <w:spacing w:line="560" w:lineRule="exact"/>
        <w:jc w:val="center"/>
        <w:rPr>
          <w:rFonts w:ascii="Times New Roman" w:hAnsi="Times New Roman" w:eastAsia="仿宋_GB2312"/>
          <w:color w:val="000000"/>
          <w:sz w:val="30"/>
          <w:szCs w:val="30"/>
        </w:rPr>
      </w:pPr>
    </w:p>
    <w:p w14:paraId="6952C880">
      <w:pPr>
        <w:pBdr>
          <w:top w:val="single" w:color="auto" w:sz="4" w:space="1"/>
          <w:left w:val="single" w:color="auto" w:sz="4" w:space="4"/>
          <w:bottom w:val="single" w:color="auto" w:sz="4" w:space="2"/>
          <w:right w:val="single" w:color="auto" w:sz="4" w:space="4"/>
        </w:pBdr>
        <w:adjustRightInd w:val="0"/>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0CC4B8D2">
      <w:pPr>
        <w:pBdr>
          <w:top w:val="single" w:color="auto" w:sz="4" w:space="1"/>
          <w:left w:val="single" w:color="auto" w:sz="4" w:space="4"/>
          <w:bottom w:val="single" w:color="auto" w:sz="4" w:space="2"/>
          <w:right w:val="single" w:color="auto" w:sz="4" w:space="4"/>
        </w:pBdr>
        <w:adjustRightInd w:val="0"/>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如有董事对临时公告内容的真实性、准确性和完整性无法保证或存在异议的，公司应当在公告中作特别提示。</w:t>
      </w:r>
    </w:p>
    <w:p w14:paraId="61238B52">
      <w:pPr>
        <w:adjustRightInd w:val="0"/>
        <w:snapToGrid w:val="0"/>
        <w:spacing w:line="560" w:lineRule="exact"/>
        <w:rPr>
          <w:rFonts w:ascii="Times New Roman" w:hAnsi="Times New Roman" w:eastAsia="仿宋_GB2312"/>
          <w:sz w:val="30"/>
          <w:szCs w:val="30"/>
        </w:rPr>
      </w:pPr>
    </w:p>
    <w:p w14:paraId="349C1403">
      <w:pPr>
        <w:adjustRightInd w:val="0"/>
        <w:snapToGrid w:val="0"/>
        <w:spacing w:line="56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重要内容提示：</w:t>
      </w:r>
    </w:p>
    <w:p w14:paraId="1EC92D83">
      <w:pPr>
        <w:pStyle w:val="15"/>
        <w:numPr>
          <w:ilvl w:val="0"/>
          <w:numId w:val="1"/>
        </w:numPr>
        <w:adjustRightInd w:val="0"/>
        <w:snapToGrid w:val="0"/>
        <w:spacing w:line="560" w:lineRule="exact"/>
        <w:ind w:left="0" w:firstLine="600"/>
        <w:rPr>
          <w:rFonts w:ascii="Times New Roman" w:hAnsi="Times New Roman" w:eastAsia="仿宋_GB2312"/>
          <w:sz w:val="30"/>
          <w:szCs w:val="30"/>
        </w:rPr>
      </w:pPr>
      <w:r>
        <w:rPr>
          <w:rFonts w:ascii="Times New Roman" w:hAnsi="Times New Roman" w:eastAsia="仿宋_GB2312"/>
          <w:sz w:val="30"/>
          <w:szCs w:val="30"/>
        </w:rPr>
        <w:t>会计差错更正、会计政策或会计估计变更对上市公司损益、总资产、净资产等的影响。</w:t>
      </w:r>
    </w:p>
    <w:p w14:paraId="4DFCF67C">
      <w:pPr>
        <w:pStyle w:val="15"/>
        <w:adjustRightInd w:val="0"/>
        <w:snapToGrid w:val="0"/>
        <w:spacing w:line="560" w:lineRule="exact"/>
        <w:ind w:firstLine="0" w:firstLineChars="0"/>
        <w:rPr>
          <w:rFonts w:ascii="Times New Roman" w:hAnsi="Times New Roman" w:eastAsia="仿宋_GB2312"/>
          <w:sz w:val="30"/>
          <w:szCs w:val="30"/>
        </w:rPr>
      </w:pPr>
    </w:p>
    <w:p w14:paraId="135DD252">
      <w:pPr>
        <w:autoSpaceDE w:val="0"/>
        <w:autoSpaceDN w:val="0"/>
        <w:adjustRightInd w:val="0"/>
        <w:snapToGrid w:val="0"/>
        <w:spacing w:line="560" w:lineRule="exact"/>
        <w:ind w:firstLine="600" w:firstLineChars="200"/>
        <w:rPr>
          <w:rFonts w:ascii="Times New Roman" w:hAnsi="Times New Roman" w:eastAsia="黑体"/>
          <w:bCs/>
          <w:sz w:val="30"/>
          <w:szCs w:val="30"/>
        </w:rPr>
      </w:pPr>
      <w:r>
        <w:rPr>
          <w:rFonts w:ascii="Times New Roman" w:hAnsi="Times New Roman" w:eastAsia="黑体"/>
          <w:bCs/>
          <w:sz w:val="30"/>
          <w:szCs w:val="30"/>
        </w:rPr>
        <w:t>一、概述</w:t>
      </w:r>
    </w:p>
    <w:p w14:paraId="03E01724">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公司应当简单说明本次会计差错、会计政策或会计估计变更的内容。</w:t>
      </w:r>
    </w:p>
    <w:p w14:paraId="44CD7E68">
      <w:pPr>
        <w:autoSpaceDE w:val="0"/>
        <w:autoSpaceDN w:val="0"/>
        <w:adjustRightInd w:val="0"/>
        <w:snapToGrid w:val="0"/>
        <w:spacing w:line="560" w:lineRule="exact"/>
        <w:ind w:firstLine="600" w:firstLineChars="200"/>
        <w:rPr>
          <w:rFonts w:ascii="Times New Roman" w:hAnsi="Times New Roman" w:eastAsia="楷体"/>
          <w:color w:val="000000"/>
          <w:kern w:val="0"/>
          <w:sz w:val="24"/>
          <w:szCs w:val="24"/>
        </w:rPr>
      </w:pPr>
      <w:r>
        <w:rPr>
          <w:rFonts w:ascii="Times New Roman" w:hAnsi="Times New Roman" w:eastAsia="仿宋_GB2312"/>
          <w:color w:val="000000"/>
          <w:kern w:val="0"/>
          <w:sz w:val="30"/>
          <w:szCs w:val="30"/>
        </w:rPr>
        <w:t>公司应当说明董事会审议会计差错、会计政策或会计估计变更的表决情况。对于需要提交股东会批准的前述事项，应当在公告中特别载明：上述事项“尚需要提交股东会批准”</w:t>
      </w:r>
      <w:bookmarkStart w:id="0" w:name="_GoBack"/>
      <w:r>
        <w:rPr>
          <w:rFonts w:ascii="Times New Roman" w:hAnsi="Times New Roman" w:eastAsia="仿宋_GB2312"/>
          <w:color w:val="000000"/>
          <w:kern w:val="0"/>
          <w:sz w:val="30"/>
          <w:szCs w:val="30"/>
        </w:rPr>
        <w:t>。</w:t>
      </w:r>
      <w:bookmarkEnd w:id="0"/>
    </w:p>
    <w:p w14:paraId="3049C9B8">
      <w:pPr>
        <w:autoSpaceDE w:val="0"/>
        <w:autoSpaceDN w:val="0"/>
        <w:adjustRightInd w:val="0"/>
        <w:spacing w:line="560" w:lineRule="exact"/>
        <w:ind w:firstLine="460" w:firstLineChars="192"/>
        <w:jc w:val="left"/>
        <w:rPr>
          <w:rFonts w:ascii="Times New Roman" w:hAnsi="Times New Roman" w:eastAsia="楷体"/>
          <w:color w:val="000000"/>
          <w:kern w:val="0"/>
          <w:sz w:val="24"/>
          <w:szCs w:val="24"/>
        </w:rPr>
      </w:pPr>
    </w:p>
    <w:p w14:paraId="3EE89FB0">
      <w:pPr>
        <w:autoSpaceDE w:val="0"/>
        <w:autoSpaceDN w:val="0"/>
        <w:adjustRightInd w:val="0"/>
        <w:spacing w:line="560" w:lineRule="exact"/>
        <w:ind w:firstLine="576" w:firstLineChars="192"/>
        <w:jc w:val="left"/>
        <w:rPr>
          <w:rFonts w:ascii="Times New Roman" w:hAnsi="Times New Roman" w:eastAsia="黑体"/>
          <w:bCs/>
          <w:color w:val="000000"/>
          <w:kern w:val="0"/>
          <w:sz w:val="30"/>
          <w:szCs w:val="30"/>
        </w:rPr>
      </w:pPr>
      <w:r>
        <w:rPr>
          <w:rFonts w:ascii="Times New Roman" w:hAnsi="Times New Roman" w:eastAsia="黑体"/>
          <w:bCs/>
          <w:color w:val="000000"/>
          <w:kern w:val="0"/>
          <w:sz w:val="30"/>
          <w:szCs w:val="30"/>
        </w:rPr>
        <w:t>二、具体情况及对公司的影响</w:t>
      </w:r>
    </w:p>
    <w:p w14:paraId="4FF066F5">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（一）重大会计差错</w:t>
      </w:r>
    </w:p>
    <w:p w14:paraId="58DC1551">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公司应当披露如下内容（包括但不限于）：</w:t>
      </w:r>
    </w:p>
    <w:p w14:paraId="3F1E46B7">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1.更正事项对公司财务状况、经营成果和现金流量的影响及更正后的财务指标，包括但不限于各个列报前期财务报表中受影响的项目名称、更正金额、财务指标及相关财务报表附注。</w:t>
      </w:r>
    </w:p>
    <w:p w14:paraId="452DB14F">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如果更正事项涉及公司资产重组相关业绩承诺的，还应当说明更正事项对业绩承诺完成情况的影响。</w:t>
      </w:r>
    </w:p>
    <w:p w14:paraId="51F7BBF4">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2.涉及年度报告会计差错更正，需要披露更正后经审计的年度财务报表和涉及更正事项的相关财务报表附注，以及会计师事务所出具的审计报告或专项鉴证报告。</w:t>
      </w:r>
    </w:p>
    <w:p w14:paraId="0E9CB7A5">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如果公司对年度财务报表进行更正，但不能及时披露更正后经审计的财务报表及审计报告或专项鉴证报告，公司应当就此更正事项及时披露“提示性公告”，并应当在该临时公告公布之日起2个月内完成披露。</w:t>
      </w:r>
    </w:p>
    <w:p w14:paraId="0F6913F8">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3.涉及半年度报告或季度报告会计差错更正，需要相应披露更正后的财务报表及涉及更正事项的相关财务报表附注。</w:t>
      </w:r>
    </w:p>
    <w:p w14:paraId="657798B7">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4.确定前期差错影响数不切实可行而无法进行追溯重述的，应当说明该事实和原因以及对前期差错开始进行更正的时点、具体更正情况。</w:t>
      </w:r>
    </w:p>
    <w:p w14:paraId="3D523ACB">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5.公司董事会和管理层对更正事项的性质及原因的说明。存在责任人的，公司应当披露董事会对有关责任人采取的问责措施及处理结果。不存在责任人的，应当说明原因。</w:t>
      </w:r>
    </w:p>
    <w:p w14:paraId="427FDFEA">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（二）会计政策变更</w:t>
      </w:r>
    </w:p>
    <w:p w14:paraId="5AD40CFC">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1.会计政策变更的性质、内容和原因。包括：对会计政策变更的简要阐述、变更的日期、变更前采用的会计政策和变更后所采用的新会计政策及会计政策变更的原因。</w:t>
      </w:r>
    </w:p>
    <w:p w14:paraId="4F0B6C50">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2.当期和各个列报前期财务报表中受影响的项目名称和调整金额。包括：采用追溯调整法时，计算出的会计政策变更的累积影响数；当期和各个列报前期财务报表中需要调整的净损益及其影响金额，以及其他需要调整的项目名称和调整金额。</w:t>
      </w:r>
    </w:p>
    <w:p w14:paraId="046692DA">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3.无法进行追溯调整的，说明事实和原因以及开始应用变更后的会计政策的时点、具体应用情况。包括：无法进行追溯调整的事实；确定会计政策变更对列报前期影响数不切实可行的原因；在当期期初确定会计政策变更对以前各期累积影响数不切实可行的原因；开始应用新会计政策的时点和具体应用情况。</w:t>
      </w:r>
    </w:p>
    <w:p w14:paraId="1A0820E0">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（三）会计估计变更</w:t>
      </w:r>
    </w:p>
    <w:p w14:paraId="3B94BD42">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1.会计估计变更的内容和原因。包括变更的内容、变更日期以及会计估计变更的原因。</w:t>
      </w:r>
    </w:p>
    <w:p w14:paraId="68E1CEE6">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2.会计估计变更对当期和未来期间的影响数。包括会计估计变更对当期和未来期间损益的影响金额，以及对其他各项目的影响金额。</w:t>
      </w:r>
    </w:p>
    <w:p w14:paraId="6B4A16F8">
      <w:pPr>
        <w:autoSpaceDE w:val="0"/>
        <w:autoSpaceDN w:val="0"/>
        <w:adjustRightInd w:val="0"/>
        <w:spacing w:line="560" w:lineRule="exact"/>
        <w:ind w:firstLine="576" w:firstLineChars="192"/>
        <w:rPr>
          <w:rFonts w:ascii="Times New Roman" w:hAnsi="Times New Roman" w:eastAsia="仿宋_GB2312"/>
          <w:color w:val="000000"/>
          <w:sz w:val="30"/>
          <w:szCs w:val="30"/>
        </w:rPr>
      </w:pPr>
      <w:r>
        <w:rPr>
          <w:rFonts w:ascii="Times New Roman" w:hAnsi="Times New Roman" w:eastAsia="仿宋_GB2312"/>
          <w:color w:val="000000"/>
          <w:sz w:val="30"/>
          <w:szCs w:val="30"/>
        </w:rPr>
        <w:t>3.会计估计变更的影响数不能确定的，披露这一事实和原因。</w:t>
      </w:r>
    </w:p>
    <w:p w14:paraId="1B15D5DD">
      <w:pPr>
        <w:autoSpaceDE w:val="0"/>
        <w:autoSpaceDN w:val="0"/>
        <w:adjustRightInd w:val="0"/>
        <w:spacing w:line="560" w:lineRule="exact"/>
        <w:ind w:firstLine="576" w:firstLineChars="192"/>
        <w:rPr>
          <w:rFonts w:ascii="Times New Roman" w:hAnsi="Times New Roman" w:eastAsia="楷体"/>
          <w:color w:val="000000"/>
          <w:kern w:val="0"/>
          <w:sz w:val="24"/>
          <w:szCs w:val="24"/>
        </w:rPr>
      </w:pPr>
      <w:r>
        <w:rPr>
          <w:rFonts w:ascii="Times New Roman" w:hAnsi="Times New Roman" w:eastAsia="仿宋_GB2312"/>
          <w:color w:val="000000"/>
          <w:sz w:val="30"/>
          <w:szCs w:val="30"/>
        </w:rPr>
        <w:t>4.公司需要分析会计估计变更日前三年，假设运用该会计估计对公司利润总额、净资产或总资产的影响。</w:t>
      </w:r>
    </w:p>
    <w:p w14:paraId="601AA315">
      <w:pPr>
        <w:autoSpaceDE w:val="0"/>
        <w:autoSpaceDN w:val="0"/>
        <w:adjustRightInd w:val="0"/>
        <w:spacing w:line="560" w:lineRule="exact"/>
        <w:ind w:firstLine="578" w:firstLineChars="192"/>
        <w:jc w:val="left"/>
        <w:rPr>
          <w:rFonts w:ascii="Times New Roman" w:hAnsi="Times New Roman" w:eastAsia="黑体"/>
          <w:b/>
          <w:color w:val="000000"/>
          <w:kern w:val="0"/>
          <w:sz w:val="30"/>
          <w:szCs w:val="30"/>
        </w:rPr>
      </w:pPr>
    </w:p>
    <w:p w14:paraId="6CEB4357">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三、会计师事务所的结论性意见</w:t>
      </w:r>
    </w:p>
    <w:p w14:paraId="5C30FBCB">
      <w:pPr>
        <w:autoSpaceDE w:val="0"/>
        <w:autoSpaceDN w:val="0"/>
        <w:adjustRightInd w:val="0"/>
        <w:spacing w:line="560" w:lineRule="exact"/>
        <w:ind w:firstLine="576" w:firstLineChars="192"/>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公司应当披露会计师事务所对上述事项的结论性意见。会计师事务所的意见应当包括：上述变更、更正的原因；具体的会计处理；会计政策或会计估计变更是趋向稳健还是激进；如涉及追溯调整的，对以往各年度财务状况、经营成果和现金流量的影响金额，</w:t>
      </w:r>
      <w:r>
        <w:rPr>
          <w:rFonts w:ascii="Times New Roman" w:hAnsi="Times New Roman" w:eastAsia="仿宋_GB2312"/>
          <w:sz w:val="30"/>
          <w:szCs w:val="30"/>
        </w:rPr>
        <w:t>对公司已披露的年度财务报告进行追溯调整，导致相关财务指标触及《股票上市规则》规定的财务类强制退市情形的说明</w:t>
      </w:r>
      <w:r>
        <w:rPr>
          <w:rFonts w:ascii="Times New Roman" w:hAnsi="Times New Roman" w:eastAsia="仿宋_GB2312"/>
          <w:color w:val="000000"/>
          <w:kern w:val="0"/>
          <w:sz w:val="30"/>
          <w:szCs w:val="30"/>
        </w:rPr>
        <w:t>（如有）；如涉及更换会计师事务所的，是否就相关事项与前任会计师事务所进行了必要的沟通等。</w:t>
      </w:r>
    </w:p>
    <w:p w14:paraId="4DE23D44">
      <w:pPr>
        <w:autoSpaceDE w:val="0"/>
        <w:autoSpaceDN w:val="0"/>
        <w:adjustRightInd w:val="0"/>
        <w:spacing w:line="560" w:lineRule="exact"/>
        <w:ind w:firstLine="578" w:firstLineChars="192"/>
        <w:jc w:val="left"/>
        <w:rPr>
          <w:rFonts w:ascii="Times New Roman" w:hAnsi="Times New Roman" w:eastAsia="黑体"/>
          <w:b/>
          <w:sz w:val="30"/>
          <w:szCs w:val="30"/>
        </w:rPr>
      </w:pPr>
      <w:r>
        <w:rPr>
          <w:rFonts w:hint="eastAsia" w:ascii="Times New Roman" w:hAnsi="Times New Roman" w:eastAsia="黑体"/>
          <w:b/>
          <w:sz w:val="30"/>
          <w:szCs w:val="30"/>
        </w:rPr>
        <w:t>四、审计委员会审议情况</w:t>
      </w:r>
    </w:p>
    <w:p w14:paraId="52CB96E9">
      <w:pPr>
        <w:autoSpaceDE w:val="0"/>
        <w:autoSpaceDN w:val="0"/>
        <w:adjustRightInd w:val="0"/>
        <w:spacing w:line="560" w:lineRule="exact"/>
        <w:jc w:val="left"/>
        <w:rPr>
          <w:rFonts w:ascii="Times New Roman" w:hAnsi="Times New Roman" w:eastAsia="黑体"/>
          <w:b/>
          <w:color w:val="000000"/>
          <w:kern w:val="0"/>
          <w:sz w:val="30"/>
          <w:szCs w:val="30"/>
        </w:rPr>
      </w:pPr>
    </w:p>
    <w:p w14:paraId="030F8D84">
      <w:pPr>
        <w:autoSpaceDE w:val="0"/>
        <w:autoSpaceDN w:val="0"/>
        <w:adjustRightInd w:val="0"/>
        <w:spacing w:line="560" w:lineRule="exact"/>
        <w:ind w:firstLine="576" w:firstLineChars="192"/>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特此公告。</w:t>
      </w:r>
    </w:p>
    <w:p w14:paraId="65997D53">
      <w:pPr>
        <w:autoSpaceDE w:val="0"/>
        <w:autoSpaceDN w:val="0"/>
        <w:adjustRightInd w:val="0"/>
        <w:spacing w:line="560" w:lineRule="exact"/>
        <w:ind w:firstLine="576" w:firstLineChars="192"/>
        <w:jc w:val="left"/>
        <w:rPr>
          <w:rFonts w:ascii="Times New Roman" w:hAnsi="Times New Roman" w:eastAsia="仿宋_GB2312"/>
          <w:color w:val="000000"/>
          <w:kern w:val="0"/>
          <w:sz w:val="30"/>
          <w:szCs w:val="30"/>
        </w:rPr>
      </w:pPr>
    </w:p>
    <w:p w14:paraId="38C27149">
      <w:pPr>
        <w:autoSpaceDE w:val="0"/>
        <w:autoSpaceDN w:val="0"/>
        <w:adjustRightInd w:val="0"/>
        <w:spacing w:line="560" w:lineRule="exact"/>
        <w:jc w:val="righ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××××股份有限公司董事会</w:t>
      </w:r>
    </w:p>
    <w:p w14:paraId="21114858">
      <w:pPr>
        <w:spacing w:line="560" w:lineRule="exact"/>
        <w:jc w:val="righ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 xml:space="preserve"> 年  月  日</w:t>
      </w:r>
    </w:p>
    <w:p w14:paraId="75CFE8C5">
      <w:pPr>
        <w:spacing w:line="560" w:lineRule="exact"/>
        <w:jc w:val="right"/>
        <w:rPr>
          <w:rFonts w:ascii="Times New Roman" w:hAnsi="Times New Roman" w:eastAsia="仿宋_GB2312"/>
          <w:color w:val="000000"/>
          <w:kern w:val="0"/>
          <w:sz w:val="30"/>
          <w:szCs w:val="30"/>
        </w:rPr>
      </w:pPr>
    </w:p>
    <w:p w14:paraId="76E55EAA">
      <w:pPr>
        <w:pStyle w:val="15"/>
        <w:numPr>
          <w:ilvl w:val="0"/>
          <w:numId w:val="2"/>
        </w:numPr>
        <w:autoSpaceDE w:val="0"/>
        <w:autoSpaceDN w:val="0"/>
        <w:adjustRightInd w:val="0"/>
        <w:snapToGrid w:val="0"/>
        <w:spacing w:line="560" w:lineRule="exact"/>
        <w:ind w:firstLineChars="0"/>
        <w:rPr>
          <w:rFonts w:ascii="Times New Roman" w:hAnsi="Times New Roman" w:eastAsia="仿宋_GB2312"/>
          <w:b/>
          <w:color w:val="000000"/>
          <w:sz w:val="30"/>
          <w:szCs w:val="30"/>
        </w:rPr>
      </w:pPr>
      <w:r>
        <w:rPr>
          <w:rFonts w:ascii="Times New Roman" w:hAnsi="Times New Roman" w:eastAsia="仿宋_GB2312"/>
          <w:b/>
          <w:color w:val="000000"/>
          <w:sz w:val="30"/>
          <w:szCs w:val="30"/>
        </w:rPr>
        <w:t>上网公告</w:t>
      </w:r>
      <w:r>
        <w:rPr>
          <w:rFonts w:hint="eastAsia" w:ascii="Times New Roman" w:hAnsi="Times New Roman" w:eastAsia="仿宋_GB2312"/>
          <w:b/>
          <w:color w:val="000000"/>
          <w:sz w:val="30"/>
          <w:szCs w:val="30"/>
        </w:rPr>
        <w:t>文件</w:t>
      </w:r>
      <w:r>
        <w:rPr>
          <w:rFonts w:ascii="Times New Roman" w:hAnsi="Times New Roman" w:eastAsia="仿宋_GB2312"/>
          <w:b/>
          <w:color w:val="000000"/>
          <w:sz w:val="30"/>
          <w:szCs w:val="30"/>
        </w:rPr>
        <w:t>（如适用）</w:t>
      </w:r>
    </w:p>
    <w:p w14:paraId="5FD99D31">
      <w:pPr>
        <w:autoSpaceDE w:val="0"/>
        <w:autoSpaceDN w:val="0"/>
        <w:adjustRightInd w:val="0"/>
        <w:spacing w:line="560" w:lineRule="exact"/>
        <w:ind w:firstLine="576" w:firstLineChars="192"/>
        <w:jc w:val="left"/>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1</w:t>
      </w:r>
      <w:r>
        <w:rPr>
          <w:rFonts w:ascii="Times New Roman" w:hAnsi="Times New Roman" w:eastAsia="仿宋_GB2312"/>
          <w:color w:val="000000"/>
          <w:kern w:val="0"/>
          <w:sz w:val="30"/>
          <w:szCs w:val="30"/>
        </w:rPr>
        <w:t>. 会计师事务所意见</w:t>
      </w:r>
    </w:p>
    <w:p w14:paraId="6D07F781">
      <w:pPr>
        <w:autoSpaceDE w:val="0"/>
        <w:autoSpaceDN w:val="0"/>
        <w:adjustRightInd w:val="0"/>
        <w:spacing w:line="560" w:lineRule="exact"/>
        <w:ind w:firstLine="576" w:firstLineChars="192"/>
        <w:jc w:val="left"/>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2</w:t>
      </w:r>
      <w:r>
        <w:rPr>
          <w:rFonts w:ascii="Times New Roman" w:hAnsi="Times New Roman" w:eastAsia="仿宋_GB2312"/>
          <w:color w:val="000000"/>
          <w:kern w:val="0"/>
          <w:sz w:val="30"/>
          <w:szCs w:val="30"/>
        </w:rPr>
        <w:t>. 相关更正后的财务报表（指“19号编报规则”规定的财务报表）及附注</w:t>
      </w:r>
    </w:p>
    <w:p w14:paraId="3B24B4FA">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3</w:t>
      </w:r>
      <w:r>
        <w:rPr>
          <w:rFonts w:ascii="Times New Roman" w:hAnsi="Times New Roman" w:eastAsia="仿宋_GB2312"/>
          <w:color w:val="000000"/>
          <w:kern w:val="0"/>
          <w:sz w:val="30"/>
          <w:szCs w:val="30"/>
        </w:rPr>
        <w:t>. 审计报告或专项鉴证报告</w:t>
      </w:r>
    </w:p>
    <w:p w14:paraId="51EF0784">
      <w:pPr>
        <w:spacing w:line="560" w:lineRule="exact"/>
        <w:jc w:val="right"/>
        <w:rPr>
          <w:rFonts w:ascii="Times New Roman" w:hAnsi="Times New Roman" w:eastAsia="仿宋_GB2312"/>
          <w:color w:val="000000"/>
          <w:kern w:val="0"/>
          <w:sz w:val="30"/>
          <w:szCs w:val="30"/>
        </w:rPr>
      </w:pPr>
    </w:p>
    <w:p w14:paraId="6D7F4AAB">
      <w:pPr>
        <w:autoSpaceDE w:val="0"/>
        <w:autoSpaceDN w:val="0"/>
        <w:adjustRightInd w:val="0"/>
        <w:snapToGrid w:val="0"/>
        <w:spacing w:line="560" w:lineRule="exact"/>
        <w:ind w:firstLine="600" w:firstLineChars="200"/>
        <w:rPr>
          <w:rFonts w:ascii="Times New Roman" w:hAnsi="Times New Roman" w:eastAsia="仿宋_GB2312"/>
          <w:color w:val="000000"/>
          <w:sz w:val="30"/>
          <w:szCs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89488">
    <w:pPr>
      <w:pStyle w:val="4"/>
      <w:jc w:val="center"/>
    </w:pPr>
    <w:r>
      <w:fldChar w:fldCharType="begin"/>
    </w:r>
    <w:r>
      <w:instrText xml:space="preserve"> PAGE   \* MERGEFORMAT </w:instrText>
    </w:r>
    <w:r>
      <w:fldChar w:fldCharType="separate"/>
    </w:r>
    <w:r>
      <w:rPr>
        <w:lang w:val="zh-CN"/>
      </w:rPr>
      <w:t>5</w:t>
    </w:r>
    <w:r>
      <w:fldChar w:fldCharType="end"/>
    </w:r>
  </w:p>
  <w:p w14:paraId="49AC1D3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2B6B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1">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2ECD"/>
    <w:rsid w:val="00000558"/>
    <w:rsid w:val="00014742"/>
    <w:rsid w:val="00054C90"/>
    <w:rsid w:val="00057CD1"/>
    <w:rsid w:val="000A4D89"/>
    <w:rsid w:val="000C3018"/>
    <w:rsid w:val="000D582A"/>
    <w:rsid w:val="00126188"/>
    <w:rsid w:val="001368F4"/>
    <w:rsid w:val="00163881"/>
    <w:rsid w:val="00174672"/>
    <w:rsid w:val="001C2C6E"/>
    <w:rsid w:val="001F6D79"/>
    <w:rsid w:val="00206C3A"/>
    <w:rsid w:val="00216DAC"/>
    <w:rsid w:val="00220010"/>
    <w:rsid w:val="002311AC"/>
    <w:rsid w:val="002418CB"/>
    <w:rsid w:val="0026666C"/>
    <w:rsid w:val="00271B36"/>
    <w:rsid w:val="002D2D69"/>
    <w:rsid w:val="00313A26"/>
    <w:rsid w:val="003376EF"/>
    <w:rsid w:val="00344FB0"/>
    <w:rsid w:val="00390026"/>
    <w:rsid w:val="003A20F5"/>
    <w:rsid w:val="003E712F"/>
    <w:rsid w:val="003F4819"/>
    <w:rsid w:val="00412966"/>
    <w:rsid w:val="004306FB"/>
    <w:rsid w:val="00470AD1"/>
    <w:rsid w:val="00472CB6"/>
    <w:rsid w:val="00473035"/>
    <w:rsid w:val="00473496"/>
    <w:rsid w:val="00482209"/>
    <w:rsid w:val="004970C1"/>
    <w:rsid w:val="004B2BD4"/>
    <w:rsid w:val="004C22B2"/>
    <w:rsid w:val="0050667F"/>
    <w:rsid w:val="005120CD"/>
    <w:rsid w:val="00536C15"/>
    <w:rsid w:val="005771BB"/>
    <w:rsid w:val="00580A76"/>
    <w:rsid w:val="005C62E1"/>
    <w:rsid w:val="005E0B19"/>
    <w:rsid w:val="005E3FCA"/>
    <w:rsid w:val="005F32B5"/>
    <w:rsid w:val="00631267"/>
    <w:rsid w:val="006476C5"/>
    <w:rsid w:val="006754DD"/>
    <w:rsid w:val="006B45CE"/>
    <w:rsid w:val="006D001C"/>
    <w:rsid w:val="006D1816"/>
    <w:rsid w:val="006F3C50"/>
    <w:rsid w:val="007171BD"/>
    <w:rsid w:val="00741B81"/>
    <w:rsid w:val="0076617A"/>
    <w:rsid w:val="00827B17"/>
    <w:rsid w:val="00855EF0"/>
    <w:rsid w:val="00897191"/>
    <w:rsid w:val="008C2AD6"/>
    <w:rsid w:val="008E2F75"/>
    <w:rsid w:val="008E2FF0"/>
    <w:rsid w:val="00904ACA"/>
    <w:rsid w:val="009379E5"/>
    <w:rsid w:val="00960FF3"/>
    <w:rsid w:val="00995E5B"/>
    <w:rsid w:val="009B59D5"/>
    <w:rsid w:val="009C763C"/>
    <w:rsid w:val="009D67C9"/>
    <w:rsid w:val="009E5C73"/>
    <w:rsid w:val="009F6948"/>
    <w:rsid w:val="00A03680"/>
    <w:rsid w:val="00A14747"/>
    <w:rsid w:val="00A22315"/>
    <w:rsid w:val="00A25A73"/>
    <w:rsid w:val="00A317FA"/>
    <w:rsid w:val="00AA1DF6"/>
    <w:rsid w:val="00AA6A97"/>
    <w:rsid w:val="00AB3EFE"/>
    <w:rsid w:val="00AC06DF"/>
    <w:rsid w:val="00AC6182"/>
    <w:rsid w:val="00B05BAC"/>
    <w:rsid w:val="00B32C51"/>
    <w:rsid w:val="00B3338B"/>
    <w:rsid w:val="00B549D4"/>
    <w:rsid w:val="00B70E7C"/>
    <w:rsid w:val="00B828D9"/>
    <w:rsid w:val="00B9405A"/>
    <w:rsid w:val="00BC4FF4"/>
    <w:rsid w:val="00BF2ECD"/>
    <w:rsid w:val="00C07F9F"/>
    <w:rsid w:val="00C338B6"/>
    <w:rsid w:val="00C578DC"/>
    <w:rsid w:val="00C7761A"/>
    <w:rsid w:val="00C86015"/>
    <w:rsid w:val="00C93887"/>
    <w:rsid w:val="00CC586B"/>
    <w:rsid w:val="00CD0630"/>
    <w:rsid w:val="00CD162D"/>
    <w:rsid w:val="00CD2531"/>
    <w:rsid w:val="00D14999"/>
    <w:rsid w:val="00D43452"/>
    <w:rsid w:val="00D9702C"/>
    <w:rsid w:val="00DD5D73"/>
    <w:rsid w:val="00DD75B4"/>
    <w:rsid w:val="00E021D8"/>
    <w:rsid w:val="00E352B2"/>
    <w:rsid w:val="00E46163"/>
    <w:rsid w:val="00E5753C"/>
    <w:rsid w:val="00E6111D"/>
    <w:rsid w:val="00E6786F"/>
    <w:rsid w:val="00EA1F9F"/>
    <w:rsid w:val="00EA7B60"/>
    <w:rsid w:val="00EF0940"/>
    <w:rsid w:val="00F16F1D"/>
    <w:rsid w:val="00F30B5A"/>
    <w:rsid w:val="00F366C4"/>
    <w:rsid w:val="00FE7603"/>
    <w:rsid w:val="00FF49ED"/>
    <w:rsid w:val="1FFC2F87"/>
    <w:rsid w:val="3C720E65"/>
    <w:rsid w:val="3EEA5CAB"/>
    <w:rsid w:val="7EFF76F4"/>
    <w:rsid w:val="F3766DD7"/>
    <w:rsid w:val="F57FF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unhideWhenUsed/>
    <w:qFormat/>
    <w:uiPriority w:val="99"/>
    <w:pPr>
      <w:jc w:val="left"/>
    </w:pPr>
    <w:rPr>
      <w:kern w:val="0"/>
      <w:sz w:val="20"/>
      <w:szCs w:val="20"/>
    </w:rPr>
  </w:style>
  <w:style w:type="paragraph" w:styleId="3">
    <w:name w:val="Balloon Text"/>
    <w:basedOn w:val="1"/>
    <w:link w:val="11"/>
    <w:unhideWhenUsed/>
    <w:qFormat/>
    <w:uiPriority w:val="99"/>
    <w:rPr>
      <w:kern w:val="0"/>
      <w:sz w:val="18"/>
      <w:szCs w:val="18"/>
    </w:rPr>
  </w:style>
  <w:style w:type="paragraph" w:styleId="4">
    <w:name w:val="footer"/>
    <w:basedOn w:val="1"/>
    <w:link w:val="12"/>
    <w:unhideWhenUsed/>
    <w:qFormat/>
    <w:uiPriority w:val="99"/>
    <w:pPr>
      <w:tabs>
        <w:tab w:val="center" w:pos="4153"/>
        <w:tab w:val="right" w:pos="8306"/>
      </w:tabs>
      <w:snapToGrid w:val="0"/>
      <w:jc w:val="left"/>
    </w:pPr>
    <w:rPr>
      <w:kern w:val="0"/>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annotation subject"/>
    <w:basedOn w:val="2"/>
    <w:next w:val="2"/>
    <w:link w:val="14"/>
    <w:unhideWhenUsed/>
    <w:qFormat/>
    <w:uiPriority w:val="99"/>
    <w:rPr>
      <w:b/>
      <w:bCs/>
    </w:rPr>
  </w:style>
  <w:style w:type="character" w:styleId="9">
    <w:name w:val="annotation reference"/>
    <w:unhideWhenUsed/>
    <w:qFormat/>
    <w:uiPriority w:val="99"/>
    <w:rPr>
      <w:sz w:val="21"/>
      <w:szCs w:val="21"/>
    </w:rPr>
  </w:style>
  <w:style w:type="character" w:customStyle="1" w:styleId="10">
    <w:name w:val="批注文字 Char"/>
    <w:link w:val="2"/>
    <w:semiHidden/>
    <w:qFormat/>
    <w:uiPriority w:val="99"/>
    <w:rPr>
      <w:rFonts w:ascii="Calibri" w:hAnsi="Calibri" w:eastAsia="宋体" w:cs="Times New Roman"/>
    </w:rPr>
  </w:style>
  <w:style w:type="character" w:customStyle="1" w:styleId="11">
    <w:name w:val="批注框文本 Char"/>
    <w:link w:val="3"/>
    <w:semiHidden/>
    <w:qFormat/>
    <w:uiPriority w:val="99"/>
    <w:rPr>
      <w:rFonts w:ascii="Calibri" w:hAnsi="Calibri" w:eastAsia="宋体" w:cs="Times New Roman"/>
      <w:sz w:val="18"/>
      <w:szCs w:val="18"/>
    </w:rPr>
  </w:style>
  <w:style w:type="character" w:customStyle="1" w:styleId="12">
    <w:name w:val="页脚 Char"/>
    <w:link w:val="4"/>
    <w:qFormat/>
    <w:uiPriority w:val="99"/>
    <w:rPr>
      <w:rFonts w:ascii="Calibri" w:hAnsi="Calibri" w:eastAsia="宋体" w:cs="Times New Roman"/>
      <w:sz w:val="18"/>
      <w:szCs w:val="18"/>
    </w:rPr>
  </w:style>
  <w:style w:type="character" w:customStyle="1" w:styleId="13">
    <w:name w:val="页眉 Char"/>
    <w:link w:val="5"/>
    <w:qFormat/>
    <w:uiPriority w:val="99"/>
    <w:rPr>
      <w:rFonts w:ascii="Calibri" w:hAnsi="Calibri" w:eastAsia="宋体" w:cs="Times New Roman"/>
      <w:sz w:val="18"/>
      <w:szCs w:val="18"/>
    </w:rPr>
  </w:style>
  <w:style w:type="character" w:customStyle="1" w:styleId="14">
    <w:name w:val="批注主题 Char"/>
    <w:link w:val="6"/>
    <w:semiHidden/>
    <w:qFormat/>
    <w:uiPriority w:val="99"/>
    <w:rPr>
      <w:rFonts w:ascii="Calibri" w:hAnsi="Calibri" w:eastAsia="宋体" w:cs="Times New Roman"/>
      <w:b/>
      <w:bCs/>
    </w:rPr>
  </w:style>
  <w:style w:type="paragraph" w:styleId="15">
    <w:name w:val="List Paragraph"/>
    <w:basedOn w:val="1"/>
    <w:qFormat/>
    <w:uiPriority w:val="34"/>
    <w:pPr>
      <w:ind w:firstLine="420" w:firstLineChars="200"/>
    </w:pPr>
  </w:style>
  <w:style w:type="paragraph" w:customStyle="1" w:styleId="16">
    <w:name w:val="修订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305</Words>
  <Characters>1744</Characters>
  <Lines>14</Lines>
  <Paragraphs>4</Paragraphs>
  <TotalTime>0</TotalTime>
  <ScaleCrop>false</ScaleCrop>
  <LinksUpToDate>false</LinksUpToDate>
  <CharactersWithSpaces>2045</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2023-08-04T18:59:00Z</dcterms:created>
  <dc:creator>whzhou</dc:creator>
  <cp:lastModifiedBy>wentinglou</cp:lastModifiedBy>
  <dcterms:modified xsi:type="dcterms:W3CDTF">2025-08-25T17:25:46Z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769C19EED7FF47CA8CDDBB3F4FDC1757_13</vt:lpwstr>
  </property>
</Properties>
</file>