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40674">
      <w:pPr>
        <w:spacing w:line="560" w:lineRule="exact"/>
        <w:jc w:val="center"/>
        <w:rPr>
          <w:rFonts w:ascii="黑体" w:hAnsi="黑体" w:eastAsia="黑体"/>
          <w:b/>
          <w:bCs/>
          <w:sz w:val="36"/>
          <w:szCs w:val="36"/>
        </w:rPr>
      </w:pPr>
      <w:bookmarkStart w:id="0" w:name="_Toc261813654"/>
      <w:bookmarkStart w:id="1" w:name="_Toc101449316"/>
      <w:bookmarkStart w:id="2" w:name="_Toc679836959"/>
      <w:bookmarkStart w:id="56" w:name="_GoBack"/>
      <w:bookmarkEnd w:id="56"/>
      <w:r>
        <w:rPr>
          <w:rFonts w:hint="eastAsia" w:ascii="黑体" w:hAnsi="黑体" w:eastAsia="黑体"/>
          <w:b/>
          <w:bCs/>
          <w:sz w:val="36"/>
          <w:szCs w:val="36"/>
        </w:rPr>
        <w:t>第四十二号</w:t>
      </w:r>
      <w:r>
        <w:rPr>
          <w:rFonts w:ascii="黑体" w:hAnsi="黑体" w:eastAsia="黑体"/>
          <w:b/>
          <w:bCs/>
          <w:sz w:val="36"/>
          <w:szCs w:val="36"/>
        </w:rPr>
        <w:t xml:space="preserve"> </w:t>
      </w:r>
      <w:r>
        <w:rPr>
          <w:rFonts w:hint="eastAsia" w:ascii="黑体" w:hAnsi="黑体" w:eastAsia="黑体"/>
          <w:b/>
          <w:bCs/>
          <w:sz w:val="36"/>
          <w:szCs w:val="36"/>
        </w:rPr>
        <w:t>上市公司股权激励相关公告</w:t>
      </w:r>
      <w:bookmarkEnd w:id="0"/>
      <w:bookmarkEnd w:id="1"/>
      <w:bookmarkEnd w:id="2"/>
    </w:p>
    <w:p w14:paraId="75B35FD3">
      <w:pPr>
        <w:spacing w:line="560" w:lineRule="exact"/>
      </w:pPr>
    </w:p>
    <w:p w14:paraId="449CC9E8">
      <w:pPr>
        <w:spacing w:line="560" w:lineRule="exact"/>
        <w:ind w:firstLine="600" w:firstLineChars="200"/>
        <w:rPr>
          <w:rFonts w:ascii="仿宋_GB2312" w:eastAsia="仿宋_GB2312"/>
          <w:sz w:val="30"/>
          <w:szCs w:val="30"/>
        </w:rPr>
      </w:pPr>
      <w:bookmarkStart w:id="3" w:name="_Toc1406767873"/>
      <w:bookmarkStart w:id="4" w:name="_Toc108090075"/>
      <w:r>
        <w:rPr>
          <w:rFonts w:hint="eastAsia" w:ascii="仿宋_GB2312" w:hAnsi="仿宋_GB2312" w:eastAsia="仿宋_GB2312" w:cs="仿宋_GB2312"/>
          <w:sz w:val="30"/>
          <w:szCs w:val="30"/>
        </w:rPr>
        <w:t>上市公司披露涉及股权激励草案、权益授予、行权、回购注销等事项，</w:t>
      </w:r>
      <w:r>
        <w:rPr>
          <w:rFonts w:ascii="仿宋_GB2312" w:hAnsi="仿宋_GB2312" w:eastAsia="仿宋_GB2312" w:cs="仿宋_GB2312"/>
          <w:sz w:val="30"/>
          <w:szCs w:val="30"/>
        </w:rPr>
        <w:t>应当</w:t>
      </w:r>
      <w:r>
        <w:rPr>
          <w:rFonts w:hint="eastAsia" w:ascii="仿宋_GB2312" w:hAnsi="仿宋_GB2312" w:eastAsia="仿宋_GB2312" w:cs="仿宋_GB2312"/>
          <w:sz w:val="30"/>
          <w:szCs w:val="30"/>
        </w:rPr>
        <w:t>适用本公告格式。</w:t>
      </w:r>
      <w:bookmarkEnd w:id="3"/>
      <w:bookmarkEnd w:id="4"/>
    </w:p>
    <w:p w14:paraId="5682A090">
      <w:pPr>
        <w:pStyle w:val="11"/>
        <w:tabs>
          <w:tab w:val="right" w:leader="dot" w:pos="8296"/>
        </w:tabs>
        <w:spacing w:line="560" w:lineRule="exact"/>
        <w:rPr>
          <w:rFonts w:ascii="仿宋_GB2312" w:eastAsia="仿宋_GB2312"/>
          <w:sz w:val="30"/>
          <w:szCs w:val="30"/>
        </w:rPr>
      </w:pPr>
      <w:r>
        <w:rPr>
          <w:rFonts w:hint="eastAsia"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p>
    <w:p w14:paraId="674180C8">
      <w:pPr>
        <w:pStyle w:val="11"/>
        <w:tabs>
          <w:tab w:val="right" w:leader="dot" w:pos="8296"/>
        </w:tabs>
        <w:spacing w:line="560" w:lineRule="exact"/>
        <w:rPr>
          <w:rFonts w:ascii="仿宋_GB2312" w:eastAsia="仿宋_GB2312"/>
          <w:b/>
          <w:bCs/>
          <w:sz w:val="30"/>
          <w:szCs w:val="30"/>
        </w:rPr>
      </w:pPr>
      <w:r>
        <w:fldChar w:fldCharType="begin"/>
      </w:r>
      <w:r>
        <w:instrText xml:space="preserve"> HYPERLINK \l "_Toc101449317" </w:instrText>
      </w:r>
      <w:r>
        <w:fldChar w:fldCharType="separate"/>
      </w:r>
      <w:r>
        <w:rPr>
          <w:rStyle w:val="18"/>
          <w:rFonts w:hint="eastAsia" w:ascii="仿宋_GB2312" w:eastAsia="仿宋_GB2312"/>
          <w:b/>
          <w:bCs/>
          <w:sz w:val="30"/>
          <w:szCs w:val="30"/>
        </w:rPr>
        <w:t>一、草案</w:t>
      </w:r>
      <w:r>
        <w:rPr>
          <w:rFonts w:ascii="仿宋_GB2312" w:eastAsia="仿宋_GB2312"/>
          <w:b/>
          <w:bCs/>
          <w:sz w:val="30"/>
          <w:szCs w:val="30"/>
        </w:rPr>
        <w:tab/>
      </w:r>
      <w:r>
        <w:rPr>
          <w:rFonts w:ascii="仿宋_GB2312" w:eastAsia="仿宋_GB2312"/>
          <w:b/>
          <w:bCs/>
          <w:sz w:val="30"/>
          <w:szCs w:val="30"/>
        </w:rPr>
        <w:fldChar w:fldCharType="begin"/>
      </w:r>
      <w:r>
        <w:rPr>
          <w:rFonts w:ascii="仿宋_GB2312" w:eastAsia="仿宋_GB2312"/>
          <w:b/>
          <w:bCs/>
          <w:sz w:val="30"/>
          <w:szCs w:val="30"/>
        </w:rPr>
        <w:instrText xml:space="preserve"> PAGEREF _Toc101449317 \h </w:instrText>
      </w:r>
      <w:r>
        <w:rPr>
          <w:rFonts w:ascii="仿宋_GB2312" w:eastAsia="仿宋_GB2312"/>
          <w:b/>
          <w:bCs/>
          <w:sz w:val="30"/>
          <w:szCs w:val="30"/>
        </w:rPr>
        <w:fldChar w:fldCharType="separate"/>
      </w:r>
      <w:r>
        <w:rPr>
          <w:rFonts w:ascii="仿宋_GB2312" w:eastAsia="仿宋_GB2312"/>
          <w:b/>
          <w:bCs/>
          <w:sz w:val="30"/>
          <w:szCs w:val="30"/>
        </w:rPr>
        <w:t>2</w:t>
      </w:r>
      <w:r>
        <w:rPr>
          <w:rFonts w:ascii="仿宋_GB2312" w:eastAsia="仿宋_GB2312"/>
          <w:b/>
          <w:bCs/>
          <w:sz w:val="30"/>
          <w:szCs w:val="30"/>
        </w:rPr>
        <w:fldChar w:fldCharType="end"/>
      </w:r>
      <w:r>
        <w:rPr>
          <w:rFonts w:ascii="仿宋_GB2312" w:eastAsia="仿宋_GB2312"/>
          <w:b/>
          <w:bCs/>
          <w:sz w:val="30"/>
          <w:szCs w:val="30"/>
        </w:rPr>
        <w:fldChar w:fldCharType="end"/>
      </w:r>
    </w:p>
    <w:p w14:paraId="68B332E6">
      <w:pPr>
        <w:pStyle w:val="12"/>
        <w:tabs>
          <w:tab w:val="right" w:leader="dot" w:pos="8296"/>
        </w:tabs>
        <w:spacing w:line="560" w:lineRule="exact"/>
        <w:rPr>
          <w:rFonts w:ascii="仿宋_GB2312" w:eastAsia="仿宋_GB2312"/>
          <w:sz w:val="30"/>
          <w:szCs w:val="30"/>
        </w:rPr>
      </w:pPr>
      <w:r>
        <w:fldChar w:fldCharType="begin"/>
      </w:r>
      <w:r>
        <w:instrText xml:space="preserve"> HYPERLINK \l "_Toc101449318" </w:instrText>
      </w:r>
      <w:r>
        <w:fldChar w:fldCharType="separate"/>
      </w:r>
      <w:r>
        <w:rPr>
          <w:rStyle w:val="18"/>
          <w:rFonts w:ascii="仿宋_GB2312" w:eastAsia="仿宋_GB2312"/>
          <w:sz w:val="30"/>
          <w:szCs w:val="30"/>
        </w:rPr>
        <w:t>1.</w:t>
      </w:r>
      <w:r>
        <w:rPr>
          <w:rStyle w:val="18"/>
          <w:rFonts w:hint="eastAsia" w:ascii="仿宋_GB2312" w:eastAsia="仿宋_GB2312"/>
          <w:sz w:val="30"/>
          <w:szCs w:val="30"/>
        </w:rPr>
        <w:t>上市公司股权激励计划草案摘要</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_Toc101449318 \h </w:instrText>
      </w:r>
      <w:r>
        <w:rPr>
          <w:rFonts w:ascii="仿宋_GB2312" w:eastAsia="仿宋_GB2312"/>
          <w:sz w:val="30"/>
          <w:szCs w:val="30"/>
        </w:rPr>
        <w:fldChar w:fldCharType="separate"/>
      </w:r>
      <w:r>
        <w:rPr>
          <w:rFonts w:ascii="仿宋_GB2312" w:eastAsia="仿宋_GB2312"/>
          <w:sz w:val="30"/>
          <w:szCs w:val="30"/>
        </w:rPr>
        <w:t>2</w:t>
      </w:r>
      <w:r>
        <w:rPr>
          <w:rFonts w:ascii="仿宋_GB2312" w:eastAsia="仿宋_GB2312"/>
          <w:sz w:val="30"/>
          <w:szCs w:val="30"/>
        </w:rPr>
        <w:fldChar w:fldCharType="end"/>
      </w:r>
      <w:r>
        <w:rPr>
          <w:rFonts w:ascii="仿宋_GB2312" w:eastAsia="仿宋_GB2312"/>
          <w:sz w:val="30"/>
          <w:szCs w:val="30"/>
        </w:rPr>
        <w:fldChar w:fldCharType="end"/>
      </w:r>
    </w:p>
    <w:p w14:paraId="2B85A65E">
      <w:pPr>
        <w:pStyle w:val="11"/>
        <w:tabs>
          <w:tab w:val="right" w:leader="dot" w:pos="8296"/>
        </w:tabs>
        <w:spacing w:line="560" w:lineRule="exact"/>
        <w:rPr>
          <w:rFonts w:ascii="仿宋_GB2312" w:eastAsia="仿宋_GB2312"/>
          <w:b/>
          <w:bCs/>
          <w:sz w:val="30"/>
          <w:szCs w:val="30"/>
        </w:rPr>
      </w:pPr>
      <w:r>
        <w:fldChar w:fldCharType="begin"/>
      </w:r>
      <w:r>
        <w:instrText xml:space="preserve"> HYPERLINK \l "_Toc101449319" </w:instrText>
      </w:r>
      <w:r>
        <w:fldChar w:fldCharType="separate"/>
      </w:r>
      <w:r>
        <w:rPr>
          <w:rStyle w:val="18"/>
          <w:rFonts w:hint="eastAsia" w:ascii="仿宋_GB2312" w:eastAsia="仿宋_GB2312"/>
          <w:b/>
          <w:bCs/>
          <w:sz w:val="30"/>
          <w:szCs w:val="30"/>
        </w:rPr>
        <w:t>二、授予</w:t>
      </w:r>
      <w:r>
        <w:rPr>
          <w:rFonts w:ascii="仿宋_GB2312" w:eastAsia="仿宋_GB2312"/>
          <w:b/>
          <w:bCs/>
          <w:sz w:val="30"/>
          <w:szCs w:val="30"/>
        </w:rPr>
        <w:tab/>
      </w:r>
      <w:r>
        <w:rPr>
          <w:rFonts w:ascii="仿宋_GB2312" w:eastAsia="仿宋_GB2312"/>
          <w:b/>
          <w:bCs/>
          <w:sz w:val="30"/>
          <w:szCs w:val="30"/>
        </w:rPr>
        <w:fldChar w:fldCharType="begin"/>
      </w:r>
      <w:r>
        <w:rPr>
          <w:rFonts w:ascii="仿宋_GB2312" w:eastAsia="仿宋_GB2312"/>
          <w:b/>
          <w:bCs/>
          <w:sz w:val="30"/>
          <w:szCs w:val="30"/>
        </w:rPr>
        <w:instrText xml:space="preserve"> PAGEREF _Toc101449319 \h </w:instrText>
      </w:r>
      <w:r>
        <w:rPr>
          <w:rFonts w:ascii="仿宋_GB2312" w:eastAsia="仿宋_GB2312"/>
          <w:b/>
          <w:bCs/>
          <w:sz w:val="30"/>
          <w:szCs w:val="30"/>
        </w:rPr>
        <w:fldChar w:fldCharType="separate"/>
      </w:r>
      <w:r>
        <w:rPr>
          <w:rFonts w:ascii="仿宋_GB2312" w:eastAsia="仿宋_GB2312"/>
          <w:b/>
          <w:bCs/>
          <w:sz w:val="30"/>
          <w:szCs w:val="30"/>
        </w:rPr>
        <w:t>11</w:t>
      </w:r>
      <w:r>
        <w:rPr>
          <w:rFonts w:ascii="仿宋_GB2312" w:eastAsia="仿宋_GB2312"/>
          <w:b/>
          <w:bCs/>
          <w:sz w:val="30"/>
          <w:szCs w:val="30"/>
        </w:rPr>
        <w:fldChar w:fldCharType="end"/>
      </w:r>
      <w:r>
        <w:rPr>
          <w:rFonts w:ascii="仿宋_GB2312" w:eastAsia="仿宋_GB2312"/>
          <w:b/>
          <w:bCs/>
          <w:sz w:val="30"/>
          <w:szCs w:val="30"/>
        </w:rPr>
        <w:fldChar w:fldCharType="end"/>
      </w:r>
    </w:p>
    <w:p w14:paraId="000B2D8F">
      <w:pPr>
        <w:pStyle w:val="12"/>
        <w:tabs>
          <w:tab w:val="right" w:leader="dot" w:pos="8296"/>
        </w:tabs>
        <w:spacing w:line="560" w:lineRule="exact"/>
        <w:rPr>
          <w:rFonts w:ascii="仿宋_GB2312" w:eastAsia="仿宋_GB2312"/>
          <w:sz w:val="30"/>
          <w:szCs w:val="30"/>
        </w:rPr>
      </w:pPr>
      <w:r>
        <w:fldChar w:fldCharType="begin"/>
      </w:r>
      <w:r>
        <w:instrText xml:space="preserve"> HYPERLINK \l "_Toc101449320" </w:instrText>
      </w:r>
      <w:r>
        <w:fldChar w:fldCharType="separate"/>
      </w:r>
      <w:r>
        <w:rPr>
          <w:rStyle w:val="18"/>
          <w:rFonts w:ascii="仿宋_GB2312" w:eastAsia="仿宋_GB2312"/>
          <w:sz w:val="30"/>
          <w:szCs w:val="30"/>
        </w:rPr>
        <w:t>2.</w:t>
      </w:r>
      <w:r>
        <w:rPr>
          <w:rStyle w:val="18"/>
          <w:rFonts w:hint="eastAsia" w:ascii="仿宋_GB2312" w:eastAsia="仿宋_GB2312"/>
          <w:sz w:val="30"/>
          <w:szCs w:val="30"/>
        </w:rPr>
        <w:t>上市公司股权激励权益授予公告</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_Toc101449320 \h </w:instrText>
      </w:r>
      <w:r>
        <w:rPr>
          <w:rFonts w:ascii="仿宋_GB2312" w:eastAsia="仿宋_GB2312"/>
          <w:sz w:val="30"/>
          <w:szCs w:val="30"/>
        </w:rPr>
        <w:fldChar w:fldCharType="separate"/>
      </w:r>
      <w:r>
        <w:rPr>
          <w:rFonts w:ascii="仿宋_GB2312" w:eastAsia="仿宋_GB2312"/>
          <w:sz w:val="30"/>
          <w:szCs w:val="30"/>
        </w:rPr>
        <w:t>11</w:t>
      </w:r>
      <w:r>
        <w:rPr>
          <w:rFonts w:ascii="仿宋_GB2312" w:eastAsia="仿宋_GB2312"/>
          <w:sz w:val="30"/>
          <w:szCs w:val="30"/>
        </w:rPr>
        <w:fldChar w:fldCharType="end"/>
      </w:r>
      <w:r>
        <w:rPr>
          <w:rFonts w:ascii="仿宋_GB2312" w:eastAsia="仿宋_GB2312"/>
          <w:sz w:val="30"/>
          <w:szCs w:val="30"/>
        </w:rPr>
        <w:fldChar w:fldCharType="end"/>
      </w:r>
    </w:p>
    <w:p w14:paraId="6EC97538">
      <w:pPr>
        <w:pStyle w:val="12"/>
        <w:tabs>
          <w:tab w:val="right" w:leader="dot" w:pos="8296"/>
        </w:tabs>
        <w:spacing w:line="560" w:lineRule="exact"/>
        <w:rPr>
          <w:rFonts w:ascii="仿宋_GB2312" w:eastAsia="仿宋_GB2312"/>
          <w:sz w:val="30"/>
          <w:szCs w:val="30"/>
        </w:rPr>
      </w:pPr>
      <w:r>
        <w:fldChar w:fldCharType="begin"/>
      </w:r>
      <w:r>
        <w:instrText xml:space="preserve"> HYPERLINK \l "_Toc101449321" </w:instrText>
      </w:r>
      <w:r>
        <w:fldChar w:fldCharType="separate"/>
      </w:r>
      <w:r>
        <w:rPr>
          <w:rStyle w:val="18"/>
          <w:rFonts w:ascii="仿宋_GB2312" w:eastAsia="仿宋_GB2312"/>
          <w:sz w:val="30"/>
          <w:szCs w:val="30"/>
        </w:rPr>
        <w:t>3.</w:t>
      </w:r>
      <w:r>
        <w:rPr>
          <w:rStyle w:val="18"/>
          <w:rFonts w:hint="eastAsia" w:ascii="仿宋_GB2312" w:eastAsia="仿宋_GB2312"/>
          <w:sz w:val="30"/>
          <w:szCs w:val="30"/>
        </w:rPr>
        <w:t>上市公司股权激励计划限制性股票授予结果公告</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_Toc101449321 \h </w:instrText>
      </w:r>
      <w:r>
        <w:rPr>
          <w:rFonts w:ascii="仿宋_GB2312" w:eastAsia="仿宋_GB2312"/>
          <w:sz w:val="30"/>
          <w:szCs w:val="30"/>
        </w:rPr>
        <w:fldChar w:fldCharType="separate"/>
      </w:r>
      <w:r>
        <w:rPr>
          <w:rFonts w:ascii="仿宋_GB2312" w:eastAsia="仿宋_GB2312"/>
          <w:sz w:val="30"/>
          <w:szCs w:val="30"/>
        </w:rPr>
        <w:t>15</w:t>
      </w:r>
      <w:r>
        <w:rPr>
          <w:rFonts w:ascii="仿宋_GB2312" w:eastAsia="仿宋_GB2312"/>
          <w:sz w:val="30"/>
          <w:szCs w:val="30"/>
        </w:rPr>
        <w:fldChar w:fldCharType="end"/>
      </w:r>
      <w:r>
        <w:rPr>
          <w:rFonts w:ascii="仿宋_GB2312" w:eastAsia="仿宋_GB2312"/>
          <w:sz w:val="30"/>
          <w:szCs w:val="30"/>
        </w:rPr>
        <w:fldChar w:fldCharType="end"/>
      </w:r>
    </w:p>
    <w:p w14:paraId="5E761F8B">
      <w:pPr>
        <w:pStyle w:val="11"/>
        <w:tabs>
          <w:tab w:val="right" w:leader="dot" w:pos="8296"/>
        </w:tabs>
        <w:spacing w:line="560" w:lineRule="exact"/>
        <w:rPr>
          <w:rFonts w:ascii="仿宋_GB2312" w:eastAsia="仿宋_GB2312"/>
          <w:b/>
          <w:bCs/>
          <w:sz w:val="30"/>
          <w:szCs w:val="30"/>
        </w:rPr>
      </w:pPr>
      <w:r>
        <w:fldChar w:fldCharType="begin"/>
      </w:r>
      <w:r>
        <w:instrText xml:space="preserve"> HYPERLINK \l "_Toc101449322" </w:instrText>
      </w:r>
      <w:r>
        <w:fldChar w:fldCharType="separate"/>
      </w:r>
      <w:r>
        <w:rPr>
          <w:rStyle w:val="18"/>
          <w:rFonts w:hint="eastAsia" w:ascii="仿宋_GB2312" w:eastAsia="仿宋_GB2312"/>
          <w:b/>
          <w:bCs/>
          <w:sz w:val="30"/>
          <w:szCs w:val="30"/>
        </w:rPr>
        <w:t>三、行权</w:t>
      </w:r>
      <w:r>
        <w:rPr>
          <w:rFonts w:ascii="仿宋_GB2312" w:eastAsia="仿宋_GB2312"/>
          <w:b/>
          <w:bCs/>
          <w:sz w:val="30"/>
          <w:szCs w:val="30"/>
        </w:rPr>
        <w:tab/>
      </w:r>
      <w:r>
        <w:rPr>
          <w:rFonts w:ascii="仿宋_GB2312" w:eastAsia="仿宋_GB2312"/>
          <w:b/>
          <w:bCs/>
          <w:sz w:val="30"/>
          <w:szCs w:val="30"/>
        </w:rPr>
        <w:fldChar w:fldCharType="begin"/>
      </w:r>
      <w:r>
        <w:rPr>
          <w:rFonts w:ascii="仿宋_GB2312" w:eastAsia="仿宋_GB2312"/>
          <w:b/>
          <w:bCs/>
          <w:sz w:val="30"/>
          <w:szCs w:val="30"/>
        </w:rPr>
        <w:instrText xml:space="preserve"> PAGEREF _Toc101449322 \h </w:instrText>
      </w:r>
      <w:r>
        <w:rPr>
          <w:rFonts w:ascii="仿宋_GB2312" w:eastAsia="仿宋_GB2312"/>
          <w:b/>
          <w:bCs/>
          <w:sz w:val="30"/>
          <w:szCs w:val="30"/>
        </w:rPr>
        <w:fldChar w:fldCharType="separate"/>
      </w:r>
      <w:r>
        <w:rPr>
          <w:rFonts w:ascii="仿宋_GB2312" w:eastAsia="仿宋_GB2312"/>
          <w:b/>
          <w:bCs/>
          <w:sz w:val="30"/>
          <w:szCs w:val="30"/>
        </w:rPr>
        <w:t>19</w:t>
      </w:r>
      <w:r>
        <w:rPr>
          <w:rFonts w:ascii="仿宋_GB2312" w:eastAsia="仿宋_GB2312"/>
          <w:b/>
          <w:bCs/>
          <w:sz w:val="30"/>
          <w:szCs w:val="30"/>
        </w:rPr>
        <w:fldChar w:fldCharType="end"/>
      </w:r>
      <w:r>
        <w:rPr>
          <w:rFonts w:ascii="仿宋_GB2312" w:eastAsia="仿宋_GB2312"/>
          <w:b/>
          <w:bCs/>
          <w:sz w:val="30"/>
          <w:szCs w:val="30"/>
        </w:rPr>
        <w:fldChar w:fldCharType="end"/>
      </w:r>
    </w:p>
    <w:p w14:paraId="516634F8">
      <w:pPr>
        <w:pStyle w:val="12"/>
        <w:tabs>
          <w:tab w:val="right" w:leader="dot" w:pos="8296"/>
        </w:tabs>
        <w:spacing w:line="560" w:lineRule="exact"/>
        <w:rPr>
          <w:rFonts w:ascii="仿宋_GB2312" w:eastAsia="仿宋_GB2312"/>
          <w:sz w:val="30"/>
          <w:szCs w:val="30"/>
        </w:rPr>
      </w:pPr>
      <w:r>
        <w:fldChar w:fldCharType="begin"/>
      </w:r>
      <w:r>
        <w:instrText xml:space="preserve"> HYPERLINK \l "_Toc101449323" </w:instrText>
      </w:r>
      <w:r>
        <w:fldChar w:fldCharType="separate"/>
      </w:r>
      <w:r>
        <w:rPr>
          <w:rStyle w:val="18"/>
          <w:rFonts w:ascii="仿宋_GB2312" w:eastAsia="仿宋_GB2312"/>
          <w:sz w:val="30"/>
          <w:szCs w:val="30"/>
        </w:rPr>
        <w:t>4.</w:t>
      </w:r>
      <w:r>
        <w:rPr>
          <w:rStyle w:val="18"/>
          <w:rFonts w:hint="eastAsia" w:ascii="仿宋_GB2312" w:eastAsia="仿宋_GB2312"/>
          <w:sz w:val="30"/>
          <w:szCs w:val="30"/>
        </w:rPr>
        <w:t>上市公司股权激励计划限制性股票解锁暨上市公告</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_Toc101449323 \h </w:instrText>
      </w:r>
      <w:r>
        <w:rPr>
          <w:rFonts w:ascii="仿宋_GB2312" w:eastAsia="仿宋_GB2312"/>
          <w:sz w:val="30"/>
          <w:szCs w:val="30"/>
        </w:rPr>
        <w:fldChar w:fldCharType="separate"/>
      </w:r>
      <w:r>
        <w:rPr>
          <w:rFonts w:ascii="仿宋_GB2312" w:eastAsia="仿宋_GB2312"/>
          <w:sz w:val="30"/>
          <w:szCs w:val="30"/>
        </w:rPr>
        <w:t>19</w:t>
      </w:r>
      <w:r>
        <w:rPr>
          <w:rFonts w:ascii="仿宋_GB2312" w:eastAsia="仿宋_GB2312"/>
          <w:sz w:val="30"/>
          <w:szCs w:val="30"/>
        </w:rPr>
        <w:fldChar w:fldCharType="end"/>
      </w:r>
      <w:r>
        <w:rPr>
          <w:rFonts w:ascii="仿宋_GB2312" w:eastAsia="仿宋_GB2312"/>
          <w:sz w:val="30"/>
          <w:szCs w:val="30"/>
        </w:rPr>
        <w:fldChar w:fldCharType="end"/>
      </w:r>
    </w:p>
    <w:p w14:paraId="0C0EB231">
      <w:pPr>
        <w:pStyle w:val="12"/>
        <w:tabs>
          <w:tab w:val="right" w:leader="dot" w:pos="8296"/>
        </w:tabs>
        <w:spacing w:line="560" w:lineRule="exact"/>
        <w:rPr>
          <w:rFonts w:ascii="仿宋_GB2312" w:eastAsia="仿宋_GB2312"/>
          <w:sz w:val="30"/>
          <w:szCs w:val="30"/>
        </w:rPr>
      </w:pPr>
      <w:r>
        <w:fldChar w:fldCharType="begin"/>
      </w:r>
      <w:r>
        <w:instrText xml:space="preserve"> HYPERLINK \l "_Toc101449324" </w:instrText>
      </w:r>
      <w:r>
        <w:fldChar w:fldCharType="separate"/>
      </w:r>
      <w:r>
        <w:rPr>
          <w:rStyle w:val="18"/>
          <w:rFonts w:ascii="仿宋_GB2312" w:eastAsia="仿宋_GB2312"/>
          <w:sz w:val="30"/>
          <w:szCs w:val="30"/>
        </w:rPr>
        <w:t>5.</w:t>
      </w:r>
      <w:r>
        <w:rPr>
          <w:rStyle w:val="18"/>
          <w:rFonts w:hint="eastAsia" w:ascii="仿宋_GB2312" w:eastAsia="仿宋_GB2312"/>
          <w:sz w:val="30"/>
          <w:szCs w:val="30"/>
        </w:rPr>
        <w:t>上市公司股权激励计划股票期权符合行权条件公告</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_Toc101449324 \h </w:instrText>
      </w:r>
      <w:r>
        <w:rPr>
          <w:rFonts w:ascii="仿宋_GB2312" w:eastAsia="仿宋_GB2312"/>
          <w:sz w:val="30"/>
          <w:szCs w:val="30"/>
        </w:rPr>
        <w:fldChar w:fldCharType="separate"/>
      </w:r>
      <w:r>
        <w:rPr>
          <w:rFonts w:ascii="仿宋_GB2312" w:eastAsia="仿宋_GB2312"/>
          <w:sz w:val="30"/>
          <w:szCs w:val="30"/>
        </w:rPr>
        <w:t>23</w:t>
      </w:r>
      <w:r>
        <w:rPr>
          <w:rFonts w:ascii="仿宋_GB2312" w:eastAsia="仿宋_GB2312"/>
          <w:sz w:val="30"/>
          <w:szCs w:val="30"/>
        </w:rPr>
        <w:fldChar w:fldCharType="end"/>
      </w:r>
      <w:r>
        <w:rPr>
          <w:rFonts w:ascii="仿宋_GB2312" w:eastAsia="仿宋_GB2312"/>
          <w:sz w:val="30"/>
          <w:szCs w:val="30"/>
        </w:rPr>
        <w:fldChar w:fldCharType="end"/>
      </w:r>
    </w:p>
    <w:p w14:paraId="4039D174">
      <w:pPr>
        <w:pStyle w:val="12"/>
        <w:tabs>
          <w:tab w:val="right" w:leader="dot" w:pos="8296"/>
        </w:tabs>
        <w:spacing w:line="560" w:lineRule="exact"/>
        <w:rPr>
          <w:rFonts w:ascii="仿宋_GB2312" w:eastAsia="仿宋_GB2312"/>
          <w:sz w:val="30"/>
          <w:szCs w:val="30"/>
        </w:rPr>
      </w:pPr>
      <w:r>
        <w:fldChar w:fldCharType="begin"/>
      </w:r>
      <w:r>
        <w:instrText xml:space="preserve"> HYPERLINK \l "_Toc101449325" </w:instrText>
      </w:r>
      <w:r>
        <w:fldChar w:fldCharType="separate"/>
      </w:r>
      <w:r>
        <w:rPr>
          <w:rStyle w:val="18"/>
          <w:rFonts w:ascii="仿宋_GB2312" w:eastAsia="仿宋_GB2312"/>
          <w:sz w:val="30"/>
          <w:szCs w:val="30"/>
        </w:rPr>
        <w:t>6.</w:t>
      </w:r>
      <w:r>
        <w:rPr>
          <w:rStyle w:val="18"/>
          <w:rFonts w:hint="eastAsia" w:ascii="仿宋_GB2312" w:eastAsia="仿宋_GB2312"/>
          <w:sz w:val="30"/>
          <w:szCs w:val="30"/>
        </w:rPr>
        <w:t>上市公司股权激励计划行权结果暨股份上市公告</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_Toc101449325 \h </w:instrText>
      </w:r>
      <w:r>
        <w:rPr>
          <w:rFonts w:ascii="仿宋_GB2312" w:eastAsia="仿宋_GB2312"/>
          <w:sz w:val="30"/>
          <w:szCs w:val="30"/>
        </w:rPr>
        <w:fldChar w:fldCharType="separate"/>
      </w:r>
      <w:r>
        <w:rPr>
          <w:rFonts w:ascii="仿宋_GB2312" w:eastAsia="仿宋_GB2312"/>
          <w:sz w:val="30"/>
          <w:szCs w:val="30"/>
        </w:rPr>
        <w:t>26</w:t>
      </w:r>
      <w:r>
        <w:rPr>
          <w:rFonts w:ascii="仿宋_GB2312" w:eastAsia="仿宋_GB2312"/>
          <w:sz w:val="30"/>
          <w:szCs w:val="30"/>
        </w:rPr>
        <w:fldChar w:fldCharType="end"/>
      </w:r>
      <w:r>
        <w:rPr>
          <w:rFonts w:ascii="仿宋_GB2312" w:eastAsia="仿宋_GB2312"/>
          <w:sz w:val="30"/>
          <w:szCs w:val="30"/>
        </w:rPr>
        <w:fldChar w:fldCharType="end"/>
      </w:r>
    </w:p>
    <w:p w14:paraId="4D85E199">
      <w:pPr>
        <w:pStyle w:val="11"/>
        <w:tabs>
          <w:tab w:val="right" w:leader="dot" w:pos="8296"/>
        </w:tabs>
        <w:spacing w:line="560" w:lineRule="exact"/>
        <w:rPr>
          <w:rFonts w:ascii="仿宋_GB2312" w:eastAsia="仿宋_GB2312"/>
          <w:b/>
          <w:bCs/>
          <w:sz w:val="30"/>
          <w:szCs w:val="30"/>
        </w:rPr>
      </w:pPr>
      <w:r>
        <w:fldChar w:fldCharType="begin"/>
      </w:r>
      <w:r>
        <w:instrText xml:space="preserve"> HYPERLINK \l "_Toc101449326" </w:instrText>
      </w:r>
      <w:r>
        <w:fldChar w:fldCharType="separate"/>
      </w:r>
      <w:r>
        <w:rPr>
          <w:rStyle w:val="18"/>
          <w:rFonts w:ascii="仿宋_GB2312" w:hAnsi="黑体" w:eastAsia="仿宋_GB2312" w:cs="Times New Roman"/>
          <w:b/>
          <w:bCs/>
          <w:sz w:val="30"/>
          <w:szCs w:val="30"/>
        </w:rPr>
        <w:t>四、回购注销</w:t>
      </w:r>
      <w:r>
        <w:rPr>
          <w:rFonts w:ascii="仿宋_GB2312" w:eastAsia="仿宋_GB2312"/>
          <w:b/>
          <w:bCs/>
          <w:sz w:val="30"/>
          <w:szCs w:val="30"/>
        </w:rPr>
        <w:tab/>
      </w:r>
      <w:r>
        <w:rPr>
          <w:rFonts w:ascii="仿宋_GB2312" w:eastAsia="仿宋_GB2312"/>
          <w:b/>
          <w:bCs/>
          <w:sz w:val="30"/>
          <w:szCs w:val="30"/>
        </w:rPr>
        <w:fldChar w:fldCharType="begin"/>
      </w:r>
      <w:r>
        <w:rPr>
          <w:rFonts w:ascii="仿宋_GB2312" w:eastAsia="仿宋_GB2312"/>
          <w:b/>
          <w:bCs/>
          <w:sz w:val="30"/>
          <w:szCs w:val="30"/>
        </w:rPr>
        <w:instrText xml:space="preserve"> PAGEREF _Toc101449326 \h </w:instrText>
      </w:r>
      <w:r>
        <w:rPr>
          <w:rFonts w:ascii="仿宋_GB2312" w:eastAsia="仿宋_GB2312"/>
          <w:b/>
          <w:bCs/>
          <w:sz w:val="30"/>
          <w:szCs w:val="30"/>
        </w:rPr>
        <w:fldChar w:fldCharType="separate"/>
      </w:r>
      <w:r>
        <w:rPr>
          <w:rFonts w:ascii="仿宋_GB2312" w:eastAsia="仿宋_GB2312"/>
          <w:b/>
          <w:bCs/>
          <w:sz w:val="30"/>
          <w:szCs w:val="30"/>
        </w:rPr>
        <w:t>31</w:t>
      </w:r>
      <w:r>
        <w:rPr>
          <w:rFonts w:ascii="仿宋_GB2312" w:eastAsia="仿宋_GB2312"/>
          <w:b/>
          <w:bCs/>
          <w:sz w:val="30"/>
          <w:szCs w:val="30"/>
        </w:rPr>
        <w:fldChar w:fldCharType="end"/>
      </w:r>
      <w:r>
        <w:rPr>
          <w:rFonts w:ascii="仿宋_GB2312" w:eastAsia="仿宋_GB2312"/>
          <w:b/>
          <w:bCs/>
          <w:sz w:val="30"/>
          <w:szCs w:val="30"/>
        </w:rPr>
        <w:fldChar w:fldCharType="end"/>
      </w:r>
    </w:p>
    <w:p w14:paraId="58EEB1F4">
      <w:pPr>
        <w:pStyle w:val="12"/>
        <w:tabs>
          <w:tab w:val="right" w:leader="dot" w:pos="8296"/>
        </w:tabs>
        <w:spacing w:line="560" w:lineRule="exact"/>
        <w:rPr>
          <w:rFonts w:ascii="仿宋_GB2312" w:eastAsia="仿宋_GB2312"/>
          <w:sz w:val="30"/>
          <w:szCs w:val="30"/>
        </w:rPr>
      </w:pPr>
      <w:r>
        <w:fldChar w:fldCharType="begin"/>
      </w:r>
      <w:r>
        <w:instrText xml:space="preserve"> HYPERLINK \l "_Toc101449327" </w:instrText>
      </w:r>
      <w:r>
        <w:fldChar w:fldCharType="separate"/>
      </w:r>
      <w:r>
        <w:rPr>
          <w:rStyle w:val="18"/>
          <w:rFonts w:ascii="仿宋_GB2312" w:eastAsia="仿宋_GB2312"/>
          <w:sz w:val="30"/>
          <w:szCs w:val="30"/>
        </w:rPr>
        <w:t>7.</w:t>
      </w:r>
      <w:r>
        <w:rPr>
          <w:rStyle w:val="18"/>
          <w:rFonts w:hint="eastAsia" w:ascii="仿宋_GB2312" w:eastAsia="仿宋_GB2312"/>
          <w:sz w:val="30"/>
          <w:szCs w:val="30"/>
        </w:rPr>
        <w:t>上市公司股权激励限制性股票回购注销实施公告</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_Toc101449327 \h </w:instrText>
      </w:r>
      <w:r>
        <w:rPr>
          <w:rFonts w:ascii="仿宋_GB2312" w:eastAsia="仿宋_GB2312"/>
          <w:sz w:val="30"/>
          <w:szCs w:val="30"/>
        </w:rPr>
        <w:fldChar w:fldCharType="separate"/>
      </w:r>
      <w:r>
        <w:rPr>
          <w:rFonts w:ascii="仿宋_GB2312" w:eastAsia="仿宋_GB2312"/>
          <w:sz w:val="30"/>
          <w:szCs w:val="30"/>
        </w:rPr>
        <w:t>31</w:t>
      </w:r>
      <w:r>
        <w:rPr>
          <w:rFonts w:ascii="仿宋_GB2312" w:eastAsia="仿宋_GB2312"/>
          <w:sz w:val="30"/>
          <w:szCs w:val="30"/>
        </w:rPr>
        <w:fldChar w:fldCharType="end"/>
      </w:r>
      <w:r>
        <w:rPr>
          <w:rFonts w:ascii="仿宋_GB2312" w:eastAsia="仿宋_GB2312"/>
          <w:sz w:val="30"/>
          <w:szCs w:val="30"/>
        </w:rPr>
        <w:fldChar w:fldCharType="end"/>
      </w:r>
    </w:p>
    <w:p w14:paraId="04BE22A1">
      <w:pPr>
        <w:spacing w:line="560" w:lineRule="exact"/>
        <w:ind w:firstLine="600" w:firstLineChars="200"/>
        <w:rPr>
          <w:rFonts w:ascii="仿宋_GB2312" w:hAnsi="仿宋_GB2312" w:eastAsia="仿宋_GB2312" w:cs="仿宋_GB2312"/>
          <w:sz w:val="24"/>
          <w:szCs w:val="24"/>
        </w:rPr>
      </w:pPr>
      <w:r>
        <w:rPr>
          <w:rFonts w:hint="eastAsia" w:ascii="仿宋_GB2312" w:hAnsi="仿宋_GB2312" w:eastAsia="仿宋_GB2312" w:cs="仿宋_GB2312"/>
          <w:sz w:val="30"/>
          <w:szCs w:val="30"/>
        </w:rPr>
        <w:fldChar w:fldCharType="end"/>
      </w:r>
    </w:p>
    <w:p w14:paraId="74053664">
      <w:pPr>
        <w:widowControl/>
        <w:spacing w:line="560" w:lineRule="exact"/>
        <w:jc w:val="left"/>
        <w:rPr>
          <w:sz w:val="30"/>
          <w:szCs w:val="30"/>
        </w:rPr>
      </w:pPr>
      <w:bookmarkStart w:id="5" w:name="_Toc57800058"/>
      <w:r>
        <w:rPr>
          <w:sz w:val="30"/>
          <w:szCs w:val="30"/>
        </w:rPr>
        <w:br w:type="page"/>
      </w:r>
    </w:p>
    <w:p w14:paraId="08B32270">
      <w:pPr>
        <w:pStyle w:val="2"/>
        <w:spacing w:before="0" w:after="0" w:line="560" w:lineRule="exact"/>
        <w:rPr>
          <w:sz w:val="32"/>
          <w:szCs w:val="40"/>
        </w:rPr>
      </w:pPr>
      <w:bookmarkStart w:id="6" w:name="_Toc1900171688"/>
      <w:bookmarkStart w:id="7" w:name="_Toc101449317"/>
      <w:bookmarkStart w:id="8" w:name="_Toc2046208810"/>
      <w:r>
        <w:rPr>
          <w:rFonts w:hint="eastAsia"/>
          <w:sz w:val="32"/>
          <w:szCs w:val="40"/>
        </w:rPr>
        <w:t>一、 草案</w:t>
      </w:r>
      <w:bookmarkEnd w:id="5"/>
      <w:bookmarkEnd w:id="6"/>
      <w:bookmarkEnd w:id="7"/>
      <w:bookmarkEnd w:id="8"/>
    </w:p>
    <w:p w14:paraId="638E4E66">
      <w:pPr>
        <w:pStyle w:val="3"/>
        <w:spacing w:line="560" w:lineRule="exact"/>
        <w:rPr>
          <w:rFonts w:ascii="黑体" w:hAnsi="黑体"/>
        </w:rPr>
      </w:pPr>
      <w:bookmarkStart w:id="9" w:name="_Toc101449318"/>
      <w:bookmarkStart w:id="10" w:name="_Toc57800059"/>
      <w:bookmarkStart w:id="11" w:name="_Toc956245679"/>
      <w:r>
        <w:rPr>
          <w:rFonts w:hint="eastAsia" w:ascii="黑体" w:hAnsi="黑体"/>
        </w:rPr>
        <w:t>1.上市公司股权激励计划草案摘要</w:t>
      </w:r>
      <w:bookmarkEnd w:id="9"/>
      <w:bookmarkEnd w:id="10"/>
      <w:bookmarkEnd w:id="11"/>
    </w:p>
    <w:p w14:paraId="34CE6E96">
      <w:pPr>
        <w:spacing w:line="560" w:lineRule="exact"/>
        <w:rPr>
          <w:rFonts w:ascii="仿宋_GB2312" w:hAnsi="宋体" w:eastAsia="仿宋_GB2312" w:cs="Times New Roman"/>
          <w:b/>
          <w:sz w:val="30"/>
          <w:szCs w:val="30"/>
        </w:rPr>
      </w:pPr>
    </w:p>
    <w:p w14:paraId="679EA4F5">
      <w:pPr>
        <w:spacing w:line="560" w:lineRule="exact"/>
        <w:rPr>
          <w:rFonts w:ascii="仿宋_GB2312" w:hAnsi="黑体" w:eastAsia="仿宋_GB2312"/>
          <w:sz w:val="30"/>
          <w:szCs w:val="30"/>
        </w:rPr>
      </w:pPr>
      <w:r>
        <w:rPr>
          <w:rFonts w:hint="eastAsia" w:ascii="仿宋_GB2312" w:hAnsi="宋体" w:eastAsia="仿宋_GB2312" w:cs="Times New Roman"/>
          <w:b/>
          <w:sz w:val="30"/>
          <w:szCs w:val="30"/>
        </w:rPr>
        <w:t>适用情形：</w:t>
      </w:r>
    </w:p>
    <w:p w14:paraId="17C1786B">
      <w:pPr>
        <w:snapToGrid w:val="0"/>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本公告格式适用于公司董事会审议通过公司股权激励计划草案。</w:t>
      </w:r>
    </w:p>
    <w:p w14:paraId="06F4BE0D">
      <w:pPr>
        <w:snapToGrid w:val="0"/>
        <w:spacing w:line="560" w:lineRule="exact"/>
        <w:ind w:firstLine="600" w:firstLineChars="200"/>
        <w:rPr>
          <w:rFonts w:ascii="仿宋_GB2312" w:hAnsi="宋体" w:eastAsia="仿宋_GB2312" w:cs="Times New Roman"/>
          <w:sz w:val="30"/>
          <w:szCs w:val="30"/>
        </w:rPr>
      </w:pPr>
    </w:p>
    <w:p w14:paraId="5444029F">
      <w:pPr>
        <w:adjustRightInd w:val="0"/>
        <w:snapToGrid w:val="0"/>
        <w:spacing w:line="5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证券代码：             证券简称：            公告编号：</w:t>
      </w:r>
    </w:p>
    <w:p w14:paraId="170B6F9F">
      <w:pPr>
        <w:adjustRightInd w:val="0"/>
        <w:snapToGrid w:val="0"/>
        <w:spacing w:line="560" w:lineRule="exact"/>
        <w:ind w:firstLine="600" w:firstLineChars="200"/>
        <w:jc w:val="left"/>
        <w:rPr>
          <w:rFonts w:ascii="仿宋_GB2312" w:hAnsi="仿宋_GB2312" w:eastAsia="仿宋_GB2312" w:cs="仿宋_GB2312"/>
          <w:sz w:val="30"/>
          <w:szCs w:val="30"/>
        </w:rPr>
      </w:pPr>
    </w:p>
    <w:p w14:paraId="272F31C8">
      <w:pPr>
        <w:pStyle w:val="22"/>
        <w:spacing w:line="56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XXXX股份有限公司股权激励计划草案摘要</w:t>
      </w:r>
    </w:p>
    <w:p w14:paraId="5AF44E69">
      <w:pPr>
        <w:pStyle w:val="22"/>
        <w:spacing w:line="560" w:lineRule="exact"/>
        <w:jc w:val="center"/>
        <w:rPr>
          <w:rFonts w:ascii="宋体"/>
          <w:color w:val="000000"/>
          <w:sz w:val="30"/>
          <w:szCs w:val="30"/>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03F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6520F16">
            <w:pPr>
              <w:snapToGrid w:val="0"/>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本公司董事会及全体董事保证本公告内容不存在任何虚假记载、误导性陈述或者重大遗漏，并对其内容的真实性、准确性和完整性承担法律责任。</w:t>
            </w:r>
          </w:p>
          <w:p w14:paraId="2DED8C08">
            <w:pPr>
              <w:snapToGrid w:val="0"/>
              <w:spacing w:line="560" w:lineRule="exact"/>
              <w:ind w:firstLine="600" w:firstLineChars="200"/>
              <w:rPr>
                <w:rFonts w:ascii="宋体" w:hAnsi="宋体" w:eastAsia="宋体" w:cs="Times New Roman"/>
                <w:color w:val="000000"/>
                <w:sz w:val="30"/>
                <w:szCs w:val="30"/>
              </w:rPr>
            </w:pPr>
            <w:r>
              <w:rPr>
                <w:rFonts w:hint="eastAsia" w:ascii="仿宋_GB2312" w:hAnsi="宋体" w:eastAsia="仿宋_GB2312" w:cs="Times New Roman"/>
                <w:sz w:val="30"/>
                <w:szCs w:val="30"/>
              </w:rPr>
              <w:t>如有董事对临时公告内容的真实性、准确性和完整性无法保证或存在异议的，公司</w:t>
            </w:r>
            <w:r>
              <w:rPr>
                <w:rFonts w:ascii="仿宋_GB2312" w:hAnsi="宋体" w:eastAsia="仿宋_GB2312" w:cs="Times New Roman"/>
                <w:sz w:val="30"/>
                <w:szCs w:val="30"/>
              </w:rPr>
              <w:t>应当</w:t>
            </w:r>
            <w:r>
              <w:rPr>
                <w:rFonts w:hint="eastAsia" w:ascii="仿宋_GB2312" w:hAnsi="宋体" w:eastAsia="仿宋_GB2312" w:cs="Times New Roman"/>
                <w:sz w:val="30"/>
                <w:szCs w:val="30"/>
              </w:rPr>
              <w:t>在公告中作特别提示。</w:t>
            </w:r>
          </w:p>
        </w:tc>
      </w:tr>
    </w:tbl>
    <w:p w14:paraId="20ACC8FA">
      <w:pPr>
        <w:snapToGrid w:val="0"/>
        <w:spacing w:line="560" w:lineRule="exact"/>
        <w:ind w:firstLine="600" w:firstLineChars="200"/>
        <w:rPr>
          <w:rFonts w:ascii="仿宋_GB2312" w:hAnsi="宋体" w:eastAsia="仿宋_GB2312" w:cs="Times New Roman"/>
          <w:sz w:val="30"/>
          <w:szCs w:val="30"/>
        </w:rPr>
      </w:pPr>
    </w:p>
    <w:p w14:paraId="30575F10">
      <w:pPr>
        <w:spacing w:line="560" w:lineRule="exact"/>
        <w:ind w:firstLine="602" w:firstLineChars="200"/>
        <w:rPr>
          <w:rFonts w:ascii="仿宋_GB2312" w:hAnsi="宋体" w:eastAsia="仿宋_GB2312" w:cs="Times New Roman"/>
          <w:sz w:val="30"/>
          <w:szCs w:val="30"/>
        </w:rPr>
      </w:pPr>
      <w:r>
        <w:rPr>
          <w:rFonts w:hint="eastAsia" w:ascii="仿宋_GB2312" w:hAnsi="宋体" w:eastAsia="仿宋_GB2312" w:cs="Times New Roman"/>
          <w:b/>
          <w:sz w:val="30"/>
          <w:szCs w:val="30"/>
        </w:rPr>
        <w:t>重要内容提示：</w:t>
      </w:r>
    </w:p>
    <w:p w14:paraId="6CD78018">
      <w:pPr>
        <w:numPr>
          <w:ilvl w:val="0"/>
          <w:numId w:val="1"/>
        </w:numPr>
        <w:spacing w:line="560" w:lineRule="exact"/>
        <w:rPr>
          <w:rFonts w:ascii="仿宋_GB2312" w:hAnsi="宋体" w:eastAsia="仿宋_GB2312" w:cs="Times New Roman"/>
          <w:sz w:val="30"/>
          <w:szCs w:val="30"/>
        </w:rPr>
      </w:pPr>
      <w:r>
        <w:rPr>
          <w:rFonts w:hint="eastAsia" w:ascii="仿宋_GB2312" w:hAnsi="宋体" w:eastAsia="仿宋_GB2312" w:cs="Times New Roman"/>
          <w:sz w:val="30"/>
          <w:szCs w:val="30"/>
        </w:rPr>
        <w:t>股权激励方式：限制性股票或股票期权或二者相结合</w:t>
      </w:r>
    </w:p>
    <w:p w14:paraId="336BFB91">
      <w:pPr>
        <w:numPr>
          <w:ilvl w:val="0"/>
          <w:numId w:val="1"/>
        </w:numPr>
        <w:spacing w:line="560" w:lineRule="exact"/>
        <w:rPr>
          <w:rFonts w:ascii="仿宋_GB2312" w:hAnsi="宋体" w:eastAsia="仿宋_GB2312" w:cs="Times New Roman"/>
          <w:sz w:val="30"/>
          <w:szCs w:val="30"/>
        </w:rPr>
      </w:pPr>
      <w:r>
        <w:rPr>
          <w:rFonts w:hint="eastAsia" w:ascii="仿宋_GB2312" w:hAnsi="宋体" w:eastAsia="仿宋_GB2312" w:cs="Times New Roman"/>
          <w:sz w:val="30"/>
          <w:szCs w:val="30"/>
        </w:rPr>
        <w:t>股份来源：定向发行、定向回购、从二级市场回购、其他方式</w:t>
      </w:r>
    </w:p>
    <w:p w14:paraId="565AC58B">
      <w:pPr>
        <w:numPr>
          <w:ilvl w:val="0"/>
          <w:numId w:val="1"/>
        </w:numPr>
        <w:spacing w:line="560" w:lineRule="exact"/>
        <w:rPr>
          <w:rFonts w:ascii="仿宋_GB2312" w:hAnsi="宋体" w:eastAsia="仿宋_GB2312" w:cs="Times New Roman"/>
          <w:sz w:val="30"/>
          <w:szCs w:val="30"/>
        </w:rPr>
      </w:pPr>
      <w:r>
        <w:rPr>
          <w:rFonts w:hint="eastAsia" w:ascii="仿宋_GB2312" w:hAnsi="宋体" w:eastAsia="仿宋_GB2312" w:cs="Times New Roman"/>
          <w:sz w:val="30"/>
          <w:szCs w:val="30"/>
        </w:rPr>
        <w:t>股权激励的权益总数及涉及的标的股票总数，预留权益数量及占比</w:t>
      </w:r>
    </w:p>
    <w:p w14:paraId="1F453AB1">
      <w:pPr>
        <w:spacing w:line="560" w:lineRule="exact"/>
        <w:ind w:left="900"/>
        <w:rPr>
          <w:rFonts w:ascii="仿宋_GB2312" w:hAnsi="宋体" w:eastAsia="仿宋_GB2312" w:cs="Times New Roman"/>
          <w:sz w:val="30"/>
          <w:szCs w:val="30"/>
        </w:rPr>
      </w:pPr>
    </w:p>
    <w:p w14:paraId="5CBBF9C9">
      <w:pPr>
        <w:spacing w:line="560" w:lineRule="exact"/>
        <w:ind w:firstLine="602" w:firstLineChars="200"/>
        <w:rPr>
          <w:rFonts w:ascii="黑体" w:hAnsi="黑体" w:eastAsia="黑体" w:cs="Times New Roman"/>
          <w:sz w:val="30"/>
          <w:szCs w:val="30"/>
        </w:rPr>
      </w:pPr>
      <w:r>
        <w:rPr>
          <w:rFonts w:hint="eastAsia" w:ascii="黑体" w:hAnsi="黑体" w:eastAsia="黑体" w:cs="Times New Roman"/>
          <w:b/>
          <w:sz w:val="30"/>
          <w:szCs w:val="30"/>
        </w:rPr>
        <w:t>一、公司基本情况</w:t>
      </w:r>
    </w:p>
    <w:p w14:paraId="046B2483">
      <w:pPr>
        <w:spacing w:line="560" w:lineRule="exact"/>
        <w:ind w:firstLine="480"/>
        <w:rPr>
          <w:rFonts w:ascii="仿宋_GB2312" w:hAnsi="宋体" w:eastAsia="仿宋_GB2312" w:cs="Times New Roman"/>
          <w:sz w:val="30"/>
          <w:szCs w:val="30"/>
        </w:rPr>
      </w:pPr>
      <w:r>
        <w:rPr>
          <w:rFonts w:hint="eastAsia" w:ascii="仿宋_GB2312" w:hAnsi="宋体" w:eastAsia="仿宋_GB2312" w:cs="Times New Roman"/>
          <w:sz w:val="30"/>
          <w:szCs w:val="30"/>
        </w:rPr>
        <w:t>披露上市公司基本情况，包括主营业务、最近三年业绩情况、董事会、高管层构成情况等。</w:t>
      </w:r>
    </w:p>
    <w:p w14:paraId="792ED114">
      <w:pPr>
        <w:spacing w:line="560" w:lineRule="exact"/>
        <w:ind w:firstLine="480"/>
        <w:rPr>
          <w:rFonts w:ascii="仿宋_GB2312" w:hAnsi="宋体" w:eastAsia="仿宋_GB2312" w:cs="Times New Roman"/>
          <w:sz w:val="30"/>
          <w:szCs w:val="30"/>
        </w:rPr>
      </w:pPr>
      <w:r>
        <w:rPr>
          <w:rFonts w:hint="eastAsia" w:ascii="楷体" w:hAnsi="楷体" w:eastAsia="楷体"/>
          <w:sz w:val="24"/>
          <w:szCs w:val="24"/>
        </w:rPr>
        <w:t>（编制提醒：最近三年业绩情况包括但不限于公司总资产、净资产以及扣除非经常性损益前后的净利润、每股收益、每股净资产、加权平均净资产收益率等基本财务指标，且必须包括股权激励计划设定的业绩指标。）</w:t>
      </w:r>
    </w:p>
    <w:p w14:paraId="508F5FC1">
      <w:pPr>
        <w:spacing w:line="560" w:lineRule="exact"/>
        <w:ind w:firstLine="480"/>
        <w:rPr>
          <w:rFonts w:ascii="仿宋_GB2312" w:hAnsi="宋体" w:eastAsia="仿宋_GB2312" w:cs="Times New Roman"/>
          <w:sz w:val="30"/>
          <w:szCs w:val="30"/>
        </w:rPr>
      </w:pPr>
    </w:p>
    <w:p w14:paraId="5B73C13E">
      <w:pPr>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二、股权激励计划目的</w:t>
      </w:r>
    </w:p>
    <w:p w14:paraId="5CF4288A">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披露上市公司实施股权激励计划的具体目的。</w:t>
      </w:r>
    </w:p>
    <w:p w14:paraId="7C2C61B4">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公司是否同时实施其他股权激励计划以及其他长期激励机制，如有，披露其他股权激励计划及长期激励机制的简要情况，并说明其与本次股权激励计划是否存在关系。</w:t>
      </w:r>
    </w:p>
    <w:p w14:paraId="0033FDE9">
      <w:pPr>
        <w:spacing w:line="560" w:lineRule="exact"/>
        <w:ind w:firstLine="600" w:firstLineChars="200"/>
        <w:rPr>
          <w:rFonts w:ascii="仿宋_GB2312" w:hAnsi="宋体" w:eastAsia="仿宋_GB2312" w:cs="Times New Roman"/>
          <w:sz w:val="30"/>
          <w:szCs w:val="30"/>
        </w:rPr>
      </w:pPr>
    </w:p>
    <w:p w14:paraId="5A8B6775">
      <w:pPr>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三、股权激励方式及标的股票来源</w:t>
      </w:r>
    </w:p>
    <w:p w14:paraId="32F7F1FE">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股权激励方式是限制性股票和股票期权两种方式中的一种或两种。</w:t>
      </w:r>
    </w:p>
    <w:p w14:paraId="2B78725F">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标的股票的来源是向激励对象发行股份、从二级市场回购本公司股份或</w:t>
      </w:r>
      <w:r>
        <w:rPr>
          <w:rFonts w:hint="eastAsia" w:ascii="仿宋_GB2312" w:hAnsi="宋体" w:eastAsia="仿宋_GB2312" w:cs="Times New Roman"/>
          <w:sz w:val="30"/>
          <w:szCs w:val="30"/>
          <w:lang w:eastAsia="zh-CN"/>
        </w:rPr>
        <w:t>法律</w:t>
      </w:r>
      <w:r>
        <w:rPr>
          <w:rFonts w:hint="eastAsia" w:ascii="仿宋_GB2312" w:hAnsi="宋体" w:eastAsia="仿宋_GB2312" w:cs="Times New Roman"/>
          <w:sz w:val="30"/>
          <w:szCs w:val="30"/>
        </w:rPr>
        <w:t>、</w:t>
      </w:r>
      <w:r>
        <w:rPr>
          <w:rFonts w:hint="eastAsia" w:ascii="仿宋_GB2312" w:hAnsi="宋体" w:eastAsia="仿宋_GB2312" w:cs="Times New Roman"/>
          <w:sz w:val="30"/>
          <w:szCs w:val="30"/>
          <w:lang w:eastAsia="zh-CN"/>
        </w:rPr>
        <w:t>行政法规允许的</w:t>
      </w:r>
      <w:r>
        <w:rPr>
          <w:rFonts w:hint="eastAsia" w:ascii="仿宋_GB2312" w:hAnsi="宋体" w:eastAsia="仿宋_GB2312" w:cs="Times New Roman"/>
          <w:sz w:val="30"/>
          <w:szCs w:val="30"/>
        </w:rPr>
        <w:t>其他方式。以定向发行为股票来源的，</w:t>
      </w:r>
      <w:r>
        <w:rPr>
          <w:rFonts w:ascii="仿宋_GB2312" w:hAnsi="宋体" w:eastAsia="仿宋_GB2312" w:cs="Times New Roman"/>
          <w:sz w:val="30"/>
          <w:szCs w:val="30"/>
        </w:rPr>
        <w:t>应当</w:t>
      </w:r>
      <w:r>
        <w:rPr>
          <w:rFonts w:hint="eastAsia" w:ascii="仿宋_GB2312" w:hAnsi="宋体" w:eastAsia="仿宋_GB2312" w:cs="Times New Roman"/>
          <w:sz w:val="30"/>
          <w:szCs w:val="30"/>
        </w:rPr>
        <w:t>说明拟发行的股票种类。以回购本公司股份为股票来源的，</w:t>
      </w:r>
      <w:r>
        <w:rPr>
          <w:rFonts w:ascii="仿宋_GB2312" w:hAnsi="宋体" w:eastAsia="仿宋_GB2312" w:cs="Times New Roman"/>
          <w:sz w:val="30"/>
          <w:szCs w:val="30"/>
        </w:rPr>
        <w:t>应当</w:t>
      </w:r>
      <w:r>
        <w:rPr>
          <w:rFonts w:hint="eastAsia" w:ascii="仿宋_GB2312" w:hAnsi="宋体" w:eastAsia="仿宋_GB2312" w:cs="Times New Roman"/>
          <w:sz w:val="30"/>
          <w:szCs w:val="30"/>
        </w:rPr>
        <w:t>说明回购资金安排及对公司的财务影响、回购程序。以其他方式为股票来源的，</w:t>
      </w:r>
      <w:r>
        <w:rPr>
          <w:rFonts w:ascii="仿宋_GB2312" w:hAnsi="宋体" w:eastAsia="仿宋_GB2312" w:cs="Times New Roman"/>
          <w:sz w:val="30"/>
          <w:szCs w:val="30"/>
        </w:rPr>
        <w:t>应当</w:t>
      </w:r>
      <w:r>
        <w:rPr>
          <w:rFonts w:hint="eastAsia" w:ascii="仿宋_GB2312" w:hAnsi="宋体" w:eastAsia="仿宋_GB2312" w:cs="Times New Roman"/>
          <w:sz w:val="30"/>
          <w:szCs w:val="30"/>
        </w:rPr>
        <w:t>详细说明股份的来源、交付方式及对公司的财务影响。</w:t>
      </w:r>
    </w:p>
    <w:p w14:paraId="16A22709">
      <w:pPr>
        <w:spacing w:line="560" w:lineRule="exact"/>
        <w:ind w:firstLine="600" w:firstLineChars="200"/>
        <w:rPr>
          <w:rFonts w:ascii="仿宋_GB2312" w:hAnsi="宋体" w:eastAsia="仿宋_GB2312" w:cs="Times New Roman"/>
          <w:sz w:val="30"/>
          <w:szCs w:val="30"/>
        </w:rPr>
      </w:pPr>
    </w:p>
    <w:p w14:paraId="52D50A1B">
      <w:pPr>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 xml:space="preserve">四、拟授出的权益数量 </w:t>
      </w:r>
    </w:p>
    <w:p w14:paraId="54F21DBD">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披露股权激励计划拟授出的权益数量、所涉及的标的股票数量及占上市公司股本总额的百分比；若分次实施的，每次拟授出的权益数量、所涉及的标的股票数量及占股权激励计划涉及的标的股票总额的百分比、占上市公司股本总额的百分比。</w:t>
      </w:r>
    </w:p>
    <w:p w14:paraId="211DFD0D">
      <w:pPr>
        <w:spacing w:line="560" w:lineRule="exact"/>
        <w:ind w:firstLine="480"/>
        <w:rPr>
          <w:rFonts w:ascii="仿宋_GB2312" w:hAnsi="宋体" w:eastAsia="仿宋_GB2312" w:cs="Times New Roman"/>
          <w:sz w:val="30"/>
          <w:szCs w:val="30"/>
        </w:rPr>
      </w:pPr>
      <w:r>
        <w:rPr>
          <w:rFonts w:hint="eastAsia" w:ascii="仿宋_GB2312" w:hAnsi="宋体" w:eastAsia="仿宋_GB2312" w:cs="Times New Roman"/>
          <w:sz w:val="30"/>
          <w:szCs w:val="30"/>
        </w:rPr>
        <w:t>同时实施两期以上股权激励计划的，披露全部在有效期内的激励计划所涉及的标的股票数量及占上市公司股本总额的百分比。</w:t>
      </w:r>
    </w:p>
    <w:p w14:paraId="457668E3">
      <w:pPr>
        <w:spacing w:line="560" w:lineRule="exact"/>
        <w:ind w:firstLine="480"/>
        <w:rPr>
          <w:rFonts w:ascii="仿宋_GB2312" w:hAnsi="宋体" w:eastAsia="仿宋_GB2312" w:cs="Times New Roman"/>
          <w:sz w:val="30"/>
          <w:szCs w:val="30"/>
        </w:rPr>
      </w:pPr>
    </w:p>
    <w:p w14:paraId="0BF27808">
      <w:pPr>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五、激励对象的范围及各自所获授的权益数量</w:t>
      </w:r>
    </w:p>
    <w:p w14:paraId="0C1C86A0">
      <w:pPr>
        <w:spacing w:line="560" w:lineRule="exact"/>
        <w:ind w:firstLine="540"/>
        <w:rPr>
          <w:rFonts w:ascii="仿宋_GB2312" w:hAnsi="宋体" w:eastAsia="仿宋_GB2312" w:cs="Times New Roman"/>
          <w:sz w:val="30"/>
          <w:szCs w:val="30"/>
        </w:rPr>
      </w:pPr>
      <w:r>
        <w:rPr>
          <w:rFonts w:hint="eastAsia" w:ascii="仿宋_GB2312" w:hAnsi="宋体" w:eastAsia="仿宋_GB2312" w:cs="Times New Roman"/>
          <w:sz w:val="30"/>
          <w:szCs w:val="30"/>
        </w:rPr>
        <w:t>（一）激励对象的确定依据。披露是否与实施股权激励计划的目的相符合；是否符合相关法律、法规的要求。</w:t>
      </w:r>
    </w:p>
    <w:p w14:paraId="0F52D2DE">
      <w:pPr>
        <w:spacing w:line="560" w:lineRule="exact"/>
        <w:ind w:firstLine="540"/>
        <w:rPr>
          <w:rFonts w:ascii="仿宋_GB2312" w:hAnsi="宋体" w:eastAsia="仿宋_GB2312" w:cs="Times New Roman"/>
          <w:sz w:val="30"/>
          <w:szCs w:val="30"/>
        </w:rPr>
      </w:pPr>
      <w:r>
        <w:rPr>
          <w:rFonts w:hint="eastAsia" w:ascii="仿宋_GB2312" w:hAnsi="宋体" w:eastAsia="仿宋_GB2312" w:cs="Times New Roman"/>
          <w:sz w:val="30"/>
          <w:szCs w:val="30"/>
        </w:rPr>
        <w:t>（二）披露激励对象的人数，占公司全部职工人数的比例。说明所有被激励对象均在上市公司或其控股子公司、分公司任职，已与上市公司或其控股子公司签署劳动合同、领取薪酬。</w:t>
      </w:r>
    </w:p>
    <w:p w14:paraId="5E92C043">
      <w:pPr>
        <w:spacing w:line="560" w:lineRule="exact"/>
        <w:ind w:firstLine="540"/>
        <w:rPr>
          <w:rFonts w:ascii="仿宋_GB2312" w:hAnsi="宋体" w:eastAsia="仿宋_GB2312" w:cs="Times New Roman"/>
          <w:sz w:val="30"/>
          <w:szCs w:val="30"/>
        </w:rPr>
      </w:pPr>
      <w:r>
        <w:rPr>
          <w:rFonts w:hint="eastAsia" w:ascii="仿宋_GB2312" w:hAnsi="宋体" w:eastAsia="仿宋_GB2312" w:cs="Times New Roman"/>
          <w:sz w:val="30"/>
          <w:szCs w:val="30"/>
        </w:rPr>
        <w:t>（三）以列表或其他有效方式，详细披露激励对象的名单及各自所获授的权益数量及占授予权益总量的比例。除预留部分外，激励对象为董事、高级管理人员的，须披露其姓名、职务、获授数量。其他激励对象（各自或者按适当分类）披露其姓名、职务。同时，公司须在发布的相关公告中，提示投资者关注证券交易所网站披露内容。预留股份激励对象经董事会确认后，须参照上述要求进行披露。</w:t>
      </w:r>
    </w:p>
    <w:p w14:paraId="4F2FA7D8">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（四）披露激励对象中是否存在持股5%以上的股东或实际控制人及其配偶、直系近亲属。</w:t>
      </w:r>
    </w:p>
    <w:p w14:paraId="06C82413">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（五）在股权激励计划实施过程中，激励对象如发生不符合《上市公司股权激励管理办法》及股权激励计划规定的情况时，公司对相关激励权益的处理方法。</w:t>
      </w:r>
    </w:p>
    <w:p w14:paraId="263ECFB4">
      <w:pPr>
        <w:spacing w:line="560" w:lineRule="exact"/>
        <w:ind w:firstLine="600" w:firstLineChars="200"/>
        <w:rPr>
          <w:rFonts w:ascii="仿宋_GB2312" w:hAnsi="宋体" w:eastAsia="仿宋_GB2312" w:cs="Times New Roman"/>
          <w:sz w:val="30"/>
          <w:szCs w:val="30"/>
        </w:rPr>
      </w:pPr>
    </w:p>
    <w:p w14:paraId="3B21B718">
      <w:pPr>
        <w:spacing w:line="560" w:lineRule="exact"/>
        <w:ind w:firstLine="602" w:firstLineChars="200"/>
        <w:rPr>
          <w:rFonts w:ascii="黑体" w:hAnsi="黑体" w:eastAsia="黑体" w:cs="Times New Roman"/>
          <w:b/>
          <w:sz w:val="30"/>
          <w:szCs w:val="30"/>
        </w:rPr>
      </w:pPr>
      <w:r>
        <w:rPr>
          <w:rFonts w:hint="eastAsia" w:ascii="仿宋_GB2312" w:hAnsi="宋体" w:eastAsia="仿宋_GB2312" w:cs="Times New Roman"/>
          <w:b/>
          <w:sz w:val="30"/>
          <w:szCs w:val="30"/>
        </w:rPr>
        <w:t xml:space="preserve"> </w:t>
      </w:r>
      <w:r>
        <w:rPr>
          <w:rFonts w:hint="eastAsia" w:ascii="黑体" w:hAnsi="黑体" w:eastAsia="黑体" w:cs="Times New Roman"/>
          <w:b/>
          <w:sz w:val="30"/>
          <w:szCs w:val="30"/>
        </w:rPr>
        <w:t>六、授予价格、行权价格及确定方法</w:t>
      </w:r>
    </w:p>
    <w:p w14:paraId="4BD2F154">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激励方式为限制性股票的，</w:t>
      </w:r>
      <w:r>
        <w:rPr>
          <w:rFonts w:ascii="仿宋_GB2312" w:hAnsi="宋体" w:eastAsia="仿宋_GB2312" w:cs="Times New Roman"/>
          <w:sz w:val="30"/>
          <w:szCs w:val="30"/>
        </w:rPr>
        <w:t>应当</w:t>
      </w:r>
      <w:r>
        <w:rPr>
          <w:rFonts w:hint="eastAsia" w:ascii="仿宋_GB2312" w:hAnsi="宋体" w:eastAsia="仿宋_GB2312" w:cs="Times New Roman"/>
          <w:sz w:val="30"/>
          <w:szCs w:val="30"/>
        </w:rPr>
        <w:t>披露限制性股票授予价格及其授予价格的确定方式。授予价格有折扣的，分析说明定价依据及合理性。</w:t>
      </w:r>
    </w:p>
    <w:p w14:paraId="226F31CC">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激励方式为股票期权的，</w:t>
      </w:r>
      <w:r>
        <w:rPr>
          <w:rFonts w:ascii="仿宋_GB2312" w:hAnsi="宋体" w:eastAsia="仿宋_GB2312" w:cs="Times New Roman"/>
          <w:sz w:val="30"/>
          <w:szCs w:val="30"/>
        </w:rPr>
        <w:t>应当</w:t>
      </w:r>
      <w:r>
        <w:rPr>
          <w:rFonts w:hint="eastAsia" w:ascii="仿宋_GB2312" w:hAnsi="宋体" w:eastAsia="仿宋_GB2312" w:cs="Times New Roman"/>
          <w:sz w:val="30"/>
          <w:szCs w:val="30"/>
        </w:rPr>
        <w:t>披露股票期权的行权价格及其行权价格的确定方法。</w:t>
      </w:r>
    </w:p>
    <w:p w14:paraId="4AA6612A">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分次授出权益的，</w:t>
      </w:r>
      <w:r>
        <w:rPr>
          <w:rFonts w:ascii="仿宋_GB2312" w:hAnsi="宋体" w:eastAsia="仿宋_GB2312" w:cs="Times New Roman"/>
          <w:sz w:val="30"/>
          <w:szCs w:val="30"/>
        </w:rPr>
        <w:t>应当</w:t>
      </w:r>
      <w:r>
        <w:rPr>
          <w:rFonts w:hint="eastAsia" w:ascii="仿宋_GB2312" w:hAnsi="宋体" w:eastAsia="仿宋_GB2312" w:cs="Times New Roman"/>
          <w:sz w:val="30"/>
          <w:szCs w:val="30"/>
        </w:rPr>
        <w:t>披露将在授出权益前召开董事会，确定该次授出的权益数量及激励对象各自所获授的权益数量、行权价格或授予价格、权益行使安排，并说明权益价格、权益行使安排将按照首次授予时的原则确定。</w:t>
      </w:r>
    </w:p>
    <w:p w14:paraId="392F3EFD">
      <w:pPr>
        <w:spacing w:line="560" w:lineRule="exact"/>
        <w:ind w:firstLine="600" w:firstLineChars="200"/>
        <w:rPr>
          <w:rFonts w:ascii="仿宋_GB2312" w:hAnsi="宋体" w:eastAsia="仿宋_GB2312" w:cs="Times New Roman"/>
          <w:sz w:val="30"/>
          <w:szCs w:val="30"/>
        </w:rPr>
      </w:pPr>
    </w:p>
    <w:p w14:paraId="2AF643E4">
      <w:pPr>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七、限售期或等待期、行权期安排</w:t>
      </w:r>
    </w:p>
    <w:p w14:paraId="7496CD05">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激励方式为限制性股票的，披露限制性股票的限售期、解除限售的安排、各期解除限售的股票数量及占激励对象获授的限制性股票总量的比例、解除限售以前激励对象对限制性股票拥有的权利等内容。</w:t>
      </w:r>
    </w:p>
    <w:p w14:paraId="693A3F4E">
      <w:pPr>
        <w:spacing w:line="560" w:lineRule="exact"/>
        <w:ind w:firstLine="480"/>
        <w:rPr>
          <w:rFonts w:ascii="仿宋_GB2312" w:hAnsi="宋体" w:eastAsia="仿宋_GB2312" w:cs="Times New Roman"/>
          <w:sz w:val="30"/>
          <w:szCs w:val="30"/>
        </w:rPr>
      </w:pPr>
      <w:r>
        <w:rPr>
          <w:rFonts w:hint="eastAsia" w:ascii="仿宋_GB2312" w:hAnsi="宋体" w:eastAsia="仿宋_GB2312" w:cs="Times New Roman"/>
          <w:sz w:val="30"/>
          <w:szCs w:val="30"/>
        </w:rPr>
        <w:t>激励方式为股票期权的，披露股票期权的等待期、等待期满后的行权期安排、各期可行权的股票期权数量及占激励对象获授的股票期权总量的比例。</w:t>
      </w:r>
    </w:p>
    <w:p w14:paraId="34729FCC">
      <w:pPr>
        <w:spacing w:line="560" w:lineRule="exact"/>
        <w:ind w:firstLine="480"/>
        <w:rPr>
          <w:rFonts w:ascii="仿宋_GB2312" w:hAnsi="宋体" w:eastAsia="仿宋_GB2312" w:cs="Times New Roman"/>
          <w:sz w:val="30"/>
          <w:szCs w:val="30"/>
        </w:rPr>
      </w:pPr>
    </w:p>
    <w:p w14:paraId="1802F291">
      <w:pPr>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八、获授权益、解除限售或行权的条件</w:t>
      </w:r>
    </w:p>
    <w:p w14:paraId="640B7E2B">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披露限制性股票的授予条件（如有）、解除限售条件，股票期权的授权条件（如有）、行权条件。</w:t>
      </w:r>
    </w:p>
    <w:p w14:paraId="548CDC12">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披露绩效考核指标的设定依据及合理性分析。公司根据自身情况，可设定适合于本公司的绩效考核指标。</w:t>
      </w:r>
    </w:p>
    <w:p w14:paraId="28E3D9EE">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个人绩效考核指标由公司依据自身情况确定，绩效考核办法在股权激励计划中作为其附件上网并详细披露。</w:t>
      </w:r>
    </w:p>
    <w:p w14:paraId="2736DE7C">
      <w:pPr>
        <w:widowControl/>
        <w:spacing w:line="560" w:lineRule="exact"/>
        <w:ind w:firstLine="480" w:firstLineChars="200"/>
        <w:rPr>
          <w:rFonts w:ascii="楷体" w:hAnsi="楷体" w:eastAsia="楷体" w:cs="Times New Roman"/>
          <w:sz w:val="24"/>
          <w:szCs w:val="24"/>
        </w:rPr>
      </w:pPr>
      <w:r>
        <w:rPr>
          <w:rFonts w:hint="eastAsia" w:ascii="楷体" w:hAnsi="楷体" w:eastAsia="楷体" w:cs="Times New Roman"/>
          <w:sz w:val="24"/>
          <w:szCs w:val="24"/>
        </w:rPr>
        <w:t>（编制提醒：</w:t>
      </w:r>
    </w:p>
    <w:p w14:paraId="2CA6A361">
      <w:pPr>
        <w:spacing w:line="560" w:lineRule="exact"/>
        <w:ind w:firstLine="480" w:firstLineChars="200"/>
        <w:rPr>
          <w:rFonts w:ascii="楷体" w:hAnsi="楷体" w:eastAsia="楷体"/>
          <w:sz w:val="24"/>
          <w:szCs w:val="24"/>
        </w:rPr>
      </w:pPr>
      <w:r>
        <w:rPr>
          <w:rFonts w:hint="eastAsia" w:ascii="楷体" w:hAnsi="楷体" w:eastAsia="楷体" w:cs="Times New Roman"/>
          <w:sz w:val="24"/>
          <w:szCs w:val="24"/>
        </w:rPr>
        <w:t>1</w:t>
      </w:r>
      <w:r>
        <w:rPr>
          <w:rFonts w:ascii="楷体" w:hAnsi="楷体" w:eastAsia="楷体" w:cs="Times New Roman"/>
          <w:sz w:val="24"/>
          <w:szCs w:val="24"/>
        </w:rPr>
        <w:t>.</w:t>
      </w:r>
      <w:r>
        <w:rPr>
          <w:rFonts w:hint="eastAsia" w:ascii="楷体" w:hAnsi="楷体" w:eastAsia="楷体"/>
          <w:sz w:val="24"/>
          <w:szCs w:val="24"/>
        </w:rPr>
        <w:t>激励对象为董事、高级管理人员的，上市公司</w:t>
      </w:r>
      <w:r>
        <w:rPr>
          <w:rFonts w:ascii="楷体" w:hAnsi="楷体" w:eastAsia="楷体"/>
          <w:sz w:val="24"/>
          <w:szCs w:val="24"/>
        </w:rPr>
        <w:t>应当</w:t>
      </w:r>
      <w:r>
        <w:rPr>
          <w:rFonts w:hint="eastAsia" w:ascii="楷体" w:hAnsi="楷体" w:eastAsia="楷体"/>
          <w:sz w:val="24"/>
          <w:szCs w:val="24"/>
        </w:rPr>
        <w:t>设立绩效考核指标作为激励对象行使权益的条件。绩效考核指标</w:t>
      </w:r>
      <w:r>
        <w:rPr>
          <w:rFonts w:ascii="楷体" w:hAnsi="楷体" w:eastAsia="楷体"/>
          <w:sz w:val="24"/>
          <w:szCs w:val="24"/>
        </w:rPr>
        <w:t>应当</w:t>
      </w:r>
      <w:r>
        <w:rPr>
          <w:rFonts w:hint="eastAsia" w:ascii="楷体" w:hAnsi="楷体" w:eastAsia="楷体"/>
          <w:sz w:val="24"/>
          <w:szCs w:val="24"/>
        </w:rPr>
        <w:t>包括公司业绩指标和激励对象个人绩效指标。</w:t>
      </w:r>
    </w:p>
    <w:p w14:paraId="37CF0982">
      <w:pPr>
        <w:spacing w:line="560" w:lineRule="exact"/>
        <w:ind w:firstLine="480" w:firstLineChars="200"/>
        <w:rPr>
          <w:rFonts w:ascii="楷体" w:hAnsi="楷体" w:eastAsia="楷体"/>
          <w:sz w:val="24"/>
          <w:szCs w:val="24"/>
        </w:rPr>
      </w:pPr>
      <w:r>
        <w:rPr>
          <w:rFonts w:hint="eastAsia" w:ascii="楷体" w:hAnsi="楷体" w:eastAsia="楷体"/>
          <w:sz w:val="24"/>
          <w:szCs w:val="24"/>
        </w:rPr>
        <w:t>2.绩效考核指标</w:t>
      </w:r>
      <w:r>
        <w:rPr>
          <w:rFonts w:ascii="楷体" w:hAnsi="楷体" w:eastAsia="楷体"/>
          <w:sz w:val="24"/>
          <w:szCs w:val="24"/>
        </w:rPr>
        <w:t>应当</w:t>
      </w:r>
      <w:r>
        <w:rPr>
          <w:rFonts w:hint="eastAsia" w:ascii="楷体" w:hAnsi="楷体" w:eastAsia="楷体"/>
          <w:sz w:val="24"/>
          <w:szCs w:val="24"/>
        </w:rPr>
        <w:t>客观公开、清晰透明，符合公司的实际情况，有利于促进公司竞争力的提升。上市公司可以公司历史业绩或同行业可比公司相关指标作为公司业绩指标对照依据，公司选取的业绩指标可以包括净资产收益率、每股收益、每股分红等能够反映股东回报和公司价值创造的综合性指标，以及净利润增长率、主营业务收入增长率等能够反映公司盈利能力和市场价值的成长性指标。以同行业可比公司相关指标作为对照依据的，选取的对照公司不少于3家，并披露对标企业名称及选取标准。</w:t>
      </w:r>
    </w:p>
    <w:p w14:paraId="69FA2288">
      <w:pPr>
        <w:spacing w:line="560" w:lineRule="exact"/>
        <w:ind w:firstLine="480" w:firstLineChars="200"/>
        <w:rPr>
          <w:rFonts w:ascii="楷体" w:hAnsi="楷体" w:eastAsia="楷体"/>
          <w:sz w:val="24"/>
          <w:szCs w:val="24"/>
        </w:rPr>
      </w:pPr>
      <w:r>
        <w:rPr>
          <w:rFonts w:hint="eastAsia" w:ascii="楷体" w:hAnsi="楷体" w:eastAsia="楷体"/>
          <w:sz w:val="24"/>
          <w:szCs w:val="24"/>
        </w:rPr>
        <w:t>3.公司当年第三季度报告披露后推出股权激励方案的，不得以当年作为考核期。</w:t>
      </w:r>
    </w:p>
    <w:p w14:paraId="148B86B9">
      <w:pPr>
        <w:spacing w:line="560" w:lineRule="exact"/>
        <w:ind w:firstLine="480" w:firstLineChars="200"/>
        <w:rPr>
          <w:rFonts w:ascii="楷体" w:hAnsi="楷体" w:eastAsia="楷体"/>
          <w:sz w:val="24"/>
          <w:szCs w:val="24"/>
        </w:rPr>
      </w:pPr>
      <w:r>
        <w:rPr>
          <w:rFonts w:hint="eastAsia" w:ascii="楷体" w:hAnsi="楷体" w:eastAsia="楷体"/>
          <w:sz w:val="24"/>
          <w:szCs w:val="24"/>
        </w:rPr>
        <w:t>4.激励对象应当与绩效考核主体相匹配，如激励对象包括上市公司董事、高级管理人员，绩效考核主体原则上应包括上市公司，或充分论证相关董事、高级管理人员仅分管被考核子公司或业务板块的合理性。）</w:t>
      </w:r>
    </w:p>
    <w:p w14:paraId="71259C38">
      <w:pPr>
        <w:spacing w:line="560" w:lineRule="exact"/>
        <w:ind w:firstLine="600" w:firstLineChars="200"/>
        <w:rPr>
          <w:rFonts w:ascii="楷体" w:hAnsi="楷体" w:eastAsia="楷体"/>
          <w:sz w:val="30"/>
          <w:szCs w:val="30"/>
        </w:rPr>
      </w:pPr>
    </w:p>
    <w:p w14:paraId="040AAD8F">
      <w:pPr>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九、股权激励计划的有效期、授予日（授权日）、限售期、等待期、可行权日的起止日</w:t>
      </w:r>
    </w:p>
    <w:p w14:paraId="3D9B85A4">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披露股权激励计划的有效期及起止日，限制性股票或股票期权的具体授予（授权）日期或确定方式，限售期的起止日、可行权日期或确定方式、等待期的起止日。</w:t>
      </w:r>
    </w:p>
    <w:p w14:paraId="282F9BB4">
      <w:pPr>
        <w:spacing w:line="560" w:lineRule="exact"/>
        <w:ind w:firstLine="600" w:firstLineChars="200"/>
        <w:rPr>
          <w:rFonts w:ascii="仿宋_GB2312" w:hAnsi="宋体" w:eastAsia="仿宋_GB2312" w:cs="Times New Roman"/>
          <w:sz w:val="30"/>
          <w:szCs w:val="30"/>
        </w:rPr>
      </w:pPr>
    </w:p>
    <w:p w14:paraId="6F7E8F76">
      <w:pPr>
        <w:spacing w:line="560" w:lineRule="exact"/>
        <w:ind w:firstLine="480"/>
        <w:rPr>
          <w:rFonts w:ascii="黑体" w:hAnsi="黑体" w:eastAsia="黑体" w:cs="Times New Roman"/>
          <w:b/>
          <w:sz w:val="30"/>
          <w:szCs w:val="30"/>
        </w:rPr>
      </w:pPr>
      <w:r>
        <w:rPr>
          <w:rFonts w:hint="eastAsia" w:ascii="黑体" w:hAnsi="黑体" w:eastAsia="黑体" w:cs="Times New Roman"/>
          <w:b/>
          <w:sz w:val="30"/>
          <w:szCs w:val="30"/>
        </w:rPr>
        <w:t>十、权益数量和权益价格的调整方法和程序</w:t>
      </w:r>
    </w:p>
    <w:p w14:paraId="5A594102">
      <w:pPr>
        <w:spacing w:line="560" w:lineRule="exact"/>
        <w:rPr>
          <w:rFonts w:ascii="仿宋_GB2312" w:hAnsi="宋体" w:eastAsia="仿宋_GB2312" w:cs="Times New Roman"/>
          <w:sz w:val="30"/>
          <w:szCs w:val="30"/>
        </w:rPr>
      </w:pPr>
      <w:r>
        <w:rPr>
          <w:rFonts w:hint="eastAsia" w:ascii="仿宋_GB2312" w:hAnsi="宋体" w:eastAsia="仿宋_GB2312" w:cs="Times New Roman"/>
          <w:sz w:val="30"/>
          <w:szCs w:val="30"/>
        </w:rPr>
        <w:t xml:space="preserve">    （一）上市公司股权激励方案推出后，上市公司发生资本公积金转增股份、派送股票红利、股票拆细、配股或缩股等事项的，</w:t>
      </w:r>
      <w:r>
        <w:rPr>
          <w:rFonts w:ascii="仿宋_GB2312" w:hAnsi="宋体" w:eastAsia="仿宋_GB2312" w:cs="Times New Roman"/>
          <w:sz w:val="30"/>
          <w:szCs w:val="30"/>
        </w:rPr>
        <w:t>应当</w:t>
      </w:r>
      <w:r>
        <w:rPr>
          <w:rFonts w:hint="eastAsia" w:ascii="仿宋_GB2312" w:hAnsi="宋体" w:eastAsia="仿宋_GB2312" w:cs="Times New Roman"/>
          <w:sz w:val="30"/>
          <w:szCs w:val="30"/>
        </w:rPr>
        <w:t>披露股权激励计划所涉及的权益数量、权益价格的调整方法和程序。调整公式如下：</w:t>
      </w:r>
    </w:p>
    <w:p w14:paraId="2FF4ADB5">
      <w:pPr>
        <w:tabs>
          <w:tab w:val="left" w:pos="1744"/>
          <w:tab w:val="left" w:pos="1800"/>
          <w:tab w:val="left" w:pos="1853"/>
        </w:tabs>
        <w:spacing w:line="560" w:lineRule="exact"/>
        <w:ind w:firstLine="681" w:firstLineChars="227"/>
        <w:rPr>
          <w:rFonts w:ascii="仿宋_GB2312" w:hAnsi="宋体" w:eastAsia="仿宋_GB2312" w:cs="Times New Roman"/>
          <w:sz w:val="30"/>
          <w:szCs w:val="30"/>
        </w:rPr>
      </w:pPr>
      <w:r>
        <w:rPr>
          <w:rFonts w:hint="eastAsia" w:ascii="仿宋_GB2312" w:hAnsi="宋体" w:eastAsia="仿宋_GB2312" w:cs="Times New Roman"/>
          <w:sz w:val="30"/>
          <w:szCs w:val="30"/>
        </w:rPr>
        <w:t>调整后的权益数量＝调整前的权益数量×（1＋红股比例+转增比例+配股比例）或缩股比例（折细比例）</w:t>
      </w:r>
    </w:p>
    <w:p w14:paraId="33B4F765">
      <w:pPr>
        <w:spacing w:line="560" w:lineRule="exact"/>
        <w:rPr>
          <w:rFonts w:ascii="仿宋_GB2312" w:hAnsi="宋体" w:eastAsia="仿宋_GB2312" w:cs="Times New Roman"/>
          <w:sz w:val="30"/>
          <w:szCs w:val="30"/>
        </w:rPr>
      </w:pPr>
      <w:r>
        <w:rPr>
          <w:rFonts w:hint="eastAsia" w:ascii="仿宋_GB2312" w:hAnsi="宋体" w:eastAsia="仿宋_GB2312" w:cs="Times New Roman"/>
          <w:sz w:val="30"/>
          <w:szCs w:val="30"/>
        </w:rPr>
        <w:t xml:space="preserve">    调整后的权益价格＝（调整前的权益价格-每股派息额+配股价格×配股比例）/（1＋送红股比例+转增比例+配股比例）或缩股比例（折细比例）</w:t>
      </w:r>
    </w:p>
    <w:p w14:paraId="56821E91">
      <w:pPr>
        <w:spacing w:line="560" w:lineRule="exact"/>
        <w:ind w:firstLine="480"/>
        <w:rPr>
          <w:rFonts w:ascii="仿宋_GB2312" w:hAnsi="宋体" w:eastAsia="仿宋_GB2312" w:cs="Times New Roman"/>
          <w:sz w:val="30"/>
          <w:szCs w:val="30"/>
        </w:rPr>
      </w:pPr>
      <w:r>
        <w:rPr>
          <w:rFonts w:hint="eastAsia" w:ascii="仿宋_GB2312" w:hAnsi="宋体" w:eastAsia="仿宋_GB2312" w:cs="Times New Roman"/>
          <w:sz w:val="30"/>
          <w:szCs w:val="30"/>
        </w:rPr>
        <w:t>配股比例=实际配股总量/认购前总股本</w:t>
      </w:r>
    </w:p>
    <w:p w14:paraId="5C280930">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（二）限制性股票授予前、股票期权行权前公司发生增发事项的，权益数量和权益价格不作调整。</w:t>
      </w:r>
    </w:p>
    <w:p w14:paraId="3D6605B3">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（三）发生除上述情形以外的事项需要调整权益数量和行权价格的，上市公司</w:t>
      </w:r>
      <w:r>
        <w:rPr>
          <w:rFonts w:ascii="仿宋_GB2312" w:hAnsi="宋体" w:eastAsia="仿宋_GB2312" w:cs="Times New Roman"/>
          <w:sz w:val="30"/>
          <w:szCs w:val="30"/>
        </w:rPr>
        <w:t>应当</w:t>
      </w:r>
      <w:r>
        <w:rPr>
          <w:rFonts w:hint="eastAsia" w:ascii="仿宋_GB2312" w:hAnsi="宋体" w:eastAsia="仿宋_GB2312" w:cs="Times New Roman"/>
          <w:sz w:val="30"/>
          <w:szCs w:val="30"/>
        </w:rPr>
        <w:t>提交股东会审议。</w:t>
      </w:r>
    </w:p>
    <w:p w14:paraId="43B07D63">
      <w:pPr>
        <w:spacing w:line="560" w:lineRule="exact"/>
        <w:ind w:firstLine="450" w:firstLineChars="150"/>
        <w:rPr>
          <w:rFonts w:ascii="仿宋_GB2312" w:hAnsi="宋体" w:eastAsia="仿宋_GB2312" w:cs="Times New Roman"/>
          <w:sz w:val="30"/>
          <w:szCs w:val="30"/>
        </w:rPr>
      </w:pPr>
    </w:p>
    <w:p w14:paraId="790C49CB">
      <w:pPr>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十一、公司授予权益及激励对象行权的程序</w:t>
      </w:r>
    </w:p>
    <w:p w14:paraId="2DC82E53">
      <w:pPr>
        <w:spacing w:line="560" w:lineRule="exact"/>
        <w:ind w:firstLine="480"/>
        <w:rPr>
          <w:rFonts w:ascii="仿宋_GB2312" w:hAnsi="宋体" w:eastAsia="仿宋_GB2312" w:cs="Times New Roman"/>
          <w:sz w:val="30"/>
          <w:szCs w:val="30"/>
        </w:rPr>
      </w:pPr>
      <w:r>
        <w:rPr>
          <w:rFonts w:hint="eastAsia" w:ascii="仿宋_GB2312" w:hAnsi="宋体" w:eastAsia="仿宋_GB2312" w:cs="Times New Roman"/>
          <w:sz w:val="30"/>
          <w:szCs w:val="30"/>
        </w:rPr>
        <w:t>（一）披露股权激励计划由薪酬与考核委员会拟定，薪酬与考核委员会已建立完善的议事规则。</w:t>
      </w:r>
    </w:p>
    <w:p w14:paraId="1A98B9FA">
      <w:pPr>
        <w:spacing w:line="560" w:lineRule="exact"/>
        <w:ind w:firstLine="480"/>
        <w:rPr>
          <w:rFonts w:ascii="仿宋_GB2312" w:hAnsi="宋体" w:eastAsia="仿宋_GB2312" w:cs="Times New Roman"/>
          <w:sz w:val="30"/>
          <w:szCs w:val="30"/>
        </w:rPr>
      </w:pPr>
      <w:r>
        <w:rPr>
          <w:rFonts w:hint="eastAsia" w:ascii="仿宋_GB2312" w:hAnsi="宋体" w:eastAsia="仿宋_GB2312" w:cs="Times New Roman"/>
          <w:sz w:val="30"/>
          <w:szCs w:val="30"/>
        </w:rPr>
        <w:t>（二）披露股权激励计划提交董事会审议的相关安排，说明成为激励对象的董事已回避表决。</w:t>
      </w:r>
    </w:p>
    <w:p w14:paraId="507872E5">
      <w:pPr>
        <w:spacing w:line="560" w:lineRule="exact"/>
        <w:ind w:firstLine="480"/>
        <w:rPr>
          <w:rFonts w:ascii="仿宋_GB2312" w:hAnsi="宋体" w:eastAsia="仿宋_GB2312" w:cs="Times New Roman"/>
          <w:sz w:val="30"/>
          <w:szCs w:val="30"/>
        </w:rPr>
      </w:pPr>
      <w:r>
        <w:rPr>
          <w:rFonts w:hint="eastAsia" w:ascii="仿宋_GB2312" w:hAnsi="宋体" w:eastAsia="仿宋_GB2312" w:cs="Times New Roman"/>
          <w:sz w:val="30"/>
          <w:szCs w:val="30"/>
        </w:rPr>
        <w:t>（三）披露股权激励计划是否需要取得有关部门的批准。如需要，</w:t>
      </w:r>
      <w:r>
        <w:rPr>
          <w:rFonts w:ascii="仿宋_GB2312" w:hAnsi="宋体" w:eastAsia="仿宋_GB2312" w:cs="Times New Roman"/>
          <w:sz w:val="30"/>
          <w:szCs w:val="30"/>
        </w:rPr>
        <w:t>应当</w:t>
      </w:r>
      <w:r>
        <w:rPr>
          <w:rFonts w:hint="eastAsia" w:ascii="仿宋_GB2312" w:hAnsi="宋体" w:eastAsia="仿宋_GB2312" w:cs="Times New Roman"/>
          <w:sz w:val="30"/>
          <w:szCs w:val="30"/>
        </w:rPr>
        <w:t>说明报批程序，并承诺将按相关规定及时披露批准进展及批准结果。</w:t>
      </w:r>
    </w:p>
    <w:p w14:paraId="33DD0C15">
      <w:pPr>
        <w:spacing w:line="560" w:lineRule="exact"/>
        <w:ind w:firstLine="480"/>
        <w:rPr>
          <w:rFonts w:ascii="仿宋_GB2312" w:hAnsi="宋体" w:eastAsia="仿宋_GB2312" w:cs="Times New Roman"/>
          <w:sz w:val="30"/>
          <w:szCs w:val="30"/>
        </w:rPr>
      </w:pPr>
      <w:r>
        <w:rPr>
          <w:rFonts w:hint="eastAsia" w:ascii="仿宋_GB2312" w:hAnsi="宋体" w:eastAsia="仿宋_GB2312" w:cs="Times New Roman"/>
          <w:sz w:val="30"/>
          <w:szCs w:val="30"/>
        </w:rPr>
        <w:t>（四）披露限制性股票的授予、解除限售程序或股票期权的授权、行权程序。具体程序由上市公司根据《上市公司股权激励管理办法》的规定及公司自身情况设定。</w:t>
      </w:r>
    </w:p>
    <w:p w14:paraId="18FE0101">
      <w:pPr>
        <w:spacing w:line="560" w:lineRule="exact"/>
        <w:ind w:firstLine="480"/>
        <w:rPr>
          <w:rFonts w:ascii="仿宋_GB2312" w:hAnsi="宋体" w:eastAsia="仿宋_GB2312" w:cs="Times New Roman"/>
          <w:sz w:val="30"/>
          <w:szCs w:val="30"/>
        </w:rPr>
      </w:pPr>
    </w:p>
    <w:p w14:paraId="7F22BEE8">
      <w:pPr>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十二、公司与激励对象各自的权利义务</w:t>
      </w:r>
    </w:p>
    <w:p w14:paraId="5E22CA9E">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披露股权激励计划实施过程中，公司与激励对象各自所要承担的权利义务，包括但不限于：公司不为激励对象依股权激励计划获取有关权益提供贷款、贷款担保或其它任何形式的财务资助；公司与激励对象</w:t>
      </w:r>
      <w:r>
        <w:rPr>
          <w:rFonts w:ascii="仿宋_GB2312" w:hAnsi="宋体" w:eastAsia="仿宋_GB2312" w:cs="Times New Roman"/>
          <w:sz w:val="30"/>
          <w:szCs w:val="30"/>
        </w:rPr>
        <w:t>应当</w:t>
      </w:r>
      <w:r>
        <w:rPr>
          <w:rFonts w:hint="eastAsia" w:ascii="仿宋_GB2312" w:hAnsi="宋体" w:eastAsia="仿宋_GB2312" w:cs="Times New Roman"/>
          <w:sz w:val="30"/>
          <w:szCs w:val="30"/>
        </w:rPr>
        <w:t>相互配合，完成授予（授权）、解除限售、行权等事宜；激励对象发生职务变更、离职、死亡等重要事项时股权激励计划的实施程序；限制性股票在限售期内发生质押、司法冻结、扣划或依法进行财产分割（如离婚、分家析产）等情形，导致公司在激励对象未达到解除限售条件时不能回购激励对象已获授股票的，公司与激励对象约定的相关补偿措施。</w:t>
      </w:r>
    </w:p>
    <w:p w14:paraId="7CC7AE3B">
      <w:pPr>
        <w:spacing w:line="560" w:lineRule="exact"/>
        <w:ind w:firstLine="600" w:firstLineChars="200"/>
        <w:rPr>
          <w:rFonts w:ascii="仿宋_GB2312" w:hAnsi="宋体" w:eastAsia="仿宋_GB2312" w:cs="Times New Roman"/>
          <w:sz w:val="30"/>
          <w:szCs w:val="30"/>
        </w:rPr>
      </w:pPr>
    </w:p>
    <w:p w14:paraId="0BAFB0C6">
      <w:pPr>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十三、股权激励计划变更与终止</w:t>
      </w:r>
    </w:p>
    <w:p w14:paraId="1AE3637B">
      <w:pPr>
        <w:tabs>
          <w:tab w:val="left" w:pos="1560"/>
        </w:tabs>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（一）公司</w:t>
      </w:r>
      <w:r>
        <w:rPr>
          <w:rFonts w:ascii="仿宋_GB2312" w:hAnsi="宋体" w:eastAsia="仿宋_GB2312" w:cs="Times New Roman"/>
          <w:sz w:val="30"/>
          <w:szCs w:val="30"/>
        </w:rPr>
        <w:t>应当</w:t>
      </w:r>
      <w:r>
        <w:rPr>
          <w:rFonts w:hint="eastAsia" w:ascii="仿宋_GB2312" w:hAnsi="宋体" w:eastAsia="仿宋_GB2312" w:cs="Times New Roman"/>
          <w:sz w:val="30"/>
          <w:szCs w:val="30"/>
        </w:rPr>
        <w:t>披露股权激励计划变更与终止的决策程序。</w:t>
      </w:r>
    </w:p>
    <w:p w14:paraId="60DACC9F">
      <w:pPr>
        <w:tabs>
          <w:tab w:val="left" w:pos="1560"/>
        </w:tabs>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（二）披露公司发生控制权变更、合并、分立、激励对象发生职务变更、离职、死亡等事项时，股权激励计划的实施程序。</w:t>
      </w:r>
    </w:p>
    <w:p w14:paraId="26B77F6D">
      <w:pPr>
        <w:tabs>
          <w:tab w:val="left" w:pos="1560"/>
        </w:tabs>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（三）激励对象未达到解除限售条件或行权条件而需要由公司回购已授予股票或注销股票期权的，说明股票回购价格的确定方法及回购程序。</w:t>
      </w:r>
    </w:p>
    <w:p w14:paraId="38BAB4FF">
      <w:pPr>
        <w:tabs>
          <w:tab w:val="left" w:pos="1560"/>
        </w:tabs>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（四）披露股权激励计划终止的情形，至少包括《上市公司股权激励管理办法》规定的情形。</w:t>
      </w:r>
      <w:r>
        <w:rPr>
          <w:rFonts w:hint="eastAsia" w:ascii="仿宋_GB2312" w:hAnsi="宋体" w:eastAsia="仿宋_GB2312" w:cs="Times New Roman"/>
          <w:sz w:val="30"/>
          <w:szCs w:val="30"/>
        </w:rPr>
        <w:tab/>
      </w:r>
    </w:p>
    <w:p w14:paraId="259430C2">
      <w:pPr>
        <w:widowControl/>
        <w:spacing w:line="560" w:lineRule="exact"/>
        <w:ind w:firstLine="480" w:firstLineChars="200"/>
        <w:rPr>
          <w:rFonts w:ascii="楷体" w:hAnsi="楷体" w:eastAsia="楷体" w:cs="Times New Roman"/>
          <w:sz w:val="24"/>
          <w:szCs w:val="24"/>
        </w:rPr>
      </w:pPr>
      <w:r>
        <w:rPr>
          <w:rFonts w:hint="eastAsia" w:ascii="楷体" w:hAnsi="楷体" w:eastAsia="楷体" w:cs="Times New Roman"/>
          <w:sz w:val="24"/>
          <w:szCs w:val="24"/>
        </w:rPr>
        <w:t>（</w:t>
      </w:r>
      <w:r>
        <w:rPr>
          <w:rFonts w:ascii="楷体" w:hAnsi="楷体" w:eastAsia="楷体" w:cs="Times New Roman"/>
          <w:sz w:val="24"/>
          <w:szCs w:val="24"/>
        </w:rPr>
        <w:t>编制提醒：</w:t>
      </w:r>
    </w:p>
    <w:p w14:paraId="60FA28EC">
      <w:pPr>
        <w:widowControl/>
        <w:spacing w:line="560" w:lineRule="exact"/>
        <w:ind w:firstLine="480" w:firstLineChars="200"/>
        <w:rPr>
          <w:rFonts w:ascii="楷体" w:hAnsi="楷体" w:eastAsia="楷体" w:cs="Times New Roman"/>
          <w:sz w:val="24"/>
          <w:szCs w:val="24"/>
        </w:rPr>
      </w:pPr>
      <w:r>
        <w:rPr>
          <w:rFonts w:ascii="楷体" w:hAnsi="楷体" w:eastAsia="楷体" w:cs="Times New Roman"/>
          <w:sz w:val="24"/>
          <w:szCs w:val="24"/>
        </w:rPr>
        <w:t>1.</w:t>
      </w:r>
      <w:r>
        <w:rPr>
          <w:rFonts w:hint="eastAsia" w:ascii="楷体" w:hAnsi="楷体" w:eastAsia="楷体" w:cs="Times New Roman"/>
          <w:sz w:val="24"/>
          <w:szCs w:val="24"/>
        </w:rPr>
        <w:t>公司拟在当年第三季度报告披露后变更股票激励方案的，不得降低当年行使权益的条件。</w:t>
      </w:r>
    </w:p>
    <w:p w14:paraId="6CCA942C">
      <w:pPr>
        <w:widowControl/>
        <w:spacing w:line="560" w:lineRule="exact"/>
        <w:ind w:firstLine="480" w:firstLineChars="200"/>
        <w:rPr>
          <w:rFonts w:ascii="楷体" w:hAnsi="楷体" w:eastAsia="楷体" w:cs="Times New Roman"/>
          <w:sz w:val="24"/>
          <w:szCs w:val="24"/>
        </w:rPr>
      </w:pPr>
      <w:r>
        <w:rPr>
          <w:rFonts w:ascii="楷体" w:hAnsi="楷体" w:eastAsia="楷体" w:cs="Times New Roman"/>
          <w:sz w:val="24"/>
          <w:szCs w:val="24"/>
        </w:rPr>
        <w:t>2.</w:t>
      </w:r>
      <w:r>
        <w:rPr>
          <w:rFonts w:hint="eastAsia" w:ascii="楷体" w:hAnsi="楷体" w:eastAsia="楷体" w:cs="Times New Roman"/>
          <w:sz w:val="24"/>
          <w:szCs w:val="24"/>
        </w:rPr>
        <w:t>绩效考核指标经股东会审议通过后，原则上不可随意调整，对标公司范围原则上也不得随意调整，相关部门另有规定的除外。）</w:t>
      </w:r>
    </w:p>
    <w:p w14:paraId="364C295B">
      <w:pPr>
        <w:widowControl/>
        <w:spacing w:line="560" w:lineRule="exact"/>
        <w:ind w:firstLine="480" w:firstLineChars="200"/>
        <w:rPr>
          <w:rFonts w:ascii="楷体" w:hAnsi="楷体" w:eastAsia="楷体" w:cs="Times New Roman"/>
          <w:sz w:val="24"/>
          <w:szCs w:val="24"/>
        </w:rPr>
      </w:pPr>
    </w:p>
    <w:p w14:paraId="0EC6E32D">
      <w:pPr>
        <w:spacing w:line="560" w:lineRule="exact"/>
        <w:ind w:firstLine="480"/>
        <w:rPr>
          <w:rFonts w:ascii="黑体" w:hAnsi="黑体" w:eastAsia="黑体" w:cs="Times New Roman"/>
          <w:b/>
          <w:sz w:val="30"/>
          <w:szCs w:val="30"/>
        </w:rPr>
      </w:pPr>
      <w:r>
        <w:rPr>
          <w:rFonts w:hint="eastAsia" w:ascii="黑体" w:hAnsi="黑体" w:eastAsia="黑体" w:cs="Times New Roman"/>
          <w:b/>
          <w:sz w:val="30"/>
          <w:szCs w:val="30"/>
        </w:rPr>
        <w:t>十四、会计处理方法与业绩影响测算</w:t>
      </w:r>
    </w:p>
    <w:p w14:paraId="5E29955D">
      <w:pPr>
        <w:spacing w:line="560" w:lineRule="exact"/>
        <w:ind w:firstLine="450" w:firstLineChars="150"/>
        <w:rPr>
          <w:rFonts w:ascii="仿宋_GB2312" w:hAnsi="宋体" w:eastAsia="仿宋_GB2312" w:cs="Times New Roman"/>
          <w:sz w:val="30"/>
          <w:szCs w:val="30"/>
        </w:rPr>
      </w:pPr>
      <w:r>
        <w:rPr>
          <w:rFonts w:hint="eastAsia" w:ascii="仿宋_GB2312" w:hAnsi="宋体" w:eastAsia="仿宋_GB2312" w:cs="Times New Roman"/>
          <w:sz w:val="30"/>
          <w:szCs w:val="30"/>
        </w:rPr>
        <w:t>（一）披露股权激励计划实施的会计处理方法、影响期间。</w:t>
      </w:r>
    </w:p>
    <w:p w14:paraId="6FF21DDD">
      <w:pPr>
        <w:spacing w:line="560" w:lineRule="exact"/>
        <w:ind w:firstLine="450" w:firstLineChars="150"/>
        <w:rPr>
          <w:rFonts w:ascii="仿宋_GB2312" w:hAnsi="宋体" w:eastAsia="仿宋_GB2312" w:cs="Times New Roman"/>
          <w:sz w:val="30"/>
          <w:szCs w:val="30"/>
        </w:rPr>
      </w:pPr>
      <w:r>
        <w:rPr>
          <w:rFonts w:hint="eastAsia" w:ascii="仿宋_GB2312" w:hAnsi="宋体" w:eastAsia="仿宋_GB2312" w:cs="Times New Roman"/>
          <w:sz w:val="30"/>
          <w:szCs w:val="30"/>
        </w:rPr>
        <w:t>（二）按照现行会计准则的要求，披露股权激励计划实施成本的计算方法、计算过程，并按照一定前提条件估计对股权激励实施期间的业绩影响。说明选取估值模型及有关参数的原则与方法，分析其合理性。</w:t>
      </w:r>
    </w:p>
    <w:p w14:paraId="49F5E04D">
      <w:pPr>
        <w:spacing w:line="560" w:lineRule="exact"/>
        <w:ind w:firstLine="450" w:firstLineChars="150"/>
        <w:rPr>
          <w:rFonts w:ascii="仿宋_GB2312" w:hAnsi="宋体" w:eastAsia="仿宋_GB2312" w:cs="Times New Roman"/>
          <w:sz w:val="30"/>
          <w:szCs w:val="30"/>
        </w:rPr>
      </w:pPr>
      <w:r>
        <w:rPr>
          <w:rFonts w:hint="eastAsia" w:ascii="仿宋_GB2312" w:hAnsi="宋体" w:eastAsia="仿宋_GB2312" w:cs="Times New Roman"/>
          <w:sz w:val="30"/>
          <w:szCs w:val="30"/>
        </w:rPr>
        <w:t>（三）披露股权激励计划终止、激励对象放弃行权时的会计处理方法。</w:t>
      </w:r>
    </w:p>
    <w:p w14:paraId="761A4790">
      <w:pPr>
        <w:widowControl/>
        <w:adjustRightInd w:val="0"/>
        <w:snapToGrid w:val="0"/>
        <w:spacing w:line="560" w:lineRule="exact"/>
        <w:ind w:firstLine="600" w:firstLineChars="200"/>
        <w:jc w:val="left"/>
        <w:rPr>
          <w:rFonts w:ascii="仿宋_GB2312" w:hAnsi="仿宋" w:eastAsia="仿宋_GB2312" w:cs="宋体"/>
          <w:kern w:val="0"/>
          <w:sz w:val="30"/>
          <w:szCs w:val="30"/>
        </w:rPr>
      </w:pPr>
      <w:r>
        <w:rPr>
          <w:rFonts w:hint="eastAsia" w:ascii="仿宋_GB2312" w:hAnsi="仿宋" w:eastAsia="仿宋_GB2312" w:cs="宋体"/>
          <w:kern w:val="0"/>
          <w:sz w:val="30"/>
          <w:szCs w:val="30"/>
        </w:rPr>
        <w:t>特此公告。</w:t>
      </w:r>
    </w:p>
    <w:p w14:paraId="5FCB6042">
      <w:pPr>
        <w:widowControl/>
        <w:adjustRightInd w:val="0"/>
        <w:snapToGrid w:val="0"/>
        <w:spacing w:line="560" w:lineRule="exact"/>
        <w:ind w:firstLine="600" w:firstLineChars="200"/>
        <w:jc w:val="left"/>
        <w:rPr>
          <w:rFonts w:ascii="仿宋_GB2312" w:hAnsi="仿宋" w:eastAsia="仿宋_GB2312" w:cs="宋体"/>
          <w:kern w:val="0"/>
          <w:sz w:val="30"/>
          <w:szCs w:val="30"/>
        </w:rPr>
      </w:pPr>
    </w:p>
    <w:p w14:paraId="7829D9C3">
      <w:pPr>
        <w:widowControl/>
        <w:adjustRightInd w:val="0"/>
        <w:snapToGrid w:val="0"/>
        <w:spacing w:line="560" w:lineRule="exact"/>
        <w:ind w:firstLine="600" w:firstLineChars="200"/>
        <w:jc w:val="right"/>
        <w:rPr>
          <w:rFonts w:ascii="仿宋_GB2312" w:hAnsi="仿宋" w:eastAsia="仿宋_GB2312" w:cs="宋体"/>
          <w:kern w:val="0"/>
          <w:sz w:val="30"/>
          <w:szCs w:val="30"/>
        </w:rPr>
      </w:pPr>
      <w:r>
        <w:rPr>
          <w:rFonts w:hint="eastAsia" w:ascii="仿宋_GB2312" w:hAnsi="仿宋" w:eastAsia="仿宋_GB2312" w:cs="宋体"/>
          <w:kern w:val="0"/>
          <w:sz w:val="30"/>
          <w:szCs w:val="30"/>
        </w:rPr>
        <w:t>XXXX股份有限公司董事会</w:t>
      </w:r>
    </w:p>
    <w:p w14:paraId="4919FE49">
      <w:pPr>
        <w:spacing w:line="560" w:lineRule="exact"/>
        <w:ind w:firstLine="600" w:firstLineChars="200"/>
        <w:rPr>
          <w:rFonts w:ascii="黑体" w:hAnsi="黑体" w:eastAsia="黑体" w:cs="Times New Roman"/>
          <w:b/>
          <w:sz w:val="30"/>
          <w:szCs w:val="30"/>
        </w:rPr>
      </w:pPr>
      <w:r>
        <w:rPr>
          <w:rFonts w:hint="eastAsia" w:ascii="Calibri" w:hAnsi="Calibri" w:eastAsia="仿宋_GB2312" w:cs="Calibri"/>
          <w:kern w:val="0"/>
          <w:sz w:val="30"/>
          <w:szCs w:val="30"/>
        </w:rPr>
        <w:t> </w:t>
      </w:r>
      <w:r>
        <w:rPr>
          <w:rFonts w:hint="eastAsia" w:ascii="仿宋_GB2312" w:hAnsi="仿宋" w:eastAsia="仿宋_GB2312" w:cs="宋体"/>
          <w:kern w:val="0"/>
          <w:sz w:val="30"/>
          <w:szCs w:val="30"/>
        </w:rPr>
        <w:t xml:space="preserve">                                   </w:t>
      </w:r>
      <w:r>
        <w:rPr>
          <w:rFonts w:hint="eastAsia" w:ascii="Calibri" w:hAnsi="Calibri" w:eastAsia="仿宋_GB2312" w:cs="Calibri"/>
          <w:kern w:val="0"/>
          <w:sz w:val="30"/>
          <w:szCs w:val="30"/>
        </w:rPr>
        <w:t> </w:t>
      </w:r>
      <w:r>
        <w:rPr>
          <w:rFonts w:hint="eastAsia" w:ascii="仿宋_GB2312" w:hAnsi="仿宋" w:eastAsia="仿宋_GB2312" w:cs="宋体"/>
          <w:kern w:val="0"/>
          <w:sz w:val="30"/>
          <w:szCs w:val="30"/>
        </w:rPr>
        <w:t>年  月  日</w:t>
      </w:r>
    </w:p>
    <w:p w14:paraId="0ACC767F">
      <w:pPr>
        <w:spacing w:line="560" w:lineRule="exact"/>
        <w:ind w:firstLine="602" w:firstLineChars="200"/>
        <w:rPr>
          <w:rFonts w:ascii="黑体" w:hAnsi="黑体" w:eastAsia="黑体" w:cs="Times New Roman"/>
          <w:b/>
          <w:sz w:val="30"/>
          <w:szCs w:val="30"/>
        </w:rPr>
      </w:pPr>
    </w:p>
    <w:p w14:paraId="5ED4DE89">
      <w:pPr>
        <w:widowControl/>
        <w:numPr>
          <w:ilvl w:val="0"/>
          <w:numId w:val="2"/>
        </w:numPr>
        <w:adjustRightInd w:val="0"/>
        <w:snapToGrid w:val="0"/>
        <w:spacing w:line="560" w:lineRule="exact"/>
        <w:ind w:firstLine="9" w:firstLineChars="3"/>
        <w:rPr>
          <w:rFonts w:ascii="黑体" w:hAnsi="黑体" w:eastAsia="黑体" w:cs="Times New Roman"/>
          <w:b/>
          <w:sz w:val="30"/>
          <w:szCs w:val="30"/>
        </w:rPr>
      </w:pPr>
      <w:r>
        <w:rPr>
          <w:rFonts w:hint="eastAsia" w:ascii="仿宋_GB2312" w:hAnsi="仿宋" w:eastAsia="仿宋_GB2312" w:cs="宋体"/>
          <w:b/>
          <w:bCs/>
          <w:kern w:val="0"/>
          <w:sz w:val="30"/>
          <w:szCs w:val="30"/>
        </w:rPr>
        <w:t>上网公告文件</w:t>
      </w:r>
    </w:p>
    <w:p w14:paraId="14DBC89F">
      <w:pPr>
        <w:spacing w:line="560" w:lineRule="exact"/>
        <w:ind w:firstLine="1200" w:firstLineChars="400"/>
        <w:rPr>
          <w:rFonts w:ascii="仿宋_GB2312" w:hAnsi="宋体" w:eastAsia="仿宋_GB2312" w:cs="Times New Roman"/>
          <w:sz w:val="30"/>
          <w:szCs w:val="30"/>
        </w:rPr>
      </w:pPr>
      <w:r>
        <w:rPr>
          <w:rFonts w:hint="eastAsia" w:ascii="仿宋_GB2312" w:hAnsi="宋体" w:eastAsia="仿宋_GB2312" w:cs="Times New Roman"/>
          <w:sz w:val="30"/>
          <w:szCs w:val="30"/>
        </w:rPr>
        <w:t>绩效考核办法</w:t>
      </w:r>
    </w:p>
    <w:p w14:paraId="2E44478A">
      <w:pPr>
        <w:spacing w:line="560" w:lineRule="exact"/>
        <w:ind w:firstLine="1200" w:firstLineChars="400"/>
        <w:rPr>
          <w:rFonts w:ascii="仿宋_GB2312" w:hAnsi="宋体" w:eastAsia="仿宋_GB2312" w:cs="Times New Roman"/>
          <w:sz w:val="30"/>
          <w:szCs w:val="30"/>
        </w:rPr>
      </w:pPr>
    </w:p>
    <w:p w14:paraId="1D518EF7">
      <w:pPr>
        <w:spacing w:line="560" w:lineRule="exact"/>
        <w:ind w:firstLine="1200" w:firstLineChars="400"/>
        <w:rPr>
          <w:rFonts w:ascii="仿宋_GB2312" w:hAnsi="宋体" w:eastAsia="仿宋_GB2312" w:cs="Times New Roman"/>
          <w:sz w:val="30"/>
          <w:szCs w:val="30"/>
        </w:rPr>
      </w:pPr>
    </w:p>
    <w:p w14:paraId="44545740">
      <w:bookmarkStart w:id="12" w:name="_Toc101449319"/>
      <w:bookmarkStart w:id="13" w:name="_Toc2000996452"/>
      <w:bookmarkStart w:id="14" w:name="_Toc828346612"/>
      <w:bookmarkStart w:id="15" w:name="_Toc57800060"/>
      <w:bookmarkStart w:id="16" w:name="_Toc356840106"/>
      <w:bookmarkStart w:id="17" w:name="_Toc352226120"/>
      <w:r>
        <w:br w:type="page"/>
      </w:r>
    </w:p>
    <w:p w14:paraId="2D054BFE">
      <w:pPr>
        <w:pStyle w:val="2"/>
        <w:spacing w:before="0" w:after="0" w:line="560" w:lineRule="exact"/>
        <w:rPr>
          <w:sz w:val="32"/>
          <w:szCs w:val="32"/>
        </w:rPr>
      </w:pPr>
      <w:r>
        <w:rPr>
          <w:rFonts w:hint="eastAsia"/>
          <w:sz w:val="32"/>
          <w:szCs w:val="32"/>
        </w:rPr>
        <w:t>二、授予</w:t>
      </w:r>
      <w:bookmarkEnd w:id="12"/>
      <w:bookmarkEnd w:id="13"/>
      <w:bookmarkEnd w:id="14"/>
      <w:bookmarkEnd w:id="15"/>
    </w:p>
    <w:p w14:paraId="12001CD8">
      <w:pPr>
        <w:pStyle w:val="3"/>
        <w:spacing w:line="560" w:lineRule="exact"/>
        <w:rPr>
          <w:rFonts w:ascii="黑体" w:hAnsi="黑体"/>
        </w:rPr>
      </w:pPr>
      <w:bookmarkStart w:id="18" w:name="_Toc101449320"/>
      <w:bookmarkStart w:id="19" w:name="_Toc57800061"/>
      <w:r>
        <w:rPr>
          <w:rFonts w:hint="eastAsia" w:ascii="黑体" w:hAnsi="黑体"/>
        </w:rPr>
        <w:t>2.上市公司股权激励权益授予公告</w:t>
      </w:r>
      <w:bookmarkEnd w:id="16"/>
      <w:bookmarkEnd w:id="17"/>
      <w:bookmarkEnd w:id="18"/>
      <w:bookmarkEnd w:id="19"/>
    </w:p>
    <w:p w14:paraId="2E3B12A5">
      <w:pPr>
        <w:spacing w:line="560" w:lineRule="exact"/>
      </w:pPr>
    </w:p>
    <w:p w14:paraId="3B96985F">
      <w:pPr>
        <w:autoSpaceDE w:val="0"/>
        <w:autoSpaceDN w:val="0"/>
        <w:adjustRightIn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641D1800">
      <w:pPr>
        <w:autoSpaceDE w:val="0"/>
        <w:autoSpaceDN w:val="0"/>
        <w:adjustRightIn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本公告格式适用于公司股东会通过股权激励计划后，公司对股票期权和限制性股票进行授予的情形。</w:t>
      </w:r>
    </w:p>
    <w:p w14:paraId="67E4ADAB">
      <w:pPr>
        <w:autoSpaceDE w:val="0"/>
        <w:autoSpaceDN w:val="0"/>
        <w:adjustRightInd w:val="0"/>
        <w:spacing w:line="560" w:lineRule="exact"/>
        <w:ind w:firstLine="600" w:firstLineChars="200"/>
        <w:rPr>
          <w:rFonts w:ascii="仿宋_GB2312" w:hAnsi="宋体" w:eastAsia="仿宋_GB2312"/>
          <w:sz w:val="30"/>
          <w:szCs w:val="30"/>
        </w:rPr>
      </w:pPr>
    </w:p>
    <w:p w14:paraId="6153C78C">
      <w:pPr>
        <w:widowControl/>
        <w:adjustRightInd w:val="0"/>
        <w:snapToGrid w:val="0"/>
        <w:spacing w:line="560" w:lineRule="exac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证券代码：             证券简称：            公告编号：</w:t>
      </w:r>
    </w:p>
    <w:p w14:paraId="3A1127AD">
      <w:pPr>
        <w:widowControl/>
        <w:adjustRightInd w:val="0"/>
        <w:snapToGrid w:val="0"/>
        <w:spacing w:line="560" w:lineRule="exact"/>
        <w:rPr>
          <w:rFonts w:ascii="仿宋_GB2312" w:hAnsi="仿宋" w:eastAsia="仿宋_GB2312" w:cs="宋体"/>
          <w:color w:val="000000"/>
          <w:kern w:val="0"/>
          <w:sz w:val="30"/>
          <w:szCs w:val="30"/>
        </w:rPr>
      </w:pPr>
    </w:p>
    <w:p w14:paraId="7B540D10">
      <w:pPr>
        <w:widowControl/>
        <w:adjustRightInd w:val="0"/>
        <w:snapToGrid w:val="0"/>
        <w:spacing w:line="560" w:lineRule="exact"/>
        <w:jc w:val="center"/>
        <w:rPr>
          <w:rFonts w:ascii="仿宋_GB2312" w:hAnsi="仿宋" w:eastAsia="仿宋_GB2312" w:cs="宋体"/>
          <w:kern w:val="0"/>
          <w:sz w:val="30"/>
          <w:szCs w:val="30"/>
        </w:rPr>
      </w:pPr>
      <w:r>
        <w:rPr>
          <w:rFonts w:hint="eastAsia" w:ascii="仿宋_GB2312" w:hAnsi="仿宋" w:eastAsia="仿宋_GB2312" w:cs="宋体"/>
          <w:kern w:val="0"/>
          <w:sz w:val="30"/>
          <w:szCs w:val="30"/>
        </w:rPr>
        <w:t>XXXX股份有限公司股权激励权益授予公告</w:t>
      </w:r>
    </w:p>
    <w:p w14:paraId="00226FFA">
      <w:pPr>
        <w:pStyle w:val="22"/>
        <w:spacing w:line="560" w:lineRule="exact"/>
        <w:jc w:val="center"/>
        <w:rPr>
          <w:rFonts w:ascii="宋体"/>
          <w:color w:val="000000"/>
          <w:sz w:val="30"/>
          <w:szCs w:val="30"/>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D16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670B7C8">
            <w:pPr>
              <w:snapToGrid w:val="0"/>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本公司董事会及全体董事保证本公告内容不存在任何虚假记载、误导性陈述或者重大遗漏，并对其内容的真实性、准确性和完整性承担法律责任。</w:t>
            </w:r>
          </w:p>
          <w:p w14:paraId="2EC28F78">
            <w:pPr>
              <w:snapToGrid w:val="0"/>
              <w:spacing w:line="560" w:lineRule="exact"/>
              <w:ind w:firstLine="600" w:firstLineChars="200"/>
              <w:rPr>
                <w:rFonts w:ascii="宋体" w:hAnsi="宋体" w:eastAsia="宋体" w:cs="Times New Roman"/>
                <w:color w:val="000000"/>
                <w:sz w:val="30"/>
                <w:szCs w:val="30"/>
              </w:rPr>
            </w:pPr>
            <w:r>
              <w:rPr>
                <w:rFonts w:ascii="仿宋_GB2312" w:hAnsi="仿宋_GB2312" w:eastAsia="仿宋_GB2312" w:cs="仿宋_GB2312"/>
                <w:color w:val="000000"/>
                <w:sz w:val="30"/>
                <w:szCs w:val="30"/>
              </w:rPr>
              <w:t>如有董事对临时公告内容的真实性、准确性和完整性无法保证或存在异议的，公司应当</w:t>
            </w:r>
            <w:r>
              <w:rPr>
                <w:rFonts w:hint="eastAsia" w:ascii="仿宋_GB2312" w:hAnsi="仿宋_GB2312" w:eastAsia="仿宋_GB2312" w:cs="仿宋_GB2312"/>
                <w:color w:val="000000"/>
                <w:sz w:val="30"/>
                <w:szCs w:val="30"/>
              </w:rPr>
              <w:t>在公告中作特别提示。</w:t>
            </w:r>
          </w:p>
        </w:tc>
      </w:tr>
    </w:tbl>
    <w:p w14:paraId="567C0B7E">
      <w:pPr>
        <w:autoSpaceDE w:val="0"/>
        <w:autoSpaceDN w:val="0"/>
        <w:adjustRightInd w:val="0"/>
        <w:spacing w:line="560" w:lineRule="exact"/>
        <w:ind w:firstLine="600" w:firstLineChars="200"/>
        <w:rPr>
          <w:rFonts w:ascii="仿宋_GB2312" w:hAnsi="宋体" w:eastAsia="仿宋_GB2312"/>
          <w:sz w:val="30"/>
          <w:szCs w:val="30"/>
        </w:rPr>
      </w:pPr>
    </w:p>
    <w:p w14:paraId="6BF00B3D">
      <w:pPr>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3A5FE13B">
      <w:pPr>
        <w:numPr>
          <w:ilvl w:val="0"/>
          <w:numId w:val="3"/>
        </w:numPr>
        <w:snapToGrid w:val="0"/>
        <w:spacing w:line="560" w:lineRule="exact"/>
        <w:rPr>
          <w:rFonts w:ascii="仿宋_GB2312" w:hAnsi="宋体" w:eastAsia="仿宋_GB2312"/>
          <w:sz w:val="30"/>
          <w:szCs w:val="30"/>
        </w:rPr>
      </w:pPr>
      <w:r>
        <w:rPr>
          <w:rFonts w:hint="eastAsia" w:ascii="仿宋_GB2312" w:hAnsi="宋体" w:eastAsia="仿宋_GB2312"/>
          <w:sz w:val="30"/>
          <w:szCs w:val="30"/>
        </w:rPr>
        <w:t>股权激励权益授予日</w:t>
      </w:r>
    </w:p>
    <w:p w14:paraId="544367A0">
      <w:pPr>
        <w:numPr>
          <w:ilvl w:val="0"/>
          <w:numId w:val="3"/>
        </w:numPr>
        <w:snapToGrid w:val="0"/>
        <w:spacing w:line="560" w:lineRule="exact"/>
        <w:rPr>
          <w:rFonts w:ascii="仿宋_GB2312" w:hAnsi="宋体" w:eastAsia="仿宋_GB2312"/>
          <w:sz w:val="30"/>
          <w:szCs w:val="30"/>
        </w:rPr>
      </w:pPr>
      <w:r>
        <w:rPr>
          <w:rFonts w:hint="eastAsia" w:ascii="仿宋_GB2312" w:hAnsi="宋体" w:eastAsia="仿宋_GB2312"/>
          <w:sz w:val="30"/>
          <w:szCs w:val="30"/>
        </w:rPr>
        <w:t>股权激励权益授予数量</w:t>
      </w:r>
    </w:p>
    <w:p w14:paraId="77D487E9">
      <w:pPr>
        <w:snapToGrid w:val="0"/>
        <w:spacing w:line="560" w:lineRule="exact"/>
        <w:rPr>
          <w:rFonts w:ascii="仿宋_GB2312" w:hAnsi="宋体" w:eastAsia="仿宋_GB2312"/>
          <w:b/>
          <w:sz w:val="30"/>
          <w:szCs w:val="30"/>
        </w:rPr>
      </w:pPr>
      <w:r>
        <w:rPr>
          <w:rFonts w:hint="eastAsia" w:ascii="仿宋_GB2312" w:hAnsi="宋体" w:eastAsia="仿宋_GB2312"/>
          <w:b/>
          <w:sz w:val="30"/>
          <w:szCs w:val="30"/>
        </w:rPr>
        <w:t xml:space="preserve">    </w:t>
      </w:r>
    </w:p>
    <w:p w14:paraId="6BBEA03C">
      <w:pPr>
        <w:snapToGrid w:val="0"/>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一、权益授予情况</w:t>
      </w:r>
    </w:p>
    <w:p w14:paraId="16F1488F">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（一）本次权益授予已履行的决策程序和信息披露情况：简要说明股权激励计划已履行的决策程序和信息披露情况。</w:t>
      </w:r>
    </w:p>
    <w:p w14:paraId="601A5C5F">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（二）关于符合授予条件的董事会说明（如适用）、薪酬与考核委员会意见。</w:t>
      </w:r>
    </w:p>
    <w:p w14:paraId="73A8E76D">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（三）权益授予的具体情况。</w:t>
      </w:r>
    </w:p>
    <w:p w14:paraId="45391F59">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1.授予日：说明董事会确定的股权激励计划权益授予日。</w:t>
      </w:r>
    </w:p>
    <w:p w14:paraId="1E41E62E">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2.授予数量：说明本次权益授予数量。</w:t>
      </w:r>
    </w:p>
    <w:p w14:paraId="0EDCE141">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3.授予人数：说明本次权益授予人数。</w:t>
      </w:r>
    </w:p>
    <w:p w14:paraId="4C800709">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4.授予价格/行权价格：说明本次限制性股票的授予价格或股票期权的行权价格。</w:t>
      </w:r>
    </w:p>
    <w:p w14:paraId="1F067D93">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5.股票来源：根据股权激励计划说明本次权益授予的股票来源情况，如向授予对象发行股票或公司从二级市场回购股票等。</w:t>
      </w:r>
    </w:p>
    <w:p w14:paraId="77F070FD">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6.激励计划的有效期、锁定期和行权安排或解锁安排情况：</w:t>
      </w:r>
    </w:p>
    <w:p w14:paraId="58B7A5A2">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如本次权益授予为限制性股票的，</w:t>
      </w:r>
      <w:r>
        <w:rPr>
          <w:rFonts w:ascii="仿宋_GB2312" w:hAnsi="宋体" w:eastAsia="仿宋_GB2312"/>
          <w:sz w:val="30"/>
          <w:szCs w:val="30"/>
        </w:rPr>
        <w:t>应当</w:t>
      </w:r>
      <w:r>
        <w:rPr>
          <w:rFonts w:hint="eastAsia" w:ascii="仿宋_GB2312" w:hAnsi="宋体" w:eastAsia="仿宋_GB2312"/>
          <w:sz w:val="30"/>
          <w:szCs w:val="30"/>
        </w:rPr>
        <w:t>说明本次所授予权益的有效期、锁定期和解锁安排等情况。</w:t>
      </w:r>
    </w:p>
    <w:p w14:paraId="09BDC812">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如本次权益授予为股票期权的，</w:t>
      </w:r>
      <w:r>
        <w:rPr>
          <w:rFonts w:ascii="仿宋_GB2312" w:hAnsi="宋体" w:eastAsia="仿宋_GB2312"/>
          <w:sz w:val="30"/>
          <w:szCs w:val="30"/>
        </w:rPr>
        <w:t>应当</w:t>
      </w:r>
      <w:r>
        <w:rPr>
          <w:rFonts w:hint="eastAsia" w:ascii="仿宋_GB2312" w:hAnsi="宋体" w:eastAsia="仿宋_GB2312"/>
          <w:sz w:val="30"/>
          <w:szCs w:val="30"/>
        </w:rPr>
        <w:t>列表说明本次所授予权益的有效期、行权期和行权安排等情况。</w:t>
      </w:r>
    </w:p>
    <w:tbl>
      <w:tblPr>
        <w:tblStyle w:val="15"/>
        <w:tblW w:w="828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1980"/>
        <w:gridCol w:w="1080"/>
        <w:gridCol w:w="2520"/>
      </w:tblGrid>
      <w:tr w14:paraId="2076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179EF7F1">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行权</w:t>
            </w:r>
          </w:p>
        </w:tc>
        <w:tc>
          <w:tcPr>
            <w:tcW w:w="1980" w:type="dxa"/>
            <w:vAlign w:val="center"/>
          </w:tcPr>
          <w:p w14:paraId="1DBEA925">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行权安排</w:t>
            </w:r>
          </w:p>
        </w:tc>
        <w:tc>
          <w:tcPr>
            <w:tcW w:w="1080" w:type="dxa"/>
            <w:vAlign w:val="center"/>
          </w:tcPr>
          <w:p w14:paraId="178730C4">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有效期</w:t>
            </w:r>
          </w:p>
        </w:tc>
        <w:tc>
          <w:tcPr>
            <w:tcW w:w="2520" w:type="dxa"/>
            <w:vAlign w:val="center"/>
          </w:tcPr>
          <w:p w14:paraId="1E4E1B8A">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可行权数量占获授权益数量比例</w:t>
            </w:r>
          </w:p>
        </w:tc>
      </w:tr>
      <w:tr w14:paraId="6DFB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tcPr>
          <w:p w14:paraId="4CDD0D5A">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第一个行权期</w:t>
            </w:r>
          </w:p>
        </w:tc>
        <w:tc>
          <w:tcPr>
            <w:tcW w:w="1980" w:type="dxa"/>
          </w:tcPr>
          <w:p w14:paraId="39AFA608">
            <w:pPr>
              <w:snapToGrid w:val="0"/>
              <w:spacing w:line="560" w:lineRule="exact"/>
              <w:rPr>
                <w:rFonts w:ascii="仿宋_GB2312" w:hAnsi="宋体" w:eastAsia="仿宋_GB2312"/>
                <w:kern w:val="0"/>
                <w:sz w:val="24"/>
                <w:szCs w:val="24"/>
              </w:rPr>
            </w:pPr>
          </w:p>
        </w:tc>
        <w:tc>
          <w:tcPr>
            <w:tcW w:w="1080" w:type="dxa"/>
          </w:tcPr>
          <w:p w14:paraId="42BB9A6A">
            <w:pPr>
              <w:snapToGrid w:val="0"/>
              <w:spacing w:line="560" w:lineRule="exact"/>
              <w:rPr>
                <w:rFonts w:ascii="仿宋_GB2312" w:hAnsi="宋体" w:eastAsia="仿宋_GB2312"/>
                <w:kern w:val="0"/>
                <w:sz w:val="24"/>
                <w:szCs w:val="24"/>
              </w:rPr>
            </w:pPr>
          </w:p>
        </w:tc>
        <w:tc>
          <w:tcPr>
            <w:tcW w:w="2520" w:type="dxa"/>
          </w:tcPr>
          <w:p w14:paraId="405579B2">
            <w:pPr>
              <w:snapToGrid w:val="0"/>
              <w:spacing w:line="560" w:lineRule="exact"/>
              <w:rPr>
                <w:rFonts w:ascii="仿宋_GB2312" w:hAnsi="宋体" w:eastAsia="仿宋_GB2312"/>
                <w:kern w:val="0"/>
                <w:sz w:val="24"/>
                <w:szCs w:val="24"/>
              </w:rPr>
            </w:pPr>
          </w:p>
        </w:tc>
      </w:tr>
      <w:tr w14:paraId="0B69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tcPr>
          <w:p w14:paraId="4535C600">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第二个行权期</w:t>
            </w:r>
          </w:p>
        </w:tc>
        <w:tc>
          <w:tcPr>
            <w:tcW w:w="1980" w:type="dxa"/>
          </w:tcPr>
          <w:p w14:paraId="4C9D0BD9">
            <w:pPr>
              <w:snapToGrid w:val="0"/>
              <w:spacing w:line="560" w:lineRule="exact"/>
              <w:rPr>
                <w:rFonts w:ascii="仿宋_GB2312" w:hAnsi="宋体" w:eastAsia="仿宋_GB2312"/>
                <w:kern w:val="0"/>
                <w:sz w:val="24"/>
                <w:szCs w:val="24"/>
              </w:rPr>
            </w:pPr>
          </w:p>
        </w:tc>
        <w:tc>
          <w:tcPr>
            <w:tcW w:w="1080" w:type="dxa"/>
          </w:tcPr>
          <w:p w14:paraId="7ADDA88B">
            <w:pPr>
              <w:snapToGrid w:val="0"/>
              <w:spacing w:line="560" w:lineRule="exact"/>
              <w:rPr>
                <w:rFonts w:ascii="仿宋_GB2312" w:hAnsi="宋体" w:eastAsia="仿宋_GB2312"/>
                <w:kern w:val="0"/>
                <w:sz w:val="24"/>
                <w:szCs w:val="24"/>
              </w:rPr>
            </w:pPr>
          </w:p>
        </w:tc>
        <w:tc>
          <w:tcPr>
            <w:tcW w:w="2520" w:type="dxa"/>
          </w:tcPr>
          <w:p w14:paraId="2C234D7D">
            <w:pPr>
              <w:snapToGrid w:val="0"/>
              <w:spacing w:line="560" w:lineRule="exact"/>
              <w:rPr>
                <w:rFonts w:ascii="仿宋_GB2312" w:hAnsi="宋体" w:eastAsia="仿宋_GB2312"/>
                <w:kern w:val="0"/>
                <w:sz w:val="24"/>
                <w:szCs w:val="24"/>
              </w:rPr>
            </w:pPr>
          </w:p>
        </w:tc>
      </w:tr>
      <w:tr w14:paraId="2518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00" w:type="dxa"/>
          </w:tcPr>
          <w:p w14:paraId="3C432755">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w:t>
            </w:r>
          </w:p>
        </w:tc>
        <w:tc>
          <w:tcPr>
            <w:tcW w:w="1980" w:type="dxa"/>
          </w:tcPr>
          <w:p w14:paraId="49D6D52C">
            <w:pPr>
              <w:snapToGrid w:val="0"/>
              <w:spacing w:line="560" w:lineRule="exact"/>
              <w:rPr>
                <w:rFonts w:ascii="仿宋_GB2312" w:hAnsi="宋体" w:eastAsia="仿宋_GB2312"/>
                <w:kern w:val="0"/>
                <w:sz w:val="24"/>
                <w:szCs w:val="24"/>
              </w:rPr>
            </w:pPr>
          </w:p>
        </w:tc>
        <w:tc>
          <w:tcPr>
            <w:tcW w:w="1080" w:type="dxa"/>
          </w:tcPr>
          <w:p w14:paraId="5C4AFD90">
            <w:pPr>
              <w:snapToGrid w:val="0"/>
              <w:spacing w:line="560" w:lineRule="exact"/>
              <w:rPr>
                <w:rFonts w:ascii="仿宋_GB2312" w:hAnsi="宋体" w:eastAsia="仿宋_GB2312"/>
                <w:kern w:val="0"/>
                <w:sz w:val="24"/>
                <w:szCs w:val="24"/>
              </w:rPr>
            </w:pPr>
          </w:p>
        </w:tc>
        <w:tc>
          <w:tcPr>
            <w:tcW w:w="2520" w:type="dxa"/>
          </w:tcPr>
          <w:p w14:paraId="5D14E49A">
            <w:pPr>
              <w:snapToGrid w:val="0"/>
              <w:spacing w:line="560" w:lineRule="exact"/>
              <w:rPr>
                <w:rFonts w:ascii="仿宋_GB2312" w:hAnsi="宋体" w:eastAsia="仿宋_GB2312"/>
                <w:kern w:val="0"/>
                <w:sz w:val="24"/>
                <w:szCs w:val="24"/>
              </w:rPr>
            </w:pPr>
          </w:p>
        </w:tc>
      </w:tr>
    </w:tbl>
    <w:p w14:paraId="19353011">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7.激励对象名单及授予情况：列表说明本次权益授予具体对象的姓名、职务、授予数量、占股权激励计划总量的比例、占授予时总股本的比例。</w:t>
      </w:r>
    </w:p>
    <w:tbl>
      <w:tblPr>
        <w:tblStyle w:val="15"/>
        <w:tblW w:w="8234" w:type="dxa"/>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704"/>
        <w:gridCol w:w="1704"/>
        <w:gridCol w:w="1705"/>
        <w:gridCol w:w="1705"/>
      </w:tblGrid>
      <w:tr w14:paraId="0554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vAlign w:val="center"/>
          </w:tcPr>
          <w:p w14:paraId="4DC79574">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姓名</w:t>
            </w:r>
          </w:p>
        </w:tc>
        <w:tc>
          <w:tcPr>
            <w:tcW w:w="1704" w:type="dxa"/>
            <w:vAlign w:val="center"/>
          </w:tcPr>
          <w:p w14:paraId="1A35AF3B">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职务</w:t>
            </w:r>
          </w:p>
        </w:tc>
        <w:tc>
          <w:tcPr>
            <w:tcW w:w="1704" w:type="dxa"/>
            <w:vAlign w:val="center"/>
          </w:tcPr>
          <w:p w14:paraId="0D66A8FB">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授予数量</w:t>
            </w:r>
          </w:p>
        </w:tc>
        <w:tc>
          <w:tcPr>
            <w:tcW w:w="1705" w:type="dxa"/>
            <w:vAlign w:val="center"/>
          </w:tcPr>
          <w:p w14:paraId="06BC7DB9">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占股权激励计划总量的比例</w:t>
            </w:r>
          </w:p>
        </w:tc>
        <w:tc>
          <w:tcPr>
            <w:tcW w:w="1705" w:type="dxa"/>
            <w:vAlign w:val="center"/>
          </w:tcPr>
          <w:p w14:paraId="56782966">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占授予时总股本的比例</w:t>
            </w:r>
          </w:p>
        </w:tc>
      </w:tr>
      <w:tr w14:paraId="4F87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14:paraId="24E1CC75">
            <w:pPr>
              <w:snapToGrid w:val="0"/>
              <w:spacing w:line="560" w:lineRule="exact"/>
              <w:rPr>
                <w:rFonts w:ascii="仿宋_GB2312" w:hAnsi="宋体" w:eastAsia="仿宋_GB2312"/>
                <w:kern w:val="0"/>
                <w:sz w:val="24"/>
                <w:szCs w:val="24"/>
              </w:rPr>
            </w:pPr>
          </w:p>
        </w:tc>
        <w:tc>
          <w:tcPr>
            <w:tcW w:w="1704" w:type="dxa"/>
          </w:tcPr>
          <w:p w14:paraId="79752C3A">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董事</w:t>
            </w:r>
          </w:p>
        </w:tc>
        <w:tc>
          <w:tcPr>
            <w:tcW w:w="1704" w:type="dxa"/>
          </w:tcPr>
          <w:p w14:paraId="2428E548">
            <w:pPr>
              <w:snapToGrid w:val="0"/>
              <w:spacing w:line="560" w:lineRule="exact"/>
              <w:rPr>
                <w:rFonts w:ascii="仿宋_GB2312" w:hAnsi="宋体" w:eastAsia="仿宋_GB2312"/>
                <w:kern w:val="0"/>
                <w:sz w:val="24"/>
                <w:szCs w:val="24"/>
              </w:rPr>
            </w:pPr>
          </w:p>
        </w:tc>
        <w:tc>
          <w:tcPr>
            <w:tcW w:w="1705" w:type="dxa"/>
          </w:tcPr>
          <w:p w14:paraId="6057887D">
            <w:pPr>
              <w:snapToGrid w:val="0"/>
              <w:spacing w:line="560" w:lineRule="exact"/>
              <w:rPr>
                <w:rFonts w:ascii="仿宋_GB2312" w:hAnsi="宋体" w:eastAsia="仿宋_GB2312"/>
                <w:kern w:val="0"/>
                <w:sz w:val="24"/>
                <w:szCs w:val="24"/>
              </w:rPr>
            </w:pPr>
          </w:p>
        </w:tc>
        <w:tc>
          <w:tcPr>
            <w:tcW w:w="1705" w:type="dxa"/>
          </w:tcPr>
          <w:p w14:paraId="4C737AD0">
            <w:pPr>
              <w:snapToGrid w:val="0"/>
              <w:spacing w:line="560" w:lineRule="exact"/>
              <w:rPr>
                <w:rFonts w:ascii="仿宋_GB2312" w:hAnsi="宋体" w:eastAsia="仿宋_GB2312"/>
                <w:kern w:val="0"/>
                <w:sz w:val="24"/>
                <w:szCs w:val="24"/>
              </w:rPr>
            </w:pPr>
          </w:p>
        </w:tc>
      </w:tr>
      <w:tr w14:paraId="3054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14:paraId="52D6C36E">
            <w:pPr>
              <w:snapToGrid w:val="0"/>
              <w:spacing w:line="560" w:lineRule="exact"/>
              <w:rPr>
                <w:rFonts w:ascii="仿宋_GB2312" w:hAnsi="宋体" w:eastAsia="仿宋_GB2312"/>
                <w:kern w:val="0"/>
                <w:sz w:val="24"/>
                <w:szCs w:val="24"/>
              </w:rPr>
            </w:pPr>
          </w:p>
        </w:tc>
        <w:tc>
          <w:tcPr>
            <w:tcW w:w="1704" w:type="dxa"/>
          </w:tcPr>
          <w:p w14:paraId="4FEB5ACD">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w:t>
            </w:r>
          </w:p>
        </w:tc>
        <w:tc>
          <w:tcPr>
            <w:tcW w:w="1704" w:type="dxa"/>
          </w:tcPr>
          <w:p w14:paraId="2835B6A6">
            <w:pPr>
              <w:snapToGrid w:val="0"/>
              <w:spacing w:line="560" w:lineRule="exact"/>
              <w:rPr>
                <w:rFonts w:ascii="仿宋_GB2312" w:hAnsi="宋体" w:eastAsia="仿宋_GB2312"/>
                <w:kern w:val="0"/>
                <w:sz w:val="24"/>
                <w:szCs w:val="24"/>
              </w:rPr>
            </w:pPr>
          </w:p>
        </w:tc>
        <w:tc>
          <w:tcPr>
            <w:tcW w:w="1705" w:type="dxa"/>
          </w:tcPr>
          <w:p w14:paraId="3DB5BB68">
            <w:pPr>
              <w:snapToGrid w:val="0"/>
              <w:spacing w:line="560" w:lineRule="exact"/>
              <w:rPr>
                <w:rFonts w:ascii="仿宋_GB2312" w:hAnsi="宋体" w:eastAsia="仿宋_GB2312"/>
                <w:kern w:val="0"/>
                <w:sz w:val="24"/>
                <w:szCs w:val="24"/>
              </w:rPr>
            </w:pPr>
          </w:p>
        </w:tc>
        <w:tc>
          <w:tcPr>
            <w:tcW w:w="1705" w:type="dxa"/>
          </w:tcPr>
          <w:p w14:paraId="1D1AD814">
            <w:pPr>
              <w:snapToGrid w:val="0"/>
              <w:spacing w:line="560" w:lineRule="exact"/>
              <w:rPr>
                <w:rFonts w:ascii="仿宋_GB2312" w:hAnsi="宋体" w:eastAsia="仿宋_GB2312"/>
                <w:kern w:val="0"/>
                <w:sz w:val="24"/>
                <w:szCs w:val="24"/>
              </w:rPr>
            </w:pPr>
          </w:p>
        </w:tc>
      </w:tr>
      <w:tr w14:paraId="758F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6" w:type="dxa"/>
          </w:tcPr>
          <w:p w14:paraId="0BA5263A">
            <w:pPr>
              <w:snapToGrid w:val="0"/>
              <w:spacing w:line="560" w:lineRule="exact"/>
              <w:rPr>
                <w:rFonts w:ascii="仿宋_GB2312" w:hAnsi="宋体" w:eastAsia="仿宋_GB2312"/>
                <w:kern w:val="0"/>
                <w:sz w:val="24"/>
                <w:szCs w:val="24"/>
              </w:rPr>
            </w:pPr>
          </w:p>
        </w:tc>
        <w:tc>
          <w:tcPr>
            <w:tcW w:w="1704" w:type="dxa"/>
          </w:tcPr>
          <w:p w14:paraId="25B17246">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高级管理人员</w:t>
            </w:r>
          </w:p>
        </w:tc>
        <w:tc>
          <w:tcPr>
            <w:tcW w:w="1704" w:type="dxa"/>
          </w:tcPr>
          <w:p w14:paraId="74212882">
            <w:pPr>
              <w:snapToGrid w:val="0"/>
              <w:spacing w:line="560" w:lineRule="exact"/>
              <w:rPr>
                <w:rFonts w:ascii="仿宋_GB2312" w:hAnsi="宋体" w:eastAsia="仿宋_GB2312"/>
                <w:kern w:val="0"/>
                <w:sz w:val="24"/>
                <w:szCs w:val="24"/>
              </w:rPr>
            </w:pPr>
          </w:p>
        </w:tc>
        <w:tc>
          <w:tcPr>
            <w:tcW w:w="1705" w:type="dxa"/>
          </w:tcPr>
          <w:p w14:paraId="0DCCC3C7">
            <w:pPr>
              <w:snapToGrid w:val="0"/>
              <w:spacing w:line="560" w:lineRule="exact"/>
              <w:rPr>
                <w:rFonts w:ascii="仿宋_GB2312" w:hAnsi="宋体" w:eastAsia="仿宋_GB2312"/>
                <w:kern w:val="0"/>
                <w:sz w:val="24"/>
                <w:szCs w:val="24"/>
              </w:rPr>
            </w:pPr>
          </w:p>
        </w:tc>
        <w:tc>
          <w:tcPr>
            <w:tcW w:w="1705" w:type="dxa"/>
          </w:tcPr>
          <w:p w14:paraId="2A1B6982">
            <w:pPr>
              <w:snapToGrid w:val="0"/>
              <w:spacing w:line="560" w:lineRule="exact"/>
              <w:rPr>
                <w:rFonts w:ascii="仿宋_GB2312" w:hAnsi="宋体" w:eastAsia="仿宋_GB2312"/>
                <w:kern w:val="0"/>
                <w:sz w:val="24"/>
                <w:szCs w:val="24"/>
              </w:rPr>
            </w:pPr>
          </w:p>
        </w:tc>
      </w:tr>
      <w:tr w14:paraId="3A06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14:paraId="536DCC0A">
            <w:pPr>
              <w:snapToGrid w:val="0"/>
              <w:spacing w:line="560" w:lineRule="exact"/>
              <w:rPr>
                <w:rFonts w:ascii="仿宋_GB2312" w:hAnsi="宋体" w:eastAsia="仿宋_GB2312"/>
                <w:kern w:val="0"/>
                <w:sz w:val="24"/>
                <w:szCs w:val="24"/>
              </w:rPr>
            </w:pPr>
          </w:p>
        </w:tc>
        <w:tc>
          <w:tcPr>
            <w:tcW w:w="1704" w:type="dxa"/>
          </w:tcPr>
          <w:p w14:paraId="39CEA52B">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w:t>
            </w:r>
          </w:p>
        </w:tc>
        <w:tc>
          <w:tcPr>
            <w:tcW w:w="1704" w:type="dxa"/>
          </w:tcPr>
          <w:p w14:paraId="13AA26B2">
            <w:pPr>
              <w:snapToGrid w:val="0"/>
              <w:spacing w:line="560" w:lineRule="exact"/>
              <w:rPr>
                <w:rFonts w:ascii="仿宋_GB2312" w:hAnsi="宋体" w:eastAsia="仿宋_GB2312"/>
                <w:kern w:val="0"/>
                <w:sz w:val="24"/>
                <w:szCs w:val="24"/>
              </w:rPr>
            </w:pPr>
          </w:p>
        </w:tc>
        <w:tc>
          <w:tcPr>
            <w:tcW w:w="1705" w:type="dxa"/>
          </w:tcPr>
          <w:p w14:paraId="668869A4">
            <w:pPr>
              <w:snapToGrid w:val="0"/>
              <w:spacing w:line="560" w:lineRule="exact"/>
              <w:rPr>
                <w:rFonts w:ascii="仿宋_GB2312" w:hAnsi="宋体" w:eastAsia="仿宋_GB2312"/>
                <w:kern w:val="0"/>
                <w:sz w:val="24"/>
                <w:szCs w:val="24"/>
              </w:rPr>
            </w:pPr>
          </w:p>
        </w:tc>
        <w:tc>
          <w:tcPr>
            <w:tcW w:w="1705" w:type="dxa"/>
          </w:tcPr>
          <w:p w14:paraId="27BEC143">
            <w:pPr>
              <w:snapToGrid w:val="0"/>
              <w:spacing w:line="560" w:lineRule="exact"/>
              <w:rPr>
                <w:rFonts w:ascii="仿宋_GB2312" w:hAnsi="宋体" w:eastAsia="仿宋_GB2312"/>
                <w:kern w:val="0"/>
                <w:sz w:val="24"/>
                <w:szCs w:val="24"/>
              </w:rPr>
            </w:pPr>
          </w:p>
        </w:tc>
      </w:tr>
      <w:tr w14:paraId="2895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14:paraId="3F7CCECF">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小计</w:t>
            </w:r>
          </w:p>
        </w:tc>
        <w:tc>
          <w:tcPr>
            <w:tcW w:w="1704" w:type="dxa"/>
          </w:tcPr>
          <w:p w14:paraId="3DDBA9E2">
            <w:pPr>
              <w:snapToGrid w:val="0"/>
              <w:spacing w:line="560" w:lineRule="exact"/>
              <w:rPr>
                <w:rFonts w:ascii="仿宋_GB2312" w:hAnsi="宋体" w:eastAsia="仿宋_GB2312"/>
                <w:kern w:val="0"/>
                <w:sz w:val="24"/>
                <w:szCs w:val="24"/>
              </w:rPr>
            </w:pPr>
          </w:p>
        </w:tc>
        <w:tc>
          <w:tcPr>
            <w:tcW w:w="1704" w:type="dxa"/>
          </w:tcPr>
          <w:p w14:paraId="7B712477">
            <w:pPr>
              <w:snapToGrid w:val="0"/>
              <w:spacing w:line="560" w:lineRule="exact"/>
              <w:rPr>
                <w:rFonts w:ascii="仿宋_GB2312" w:hAnsi="宋体" w:eastAsia="仿宋_GB2312"/>
                <w:kern w:val="0"/>
                <w:sz w:val="24"/>
                <w:szCs w:val="24"/>
              </w:rPr>
            </w:pPr>
          </w:p>
        </w:tc>
        <w:tc>
          <w:tcPr>
            <w:tcW w:w="1705" w:type="dxa"/>
          </w:tcPr>
          <w:p w14:paraId="0DB86475">
            <w:pPr>
              <w:snapToGrid w:val="0"/>
              <w:spacing w:line="560" w:lineRule="exact"/>
              <w:rPr>
                <w:rFonts w:ascii="仿宋_GB2312" w:hAnsi="宋体" w:eastAsia="仿宋_GB2312"/>
                <w:kern w:val="0"/>
                <w:sz w:val="24"/>
                <w:szCs w:val="24"/>
              </w:rPr>
            </w:pPr>
          </w:p>
        </w:tc>
        <w:tc>
          <w:tcPr>
            <w:tcW w:w="1705" w:type="dxa"/>
          </w:tcPr>
          <w:p w14:paraId="3FADC26E">
            <w:pPr>
              <w:snapToGrid w:val="0"/>
              <w:spacing w:line="560" w:lineRule="exact"/>
              <w:rPr>
                <w:rFonts w:ascii="仿宋_GB2312" w:hAnsi="宋体" w:eastAsia="仿宋_GB2312"/>
                <w:kern w:val="0"/>
                <w:sz w:val="24"/>
                <w:szCs w:val="24"/>
              </w:rPr>
            </w:pPr>
          </w:p>
        </w:tc>
      </w:tr>
      <w:tr w14:paraId="5822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dxa"/>
          </w:tcPr>
          <w:p w14:paraId="1806A83B">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其他激励对象</w:t>
            </w:r>
          </w:p>
        </w:tc>
        <w:tc>
          <w:tcPr>
            <w:tcW w:w="1704" w:type="dxa"/>
          </w:tcPr>
          <w:p w14:paraId="0722CFE0">
            <w:pPr>
              <w:snapToGrid w:val="0"/>
              <w:spacing w:line="560" w:lineRule="exact"/>
              <w:rPr>
                <w:rFonts w:ascii="仿宋_GB2312" w:hAnsi="宋体" w:eastAsia="仿宋_GB2312"/>
                <w:kern w:val="0"/>
                <w:sz w:val="24"/>
                <w:szCs w:val="24"/>
              </w:rPr>
            </w:pPr>
          </w:p>
        </w:tc>
        <w:tc>
          <w:tcPr>
            <w:tcW w:w="1704" w:type="dxa"/>
          </w:tcPr>
          <w:p w14:paraId="60F4D2AD">
            <w:pPr>
              <w:snapToGrid w:val="0"/>
              <w:spacing w:line="560" w:lineRule="exact"/>
              <w:rPr>
                <w:rFonts w:ascii="仿宋_GB2312" w:hAnsi="宋体" w:eastAsia="仿宋_GB2312"/>
                <w:kern w:val="0"/>
                <w:sz w:val="24"/>
                <w:szCs w:val="24"/>
              </w:rPr>
            </w:pPr>
          </w:p>
        </w:tc>
        <w:tc>
          <w:tcPr>
            <w:tcW w:w="1705" w:type="dxa"/>
          </w:tcPr>
          <w:p w14:paraId="00135374">
            <w:pPr>
              <w:snapToGrid w:val="0"/>
              <w:spacing w:line="560" w:lineRule="exact"/>
              <w:rPr>
                <w:rFonts w:ascii="仿宋_GB2312" w:hAnsi="宋体" w:eastAsia="仿宋_GB2312"/>
                <w:kern w:val="0"/>
                <w:sz w:val="24"/>
                <w:szCs w:val="24"/>
              </w:rPr>
            </w:pPr>
          </w:p>
        </w:tc>
        <w:tc>
          <w:tcPr>
            <w:tcW w:w="1705" w:type="dxa"/>
          </w:tcPr>
          <w:p w14:paraId="19BE8757">
            <w:pPr>
              <w:snapToGrid w:val="0"/>
              <w:spacing w:line="560" w:lineRule="exact"/>
              <w:rPr>
                <w:rFonts w:ascii="仿宋_GB2312" w:hAnsi="宋体" w:eastAsia="仿宋_GB2312"/>
                <w:kern w:val="0"/>
                <w:sz w:val="24"/>
                <w:szCs w:val="24"/>
              </w:rPr>
            </w:pPr>
          </w:p>
        </w:tc>
      </w:tr>
      <w:tr w14:paraId="2397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6" w:type="dxa"/>
          </w:tcPr>
          <w:p w14:paraId="1D99731A">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总计</w:t>
            </w:r>
          </w:p>
        </w:tc>
        <w:tc>
          <w:tcPr>
            <w:tcW w:w="1704" w:type="dxa"/>
          </w:tcPr>
          <w:p w14:paraId="1D94B3EA">
            <w:pPr>
              <w:snapToGrid w:val="0"/>
              <w:spacing w:line="560" w:lineRule="exact"/>
              <w:rPr>
                <w:rFonts w:ascii="仿宋_GB2312" w:hAnsi="宋体" w:eastAsia="仿宋_GB2312"/>
                <w:kern w:val="0"/>
                <w:sz w:val="24"/>
                <w:szCs w:val="24"/>
              </w:rPr>
            </w:pPr>
          </w:p>
        </w:tc>
        <w:tc>
          <w:tcPr>
            <w:tcW w:w="1704" w:type="dxa"/>
          </w:tcPr>
          <w:p w14:paraId="4A28CB80">
            <w:pPr>
              <w:snapToGrid w:val="0"/>
              <w:spacing w:line="560" w:lineRule="exact"/>
              <w:rPr>
                <w:rFonts w:ascii="仿宋_GB2312" w:hAnsi="宋体" w:eastAsia="仿宋_GB2312"/>
                <w:kern w:val="0"/>
                <w:sz w:val="24"/>
                <w:szCs w:val="24"/>
              </w:rPr>
            </w:pPr>
          </w:p>
        </w:tc>
        <w:tc>
          <w:tcPr>
            <w:tcW w:w="1705" w:type="dxa"/>
          </w:tcPr>
          <w:p w14:paraId="12559FCB">
            <w:pPr>
              <w:snapToGrid w:val="0"/>
              <w:spacing w:line="560" w:lineRule="exact"/>
              <w:rPr>
                <w:rFonts w:ascii="仿宋_GB2312" w:hAnsi="宋体" w:eastAsia="仿宋_GB2312"/>
                <w:kern w:val="0"/>
                <w:sz w:val="24"/>
                <w:szCs w:val="24"/>
              </w:rPr>
            </w:pPr>
          </w:p>
        </w:tc>
        <w:tc>
          <w:tcPr>
            <w:tcW w:w="1705" w:type="dxa"/>
          </w:tcPr>
          <w:p w14:paraId="7B172483">
            <w:pPr>
              <w:snapToGrid w:val="0"/>
              <w:spacing w:line="560" w:lineRule="exact"/>
              <w:rPr>
                <w:rFonts w:ascii="仿宋_GB2312" w:hAnsi="宋体" w:eastAsia="仿宋_GB2312"/>
                <w:kern w:val="0"/>
                <w:sz w:val="24"/>
                <w:szCs w:val="24"/>
              </w:rPr>
            </w:pPr>
          </w:p>
        </w:tc>
      </w:tr>
    </w:tbl>
    <w:p w14:paraId="0157773A">
      <w:pPr>
        <w:snapToGrid w:val="0"/>
        <w:spacing w:line="560" w:lineRule="exact"/>
        <w:rPr>
          <w:rFonts w:ascii="仿宋_GB2312" w:hAnsi="宋体" w:eastAsia="仿宋_GB2312"/>
          <w:sz w:val="30"/>
          <w:szCs w:val="30"/>
        </w:rPr>
      </w:pPr>
    </w:p>
    <w:p w14:paraId="212F2DD3">
      <w:pPr>
        <w:snapToGrid w:val="0"/>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二、董事会薪酬与考核委员会对激励对象名单核实的情况</w:t>
      </w:r>
    </w:p>
    <w:p w14:paraId="6F7F88C2">
      <w:pPr>
        <w:snapToGrid w:val="0"/>
        <w:spacing w:line="560" w:lineRule="exact"/>
        <w:ind w:firstLine="602" w:firstLineChars="200"/>
        <w:rPr>
          <w:rFonts w:ascii="黑体" w:hAnsi="黑体" w:eastAsia="黑体" w:cs="Times New Roman"/>
          <w:b/>
          <w:sz w:val="30"/>
          <w:szCs w:val="30"/>
        </w:rPr>
      </w:pPr>
    </w:p>
    <w:p w14:paraId="79508913">
      <w:pPr>
        <w:snapToGrid w:val="0"/>
        <w:spacing w:line="560" w:lineRule="exact"/>
        <w:ind w:firstLine="602" w:firstLineChars="200"/>
        <w:rPr>
          <w:rFonts w:ascii="黑体" w:hAnsi="黑体" w:eastAsia="黑体" w:cs="Times New Roman"/>
          <w:b/>
          <w:sz w:val="30"/>
          <w:szCs w:val="30"/>
        </w:rPr>
      </w:pPr>
    </w:p>
    <w:p w14:paraId="2AF1E0FA">
      <w:pPr>
        <w:snapToGrid w:val="0"/>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三、激励对象为董事、高级管理人员的，在限制性股票授予日前6个月卖出公司股份情况的说明。</w:t>
      </w:r>
    </w:p>
    <w:p w14:paraId="19D43840">
      <w:pPr>
        <w:snapToGrid w:val="0"/>
        <w:spacing w:line="560" w:lineRule="exact"/>
        <w:ind w:firstLine="602" w:firstLineChars="200"/>
        <w:rPr>
          <w:rFonts w:ascii="黑体" w:hAnsi="黑体" w:eastAsia="黑体" w:cs="Times New Roman"/>
          <w:b/>
          <w:sz w:val="30"/>
          <w:szCs w:val="30"/>
        </w:rPr>
      </w:pPr>
    </w:p>
    <w:p w14:paraId="251235FC">
      <w:pPr>
        <w:snapToGrid w:val="0"/>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四、权益授予后对公司财务状况的影响</w:t>
      </w:r>
    </w:p>
    <w:p w14:paraId="7586AC47">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根据《企业会计准则第11号——股份支付》的规定，说明本次股权激励计划权益授予对公司相关会计年度财务状况和经营成果的影响。上市公司需说明股权激励成本的会计处理方式及计算方法。</w:t>
      </w:r>
    </w:p>
    <w:p w14:paraId="3173AE1C">
      <w:pPr>
        <w:snapToGrid w:val="0"/>
        <w:spacing w:line="560" w:lineRule="exact"/>
        <w:ind w:firstLine="600" w:firstLineChars="200"/>
        <w:rPr>
          <w:rFonts w:ascii="仿宋_GB2312" w:hAnsi="宋体" w:eastAsia="仿宋_GB2312"/>
          <w:sz w:val="30"/>
          <w:szCs w:val="30"/>
        </w:rPr>
      </w:pPr>
    </w:p>
    <w:p w14:paraId="6C395341">
      <w:pPr>
        <w:snapToGrid w:val="0"/>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五、法律意见书的结论性意见</w:t>
      </w:r>
    </w:p>
    <w:p w14:paraId="35F3991E">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律师事务所就本次股权激励授予出具法律意见书的结论性意见。</w:t>
      </w:r>
    </w:p>
    <w:p w14:paraId="1B3ED544">
      <w:pPr>
        <w:snapToGrid w:val="0"/>
        <w:spacing w:line="560" w:lineRule="exact"/>
        <w:ind w:firstLine="600" w:firstLineChars="200"/>
        <w:rPr>
          <w:rFonts w:ascii="仿宋_GB2312" w:hAnsi="宋体" w:eastAsia="仿宋_GB2312"/>
          <w:sz w:val="30"/>
          <w:szCs w:val="30"/>
        </w:rPr>
      </w:pPr>
    </w:p>
    <w:p w14:paraId="23667A3F">
      <w:pPr>
        <w:widowControl/>
        <w:adjustRightInd w:val="0"/>
        <w:snapToGrid w:val="0"/>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特此公告。</w:t>
      </w:r>
    </w:p>
    <w:p w14:paraId="629F6BB9">
      <w:pPr>
        <w:widowControl/>
        <w:adjustRightInd w:val="0"/>
        <w:snapToGrid w:val="0"/>
        <w:spacing w:line="560" w:lineRule="exact"/>
        <w:ind w:firstLine="600" w:firstLineChars="200"/>
        <w:rPr>
          <w:rFonts w:ascii="仿宋_GB2312" w:hAnsi="仿宋" w:eastAsia="仿宋_GB2312" w:cs="宋体"/>
          <w:kern w:val="0"/>
          <w:sz w:val="30"/>
          <w:szCs w:val="30"/>
        </w:rPr>
      </w:pPr>
    </w:p>
    <w:p w14:paraId="49FC04EA">
      <w:pPr>
        <w:adjustRightInd w:val="0"/>
        <w:snapToGrid w:val="0"/>
        <w:spacing w:beforeLines="50" w:afterLines="50" w:line="560" w:lineRule="exact"/>
        <w:ind w:firstLine="600" w:firstLineChars="200"/>
        <w:jc w:val="right"/>
        <w:rPr>
          <w:rFonts w:ascii="仿宋_GB2312" w:hAnsi="仿宋" w:eastAsia="仿宋_GB2312"/>
          <w:bCs/>
          <w:sz w:val="30"/>
          <w:szCs w:val="30"/>
        </w:rPr>
      </w:pPr>
      <w:r>
        <w:rPr>
          <w:rFonts w:hint="eastAsia" w:ascii="仿宋_GB2312" w:hAnsi="仿宋" w:eastAsia="仿宋_GB2312"/>
          <w:bCs/>
          <w:sz w:val="30"/>
          <w:szCs w:val="30"/>
        </w:rPr>
        <w:t>XXXX股份有限公司董事会</w:t>
      </w:r>
    </w:p>
    <w:p w14:paraId="6EF55EB2">
      <w:pPr>
        <w:adjustRightInd w:val="0"/>
        <w:snapToGrid w:val="0"/>
        <w:spacing w:beforeLines="50" w:afterLines="50" w:line="560" w:lineRule="exact"/>
        <w:ind w:firstLine="600" w:firstLineChars="200"/>
        <w:jc w:val="right"/>
        <w:rPr>
          <w:rFonts w:ascii="仿宋_GB2312" w:hAnsi="宋体" w:eastAsia="仿宋_GB2312"/>
          <w:sz w:val="30"/>
          <w:szCs w:val="30"/>
        </w:rPr>
      </w:pPr>
      <w:r>
        <w:rPr>
          <w:rFonts w:hint="eastAsia" w:ascii="仿宋_GB2312" w:hAnsi="仿宋" w:eastAsia="仿宋_GB2312"/>
          <w:bCs/>
          <w:sz w:val="30"/>
          <w:szCs w:val="30"/>
        </w:rPr>
        <w:t>年  月  日</w:t>
      </w:r>
    </w:p>
    <w:p w14:paraId="5069F7D7">
      <w:pPr>
        <w:adjustRightInd w:val="0"/>
        <w:snapToGrid w:val="0"/>
        <w:spacing w:line="560" w:lineRule="exact"/>
        <w:ind w:firstLine="600" w:firstLineChars="200"/>
        <w:jc w:val="right"/>
        <w:rPr>
          <w:rFonts w:ascii="仿宋_GB2312" w:hAnsi="宋体" w:eastAsia="仿宋_GB2312"/>
          <w:color w:val="000000"/>
          <w:sz w:val="30"/>
          <w:szCs w:val="30"/>
        </w:rPr>
      </w:pPr>
    </w:p>
    <w:p w14:paraId="5637EBFA">
      <w:pPr>
        <w:numPr>
          <w:ilvl w:val="0"/>
          <w:numId w:val="4"/>
        </w:numPr>
        <w:adjustRightInd w:val="0"/>
        <w:snapToGrid w:val="0"/>
        <w:spacing w:line="560" w:lineRule="exact"/>
        <w:rPr>
          <w:rFonts w:ascii="仿宋_GB2312" w:hAnsi="宋体" w:eastAsia="仿宋_GB2312"/>
          <w:b/>
          <w:bCs/>
          <w:color w:val="000000"/>
          <w:sz w:val="30"/>
          <w:szCs w:val="30"/>
        </w:rPr>
      </w:pPr>
      <w:r>
        <w:rPr>
          <w:rFonts w:hint="eastAsia" w:ascii="仿宋_GB2312" w:hAnsi="宋体" w:eastAsia="仿宋_GB2312"/>
          <w:b/>
          <w:bCs/>
          <w:color w:val="000000"/>
          <w:sz w:val="30"/>
          <w:szCs w:val="30"/>
        </w:rPr>
        <w:t>上网公告文件</w:t>
      </w:r>
    </w:p>
    <w:p w14:paraId="168C54AF">
      <w:pPr>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sz w:val="30"/>
          <w:szCs w:val="30"/>
        </w:rPr>
        <w:t>法律意见书</w:t>
      </w:r>
    </w:p>
    <w:p w14:paraId="014B654F">
      <w:pPr>
        <w:spacing w:line="560" w:lineRule="exact"/>
      </w:pPr>
      <w:bookmarkStart w:id="20" w:name="_Toc352226123"/>
      <w:bookmarkStart w:id="21" w:name="_Toc356840109"/>
      <w:r>
        <w:rPr>
          <w:rFonts w:hint="eastAsia"/>
        </w:rPr>
        <w:t xml:space="preserve">   </w:t>
      </w:r>
      <w:r>
        <w:rPr>
          <w:rFonts w:ascii="仿宋_GB2312" w:hAnsi="宋体" w:eastAsia="仿宋_GB2312"/>
          <w:sz w:val="30"/>
          <w:szCs w:val="30"/>
        </w:rPr>
        <w:t xml:space="preserve">  </w:t>
      </w:r>
    </w:p>
    <w:p w14:paraId="32955DC9">
      <w:pPr>
        <w:snapToGrid w:val="0"/>
        <w:spacing w:line="560" w:lineRule="exact"/>
        <w:rPr>
          <w:rFonts w:eastAsia="黑体"/>
        </w:rPr>
      </w:pPr>
      <w:r>
        <w:rPr>
          <w:rFonts w:eastAsia="黑体"/>
        </w:rPr>
        <w:br w:type="page"/>
      </w:r>
      <w:bookmarkStart w:id="22" w:name="_Toc1153456744"/>
      <w:bookmarkStart w:id="23" w:name="_Toc57800062"/>
      <w:bookmarkStart w:id="24" w:name="_Toc101449321"/>
      <w:bookmarkStart w:id="25" w:name="_Toc2032508030"/>
    </w:p>
    <w:p w14:paraId="35614EF0">
      <w:pPr>
        <w:pStyle w:val="3"/>
        <w:spacing w:line="560" w:lineRule="exact"/>
        <w:rPr>
          <w:rFonts w:ascii="黑体" w:hAnsi="黑体"/>
        </w:rPr>
      </w:pPr>
      <w:r>
        <w:rPr>
          <w:rFonts w:ascii="黑体" w:hAnsi="黑体"/>
        </w:rPr>
        <w:t>3.上市公司股权激励计划限制性股票授予结果公告</w:t>
      </w:r>
      <w:bookmarkEnd w:id="20"/>
      <w:bookmarkEnd w:id="21"/>
      <w:bookmarkEnd w:id="22"/>
      <w:bookmarkEnd w:id="23"/>
      <w:bookmarkEnd w:id="24"/>
      <w:bookmarkEnd w:id="25"/>
    </w:p>
    <w:p w14:paraId="1780E622">
      <w:pPr>
        <w:autoSpaceDE w:val="0"/>
        <w:autoSpaceDN w:val="0"/>
        <w:adjustRightInd w:val="0"/>
        <w:spacing w:line="560" w:lineRule="exact"/>
        <w:ind w:firstLine="602" w:firstLineChars="200"/>
        <w:rPr>
          <w:rFonts w:ascii="仿宋_GB2312" w:hAnsi="宋体" w:eastAsia="仿宋_GB2312"/>
          <w:b/>
          <w:sz w:val="30"/>
          <w:szCs w:val="30"/>
        </w:rPr>
      </w:pPr>
    </w:p>
    <w:p w14:paraId="56ECA88A">
      <w:pPr>
        <w:autoSpaceDE w:val="0"/>
        <w:autoSpaceDN w:val="0"/>
        <w:adjustRightIn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56CAB69D">
      <w:pPr>
        <w:autoSpaceDE w:val="0"/>
        <w:autoSpaceDN w:val="0"/>
        <w:adjustRightIn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本公告格式适用于上市公司完成授予限制性股票股份登记的情形。</w:t>
      </w:r>
    </w:p>
    <w:p w14:paraId="1F64FE1B">
      <w:pPr>
        <w:autoSpaceDE w:val="0"/>
        <w:autoSpaceDN w:val="0"/>
        <w:adjustRightInd w:val="0"/>
        <w:spacing w:line="560" w:lineRule="exact"/>
        <w:ind w:firstLine="600" w:firstLineChars="200"/>
        <w:rPr>
          <w:rFonts w:ascii="仿宋_GB2312" w:hAnsi="宋体" w:eastAsia="仿宋_GB2312"/>
          <w:sz w:val="30"/>
          <w:szCs w:val="30"/>
        </w:rPr>
      </w:pPr>
    </w:p>
    <w:p w14:paraId="2E147DBB">
      <w:pPr>
        <w:widowControl/>
        <w:adjustRightInd w:val="0"/>
        <w:snapToGrid w:val="0"/>
        <w:spacing w:line="560" w:lineRule="exact"/>
        <w:rPr>
          <w:rFonts w:ascii="仿宋" w:hAnsi="仿宋" w:eastAsia="仿宋_GB2312" w:cs="宋体"/>
          <w:kern w:val="0"/>
          <w:sz w:val="30"/>
          <w:szCs w:val="30"/>
        </w:rPr>
      </w:pPr>
      <w:r>
        <w:rPr>
          <w:rFonts w:hint="eastAsia" w:ascii="仿宋" w:hAnsi="仿宋" w:eastAsia="仿宋_GB2312" w:cs="宋体"/>
          <w:kern w:val="0"/>
          <w:sz w:val="30"/>
          <w:szCs w:val="30"/>
        </w:rPr>
        <w:t>证券代码：</w:t>
      </w:r>
      <w:r>
        <w:rPr>
          <w:rFonts w:ascii="仿宋" w:hAnsi="仿宋" w:eastAsia="仿宋_GB2312" w:cs="宋体"/>
          <w:kern w:val="0"/>
          <w:sz w:val="30"/>
          <w:szCs w:val="30"/>
        </w:rPr>
        <w:t xml:space="preserve">             </w:t>
      </w:r>
      <w:r>
        <w:rPr>
          <w:rFonts w:hint="eastAsia" w:ascii="仿宋" w:hAnsi="仿宋" w:eastAsia="仿宋_GB2312" w:cs="宋体"/>
          <w:kern w:val="0"/>
          <w:sz w:val="30"/>
          <w:szCs w:val="30"/>
        </w:rPr>
        <w:t>证券简称：</w:t>
      </w:r>
      <w:r>
        <w:rPr>
          <w:rFonts w:ascii="仿宋" w:hAnsi="仿宋" w:eastAsia="仿宋_GB2312" w:cs="宋体"/>
          <w:kern w:val="0"/>
          <w:sz w:val="30"/>
          <w:szCs w:val="30"/>
        </w:rPr>
        <w:t xml:space="preserve">            </w:t>
      </w:r>
      <w:r>
        <w:rPr>
          <w:rFonts w:hint="eastAsia" w:ascii="仿宋" w:hAnsi="仿宋" w:eastAsia="仿宋_GB2312" w:cs="宋体"/>
          <w:kern w:val="0"/>
          <w:sz w:val="30"/>
          <w:szCs w:val="30"/>
        </w:rPr>
        <w:t>公告编号：</w:t>
      </w:r>
    </w:p>
    <w:p w14:paraId="73A9F288">
      <w:pPr>
        <w:adjustRightInd w:val="0"/>
        <w:snapToGrid w:val="0"/>
        <w:spacing w:line="560" w:lineRule="exact"/>
        <w:jc w:val="center"/>
        <w:rPr>
          <w:rFonts w:ascii="仿宋" w:hAnsi="仿宋" w:eastAsia="仿宋_GB2312"/>
          <w:sz w:val="30"/>
          <w:szCs w:val="30"/>
        </w:rPr>
      </w:pPr>
    </w:p>
    <w:p w14:paraId="4A92FECC">
      <w:pPr>
        <w:adjustRightInd w:val="0"/>
        <w:snapToGrid w:val="0"/>
        <w:spacing w:line="560" w:lineRule="exact"/>
        <w:jc w:val="center"/>
        <w:rPr>
          <w:rFonts w:ascii="仿宋" w:hAnsi="仿宋" w:eastAsia="仿宋_GB2312"/>
          <w:color w:val="000000"/>
          <w:sz w:val="30"/>
          <w:szCs w:val="30"/>
        </w:rPr>
      </w:pPr>
      <w:r>
        <w:rPr>
          <w:rFonts w:ascii="仿宋" w:hAnsi="仿宋" w:eastAsia="仿宋_GB2312" w:cs="宋体"/>
          <w:color w:val="000000"/>
          <w:kern w:val="0"/>
          <w:sz w:val="30"/>
          <w:szCs w:val="30"/>
        </w:rPr>
        <w:t>XXXX</w:t>
      </w:r>
      <w:r>
        <w:rPr>
          <w:rFonts w:hint="eastAsia" w:ascii="仿宋" w:hAnsi="仿宋" w:eastAsia="仿宋_GB2312" w:cs="宋体"/>
          <w:color w:val="000000"/>
          <w:kern w:val="0"/>
          <w:sz w:val="30"/>
          <w:szCs w:val="30"/>
        </w:rPr>
        <w:t>股份有限公司股权激励计划限制性股票授予结果公告</w:t>
      </w:r>
    </w:p>
    <w:p w14:paraId="0FB4353F">
      <w:pPr>
        <w:pStyle w:val="22"/>
        <w:spacing w:line="560" w:lineRule="exact"/>
        <w:jc w:val="center"/>
        <w:rPr>
          <w:rFonts w:ascii="宋体"/>
          <w:color w:val="000000"/>
          <w:sz w:val="30"/>
          <w:szCs w:val="30"/>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AD5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3B7653B">
            <w:pPr>
              <w:snapToGrid w:val="0"/>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本公司董事会及全体董事保证本公告内容不存在任何虚假记载、误导性陈述或者重大遗漏，并对其内容的真实性、准确性和完整性承担法律责任。</w:t>
            </w:r>
          </w:p>
          <w:p w14:paraId="2A42DDA3">
            <w:pPr>
              <w:snapToGrid w:val="0"/>
              <w:spacing w:line="560" w:lineRule="exact"/>
              <w:ind w:firstLine="600" w:firstLineChars="200"/>
              <w:rPr>
                <w:rFonts w:ascii="宋体" w:hAnsi="宋体" w:eastAsia="宋体" w:cs="Times New Roman"/>
                <w:color w:val="000000"/>
                <w:sz w:val="30"/>
                <w:szCs w:val="30"/>
              </w:rPr>
            </w:pPr>
            <w:r>
              <w:rPr>
                <w:rFonts w:ascii="仿宋_GB2312" w:hAnsi="仿宋_GB2312" w:eastAsia="仿宋_GB2312" w:cs="仿宋_GB2312"/>
                <w:color w:val="000000"/>
                <w:sz w:val="30"/>
                <w:szCs w:val="30"/>
              </w:rPr>
              <w:t>如有董事对临时公告内容的真实性、准确性和完整性无法保证或存在异议的，公司应当</w:t>
            </w:r>
            <w:r>
              <w:rPr>
                <w:rFonts w:hint="eastAsia" w:ascii="仿宋_GB2312" w:hAnsi="仿宋_GB2312" w:eastAsia="仿宋_GB2312" w:cs="仿宋_GB2312"/>
                <w:color w:val="000000"/>
                <w:sz w:val="30"/>
                <w:szCs w:val="30"/>
              </w:rPr>
              <w:t>在公告中作特别提示。</w:t>
            </w:r>
          </w:p>
        </w:tc>
      </w:tr>
    </w:tbl>
    <w:p w14:paraId="7DBE67FB">
      <w:pPr>
        <w:autoSpaceDE w:val="0"/>
        <w:autoSpaceDN w:val="0"/>
        <w:adjustRightInd w:val="0"/>
        <w:spacing w:line="560" w:lineRule="exact"/>
        <w:ind w:firstLine="600" w:firstLineChars="200"/>
        <w:rPr>
          <w:rFonts w:ascii="仿宋_GB2312" w:hAnsi="宋体" w:eastAsia="仿宋_GB2312"/>
          <w:sz w:val="30"/>
          <w:szCs w:val="30"/>
        </w:rPr>
      </w:pPr>
    </w:p>
    <w:p w14:paraId="5404837D">
      <w:pPr>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5857FCC2">
      <w:pPr>
        <w:numPr>
          <w:ilvl w:val="0"/>
          <w:numId w:val="3"/>
        </w:numPr>
        <w:snapToGrid w:val="0"/>
        <w:spacing w:line="560" w:lineRule="exact"/>
        <w:rPr>
          <w:rFonts w:ascii="仿宋_GB2312" w:hAnsi="宋体" w:eastAsia="仿宋_GB2312"/>
          <w:sz w:val="30"/>
          <w:szCs w:val="30"/>
        </w:rPr>
      </w:pPr>
      <w:r>
        <w:rPr>
          <w:rFonts w:hint="eastAsia" w:ascii="仿宋_GB2312" w:hAnsi="宋体" w:eastAsia="仿宋_GB2312"/>
          <w:sz w:val="30"/>
          <w:szCs w:val="30"/>
        </w:rPr>
        <w:t>限制性股票登记日</w:t>
      </w:r>
    </w:p>
    <w:p w14:paraId="7693FCE5">
      <w:pPr>
        <w:numPr>
          <w:ilvl w:val="0"/>
          <w:numId w:val="3"/>
        </w:numPr>
        <w:snapToGrid w:val="0"/>
        <w:spacing w:line="560" w:lineRule="exact"/>
        <w:rPr>
          <w:rFonts w:ascii="仿宋_GB2312" w:hAnsi="宋体" w:eastAsia="仿宋_GB2312"/>
          <w:sz w:val="30"/>
          <w:szCs w:val="30"/>
        </w:rPr>
      </w:pPr>
      <w:r>
        <w:rPr>
          <w:rFonts w:hint="eastAsia" w:ascii="仿宋_GB2312" w:hAnsi="宋体" w:eastAsia="仿宋_GB2312"/>
          <w:sz w:val="30"/>
          <w:szCs w:val="30"/>
        </w:rPr>
        <w:t>限制性股票登记数量</w:t>
      </w:r>
    </w:p>
    <w:p w14:paraId="79E570BB">
      <w:pPr>
        <w:tabs>
          <w:tab w:val="left" w:pos="900"/>
        </w:tabs>
        <w:snapToGrid w:val="0"/>
        <w:spacing w:line="560" w:lineRule="exact"/>
        <w:ind w:left="900"/>
        <w:rPr>
          <w:rFonts w:ascii="仿宋_GB2312" w:hAnsi="宋体" w:eastAsia="仿宋_GB2312"/>
          <w:sz w:val="30"/>
          <w:szCs w:val="30"/>
        </w:rPr>
      </w:pPr>
    </w:p>
    <w:p w14:paraId="67C255AC">
      <w:pPr>
        <w:snapToGrid w:val="0"/>
        <w:spacing w:line="560" w:lineRule="exact"/>
        <w:rPr>
          <w:rFonts w:ascii="黑体" w:hAnsi="黑体" w:eastAsia="黑体" w:cs="Times New Roman"/>
          <w:b/>
          <w:sz w:val="30"/>
          <w:szCs w:val="30"/>
        </w:rPr>
      </w:pPr>
      <w:r>
        <w:rPr>
          <w:rFonts w:hint="eastAsia" w:ascii="仿宋_GB2312" w:hAnsi="宋体" w:eastAsia="仿宋_GB2312"/>
          <w:b/>
          <w:sz w:val="30"/>
          <w:szCs w:val="30"/>
        </w:rPr>
        <w:t xml:space="preserve">   </w:t>
      </w:r>
      <w:r>
        <w:rPr>
          <w:rFonts w:hint="eastAsia" w:ascii="黑体" w:hAnsi="黑体" w:eastAsia="黑体" w:cs="Times New Roman"/>
          <w:b/>
          <w:sz w:val="30"/>
          <w:szCs w:val="30"/>
        </w:rPr>
        <w:t xml:space="preserve"> 一、限制性股票授予情况</w:t>
      </w:r>
    </w:p>
    <w:p w14:paraId="510287ED">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（一）简要说明限制性股票的授予情况，包括：授予董事会决议情况、授予日、授予价格、授予对象、授予人数、授予数量，股票来源等。</w:t>
      </w:r>
    </w:p>
    <w:p w14:paraId="2B1910FD">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实际授予数量与拟授予数量的差异说明。</w:t>
      </w:r>
    </w:p>
    <w:p w14:paraId="74F858B6">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（二）激励对象名单及授予情况：列表说明本次权益授予具体对象的姓名、职务、授予数量、占股权激励计划总量的比例、占授予时总股本的比例。</w:t>
      </w:r>
    </w:p>
    <w:tbl>
      <w:tblPr>
        <w:tblStyle w:val="15"/>
        <w:tblW w:w="8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704"/>
        <w:gridCol w:w="1704"/>
        <w:gridCol w:w="1705"/>
        <w:gridCol w:w="1705"/>
      </w:tblGrid>
      <w:tr w14:paraId="517D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3C5F9E6E">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姓名</w:t>
            </w:r>
          </w:p>
        </w:tc>
        <w:tc>
          <w:tcPr>
            <w:tcW w:w="1704" w:type="dxa"/>
            <w:vAlign w:val="center"/>
          </w:tcPr>
          <w:p w14:paraId="2999A89C">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职务</w:t>
            </w:r>
          </w:p>
        </w:tc>
        <w:tc>
          <w:tcPr>
            <w:tcW w:w="1704" w:type="dxa"/>
            <w:vAlign w:val="center"/>
          </w:tcPr>
          <w:p w14:paraId="47E88585">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授予数量</w:t>
            </w:r>
          </w:p>
        </w:tc>
        <w:tc>
          <w:tcPr>
            <w:tcW w:w="1705" w:type="dxa"/>
            <w:vAlign w:val="center"/>
          </w:tcPr>
          <w:p w14:paraId="45D6DA36">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占股权激励计划总量的比例</w:t>
            </w:r>
          </w:p>
        </w:tc>
        <w:tc>
          <w:tcPr>
            <w:tcW w:w="1705" w:type="dxa"/>
            <w:vAlign w:val="center"/>
          </w:tcPr>
          <w:p w14:paraId="48E66BAD">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占授予时总股本的比例</w:t>
            </w:r>
          </w:p>
        </w:tc>
      </w:tr>
      <w:tr w14:paraId="0372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Pr>
          <w:p w14:paraId="75A1EA84">
            <w:pPr>
              <w:snapToGrid w:val="0"/>
              <w:spacing w:line="560" w:lineRule="exact"/>
              <w:rPr>
                <w:rFonts w:ascii="仿宋_GB2312" w:hAnsi="宋体" w:eastAsia="仿宋_GB2312"/>
                <w:kern w:val="0"/>
                <w:sz w:val="24"/>
                <w:szCs w:val="24"/>
              </w:rPr>
            </w:pPr>
          </w:p>
        </w:tc>
        <w:tc>
          <w:tcPr>
            <w:tcW w:w="1704" w:type="dxa"/>
          </w:tcPr>
          <w:p w14:paraId="27DCE153">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董事</w:t>
            </w:r>
          </w:p>
        </w:tc>
        <w:tc>
          <w:tcPr>
            <w:tcW w:w="1704" w:type="dxa"/>
          </w:tcPr>
          <w:p w14:paraId="46A72443">
            <w:pPr>
              <w:snapToGrid w:val="0"/>
              <w:spacing w:line="560" w:lineRule="exact"/>
              <w:rPr>
                <w:rFonts w:ascii="仿宋_GB2312" w:hAnsi="宋体" w:eastAsia="仿宋_GB2312"/>
                <w:kern w:val="0"/>
                <w:sz w:val="24"/>
                <w:szCs w:val="24"/>
              </w:rPr>
            </w:pPr>
          </w:p>
        </w:tc>
        <w:tc>
          <w:tcPr>
            <w:tcW w:w="1705" w:type="dxa"/>
          </w:tcPr>
          <w:p w14:paraId="174C40D2">
            <w:pPr>
              <w:snapToGrid w:val="0"/>
              <w:spacing w:line="560" w:lineRule="exact"/>
              <w:rPr>
                <w:rFonts w:ascii="仿宋_GB2312" w:hAnsi="宋体" w:eastAsia="仿宋_GB2312"/>
                <w:kern w:val="0"/>
                <w:sz w:val="24"/>
                <w:szCs w:val="24"/>
              </w:rPr>
            </w:pPr>
          </w:p>
        </w:tc>
        <w:tc>
          <w:tcPr>
            <w:tcW w:w="1705" w:type="dxa"/>
          </w:tcPr>
          <w:p w14:paraId="33C3E42A">
            <w:pPr>
              <w:snapToGrid w:val="0"/>
              <w:spacing w:line="560" w:lineRule="exact"/>
              <w:rPr>
                <w:rFonts w:ascii="仿宋_GB2312" w:hAnsi="宋体" w:eastAsia="仿宋_GB2312"/>
                <w:kern w:val="0"/>
                <w:sz w:val="24"/>
                <w:szCs w:val="24"/>
              </w:rPr>
            </w:pPr>
          </w:p>
        </w:tc>
      </w:tr>
      <w:tr w14:paraId="5D48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Pr>
          <w:p w14:paraId="6EFD5E1C">
            <w:pPr>
              <w:snapToGrid w:val="0"/>
              <w:spacing w:line="560" w:lineRule="exact"/>
              <w:rPr>
                <w:rFonts w:ascii="仿宋_GB2312" w:hAnsi="宋体" w:eastAsia="仿宋_GB2312"/>
                <w:kern w:val="0"/>
                <w:sz w:val="24"/>
                <w:szCs w:val="24"/>
              </w:rPr>
            </w:pPr>
          </w:p>
        </w:tc>
        <w:tc>
          <w:tcPr>
            <w:tcW w:w="1704" w:type="dxa"/>
          </w:tcPr>
          <w:p w14:paraId="7AF37D7D">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w:t>
            </w:r>
          </w:p>
        </w:tc>
        <w:tc>
          <w:tcPr>
            <w:tcW w:w="1704" w:type="dxa"/>
          </w:tcPr>
          <w:p w14:paraId="41E852CA">
            <w:pPr>
              <w:snapToGrid w:val="0"/>
              <w:spacing w:line="560" w:lineRule="exact"/>
              <w:rPr>
                <w:rFonts w:ascii="仿宋_GB2312" w:hAnsi="宋体" w:eastAsia="仿宋_GB2312"/>
                <w:kern w:val="0"/>
                <w:sz w:val="24"/>
                <w:szCs w:val="24"/>
              </w:rPr>
            </w:pPr>
          </w:p>
        </w:tc>
        <w:tc>
          <w:tcPr>
            <w:tcW w:w="1705" w:type="dxa"/>
          </w:tcPr>
          <w:p w14:paraId="73777E89">
            <w:pPr>
              <w:snapToGrid w:val="0"/>
              <w:spacing w:line="560" w:lineRule="exact"/>
              <w:rPr>
                <w:rFonts w:ascii="仿宋_GB2312" w:hAnsi="宋体" w:eastAsia="仿宋_GB2312"/>
                <w:kern w:val="0"/>
                <w:sz w:val="24"/>
                <w:szCs w:val="24"/>
              </w:rPr>
            </w:pPr>
          </w:p>
        </w:tc>
        <w:tc>
          <w:tcPr>
            <w:tcW w:w="1705" w:type="dxa"/>
          </w:tcPr>
          <w:p w14:paraId="3A195ADB">
            <w:pPr>
              <w:snapToGrid w:val="0"/>
              <w:spacing w:line="560" w:lineRule="exact"/>
              <w:rPr>
                <w:rFonts w:ascii="仿宋_GB2312" w:hAnsi="宋体" w:eastAsia="仿宋_GB2312"/>
                <w:kern w:val="0"/>
                <w:sz w:val="24"/>
                <w:szCs w:val="24"/>
              </w:rPr>
            </w:pPr>
          </w:p>
        </w:tc>
      </w:tr>
      <w:tr w14:paraId="6AEE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6" w:type="dxa"/>
          </w:tcPr>
          <w:p w14:paraId="5A534111">
            <w:pPr>
              <w:snapToGrid w:val="0"/>
              <w:spacing w:line="560" w:lineRule="exact"/>
              <w:rPr>
                <w:rFonts w:ascii="仿宋_GB2312" w:hAnsi="宋体" w:eastAsia="仿宋_GB2312"/>
                <w:kern w:val="0"/>
                <w:sz w:val="24"/>
                <w:szCs w:val="24"/>
              </w:rPr>
            </w:pPr>
          </w:p>
        </w:tc>
        <w:tc>
          <w:tcPr>
            <w:tcW w:w="1704" w:type="dxa"/>
          </w:tcPr>
          <w:p w14:paraId="2AE5CEAF">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高级管理人员</w:t>
            </w:r>
          </w:p>
        </w:tc>
        <w:tc>
          <w:tcPr>
            <w:tcW w:w="1704" w:type="dxa"/>
          </w:tcPr>
          <w:p w14:paraId="12BACB4A">
            <w:pPr>
              <w:snapToGrid w:val="0"/>
              <w:spacing w:line="560" w:lineRule="exact"/>
              <w:rPr>
                <w:rFonts w:ascii="仿宋_GB2312" w:hAnsi="宋体" w:eastAsia="仿宋_GB2312"/>
                <w:kern w:val="0"/>
                <w:sz w:val="24"/>
                <w:szCs w:val="24"/>
              </w:rPr>
            </w:pPr>
          </w:p>
        </w:tc>
        <w:tc>
          <w:tcPr>
            <w:tcW w:w="1705" w:type="dxa"/>
          </w:tcPr>
          <w:p w14:paraId="37E01B1B">
            <w:pPr>
              <w:snapToGrid w:val="0"/>
              <w:spacing w:line="560" w:lineRule="exact"/>
              <w:rPr>
                <w:rFonts w:ascii="仿宋_GB2312" w:hAnsi="宋体" w:eastAsia="仿宋_GB2312"/>
                <w:kern w:val="0"/>
                <w:sz w:val="24"/>
                <w:szCs w:val="24"/>
              </w:rPr>
            </w:pPr>
          </w:p>
        </w:tc>
        <w:tc>
          <w:tcPr>
            <w:tcW w:w="1705" w:type="dxa"/>
          </w:tcPr>
          <w:p w14:paraId="3F49BA2F">
            <w:pPr>
              <w:snapToGrid w:val="0"/>
              <w:spacing w:line="560" w:lineRule="exact"/>
              <w:rPr>
                <w:rFonts w:ascii="仿宋_GB2312" w:hAnsi="宋体" w:eastAsia="仿宋_GB2312"/>
                <w:kern w:val="0"/>
                <w:sz w:val="24"/>
                <w:szCs w:val="24"/>
              </w:rPr>
            </w:pPr>
          </w:p>
        </w:tc>
      </w:tr>
      <w:tr w14:paraId="3907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Pr>
          <w:p w14:paraId="38AA7711">
            <w:pPr>
              <w:snapToGrid w:val="0"/>
              <w:spacing w:line="560" w:lineRule="exact"/>
              <w:rPr>
                <w:rFonts w:ascii="仿宋_GB2312" w:hAnsi="宋体" w:eastAsia="仿宋_GB2312"/>
                <w:kern w:val="0"/>
                <w:sz w:val="24"/>
                <w:szCs w:val="24"/>
              </w:rPr>
            </w:pPr>
          </w:p>
        </w:tc>
        <w:tc>
          <w:tcPr>
            <w:tcW w:w="1704" w:type="dxa"/>
          </w:tcPr>
          <w:p w14:paraId="027206C7">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w:t>
            </w:r>
          </w:p>
        </w:tc>
        <w:tc>
          <w:tcPr>
            <w:tcW w:w="1704" w:type="dxa"/>
          </w:tcPr>
          <w:p w14:paraId="3EE07244">
            <w:pPr>
              <w:snapToGrid w:val="0"/>
              <w:spacing w:line="560" w:lineRule="exact"/>
              <w:rPr>
                <w:rFonts w:ascii="仿宋_GB2312" w:hAnsi="宋体" w:eastAsia="仿宋_GB2312"/>
                <w:kern w:val="0"/>
                <w:sz w:val="24"/>
                <w:szCs w:val="24"/>
              </w:rPr>
            </w:pPr>
          </w:p>
        </w:tc>
        <w:tc>
          <w:tcPr>
            <w:tcW w:w="1705" w:type="dxa"/>
          </w:tcPr>
          <w:p w14:paraId="3CD4C041">
            <w:pPr>
              <w:snapToGrid w:val="0"/>
              <w:spacing w:line="560" w:lineRule="exact"/>
              <w:rPr>
                <w:rFonts w:ascii="仿宋_GB2312" w:hAnsi="宋体" w:eastAsia="仿宋_GB2312"/>
                <w:kern w:val="0"/>
                <w:sz w:val="24"/>
                <w:szCs w:val="24"/>
              </w:rPr>
            </w:pPr>
          </w:p>
        </w:tc>
        <w:tc>
          <w:tcPr>
            <w:tcW w:w="1705" w:type="dxa"/>
          </w:tcPr>
          <w:p w14:paraId="619ADC7D">
            <w:pPr>
              <w:snapToGrid w:val="0"/>
              <w:spacing w:line="560" w:lineRule="exact"/>
              <w:rPr>
                <w:rFonts w:ascii="仿宋_GB2312" w:hAnsi="宋体" w:eastAsia="仿宋_GB2312"/>
                <w:kern w:val="0"/>
                <w:sz w:val="24"/>
                <w:szCs w:val="24"/>
              </w:rPr>
            </w:pPr>
          </w:p>
        </w:tc>
      </w:tr>
      <w:tr w14:paraId="155F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Pr>
          <w:p w14:paraId="7F1F38A1">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小计</w:t>
            </w:r>
          </w:p>
        </w:tc>
        <w:tc>
          <w:tcPr>
            <w:tcW w:w="1704" w:type="dxa"/>
          </w:tcPr>
          <w:p w14:paraId="1E7F0C28">
            <w:pPr>
              <w:snapToGrid w:val="0"/>
              <w:spacing w:line="560" w:lineRule="exact"/>
              <w:rPr>
                <w:rFonts w:ascii="仿宋_GB2312" w:hAnsi="宋体" w:eastAsia="仿宋_GB2312"/>
                <w:kern w:val="0"/>
                <w:sz w:val="24"/>
                <w:szCs w:val="24"/>
              </w:rPr>
            </w:pPr>
          </w:p>
        </w:tc>
        <w:tc>
          <w:tcPr>
            <w:tcW w:w="1704" w:type="dxa"/>
          </w:tcPr>
          <w:p w14:paraId="589FFB4D">
            <w:pPr>
              <w:snapToGrid w:val="0"/>
              <w:spacing w:line="560" w:lineRule="exact"/>
              <w:rPr>
                <w:rFonts w:ascii="仿宋_GB2312" w:hAnsi="宋体" w:eastAsia="仿宋_GB2312"/>
                <w:kern w:val="0"/>
                <w:sz w:val="24"/>
                <w:szCs w:val="24"/>
              </w:rPr>
            </w:pPr>
          </w:p>
        </w:tc>
        <w:tc>
          <w:tcPr>
            <w:tcW w:w="1705" w:type="dxa"/>
          </w:tcPr>
          <w:p w14:paraId="357F161C">
            <w:pPr>
              <w:snapToGrid w:val="0"/>
              <w:spacing w:line="560" w:lineRule="exact"/>
              <w:rPr>
                <w:rFonts w:ascii="仿宋_GB2312" w:hAnsi="宋体" w:eastAsia="仿宋_GB2312"/>
                <w:kern w:val="0"/>
                <w:sz w:val="24"/>
                <w:szCs w:val="24"/>
              </w:rPr>
            </w:pPr>
          </w:p>
        </w:tc>
        <w:tc>
          <w:tcPr>
            <w:tcW w:w="1705" w:type="dxa"/>
          </w:tcPr>
          <w:p w14:paraId="1B8FB21A">
            <w:pPr>
              <w:snapToGrid w:val="0"/>
              <w:spacing w:line="560" w:lineRule="exact"/>
              <w:rPr>
                <w:rFonts w:ascii="仿宋_GB2312" w:hAnsi="宋体" w:eastAsia="仿宋_GB2312"/>
                <w:kern w:val="0"/>
                <w:sz w:val="24"/>
                <w:szCs w:val="24"/>
              </w:rPr>
            </w:pPr>
          </w:p>
        </w:tc>
      </w:tr>
      <w:tr w14:paraId="33F5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tcPr>
          <w:p w14:paraId="0D00681F">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其他激励对象</w:t>
            </w:r>
          </w:p>
        </w:tc>
        <w:tc>
          <w:tcPr>
            <w:tcW w:w="1704" w:type="dxa"/>
          </w:tcPr>
          <w:p w14:paraId="579C4B3F">
            <w:pPr>
              <w:snapToGrid w:val="0"/>
              <w:spacing w:line="560" w:lineRule="exact"/>
              <w:rPr>
                <w:rFonts w:ascii="仿宋_GB2312" w:hAnsi="宋体" w:eastAsia="仿宋_GB2312"/>
                <w:kern w:val="0"/>
                <w:sz w:val="24"/>
                <w:szCs w:val="24"/>
              </w:rPr>
            </w:pPr>
          </w:p>
        </w:tc>
        <w:tc>
          <w:tcPr>
            <w:tcW w:w="1704" w:type="dxa"/>
          </w:tcPr>
          <w:p w14:paraId="430EDF13">
            <w:pPr>
              <w:snapToGrid w:val="0"/>
              <w:spacing w:line="560" w:lineRule="exact"/>
              <w:rPr>
                <w:rFonts w:ascii="仿宋_GB2312" w:hAnsi="宋体" w:eastAsia="仿宋_GB2312"/>
                <w:kern w:val="0"/>
                <w:sz w:val="24"/>
                <w:szCs w:val="24"/>
              </w:rPr>
            </w:pPr>
          </w:p>
        </w:tc>
        <w:tc>
          <w:tcPr>
            <w:tcW w:w="1705" w:type="dxa"/>
          </w:tcPr>
          <w:p w14:paraId="259F85BA">
            <w:pPr>
              <w:snapToGrid w:val="0"/>
              <w:spacing w:line="560" w:lineRule="exact"/>
              <w:rPr>
                <w:rFonts w:ascii="仿宋_GB2312" w:hAnsi="宋体" w:eastAsia="仿宋_GB2312"/>
                <w:kern w:val="0"/>
                <w:sz w:val="24"/>
                <w:szCs w:val="24"/>
              </w:rPr>
            </w:pPr>
          </w:p>
        </w:tc>
        <w:tc>
          <w:tcPr>
            <w:tcW w:w="1705" w:type="dxa"/>
          </w:tcPr>
          <w:p w14:paraId="765982C1">
            <w:pPr>
              <w:snapToGrid w:val="0"/>
              <w:spacing w:line="560" w:lineRule="exact"/>
              <w:rPr>
                <w:rFonts w:ascii="仿宋_GB2312" w:hAnsi="宋体" w:eastAsia="仿宋_GB2312"/>
                <w:kern w:val="0"/>
                <w:sz w:val="24"/>
                <w:szCs w:val="24"/>
              </w:rPr>
            </w:pPr>
          </w:p>
        </w:tc>
      </w:tr>
      <w:tr w14:paraId="3118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6" w:type="dxa"/>
          </w:tcPr>
          <w:p w14:paraId="0CAD8D67">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总计</w:t>
            </w:r>
          </w:p>
        </w:tc>
        <w:tc>
          <w:tcPr>
            <w:tcW w:w="1704" w:type="dxa"/>
          </w:tcPr>
          <w:p w14:paraId="30A967B0">
            <w:pPr>
              <w:snapToGrid w:val="0"/>
              <w:spacing w:line="560" w:lineRule="exact"/>
              <w:rPr>
                <w:rFonts w:ascii="仿宋_GB2312" w:hAnsi="宋体" w:eastAsia="仿宋_GB2312"/>
                <w:kern w:val="0"/>
                <w:sz w:val="24"/>
                <w:szCs w:val="24"/>
              </w:rPr>
            </w:pPr>
          </w:p>
        </w:tc>
        <w:tc>
          <w:tcPr>
            <w:tcW w:w="1704" w:type="dxa"/>
          </w:tcPr>
          <w:p w14:paraId="5DE97A9D">
            <w:pPr>
              <w:snapToGrid w:val="0"/>
              <w:spacing w:line="560" w:lineRule="exact"/>
              <w:rPr>
                <w:rFonts w:ascii="仿宋_GB2312" w:hAnsi="宋体" w:eastAsia="仿宋_GB2312"/>
                <w:kern w:val="0"/>
                <w:sz w:val="24"/>
                <w:szCs w:val="24"/>
              </w:rPr>
            </w:pPr>
          </w:p>
        </w:tc>
        <w:tc>
          <w:tcPr>
            <w:tcW w:w="1705" w:type="dxa"/>
          </w:tcPr>
          <w:p w14:paraId="27B78CAA">
            <w:pPr>
              <w:snapToGrid w:val="0"/>
              <w:spacing w:line="560" w:lineRule="exact"/>
              <w:rPr>
                <w:rFonts w:ascii="仿宋_GB2312" w:hAnsi="宋体" w:eastAsia="仿宋_GB2312"/>
                <w:kern w:val="0"/>
                <w:sz w:val="24"/>
                <w:szCs w:val="24"/>
              </w:rPr>
            </w:pPr>
          </w:p>
        </w:tc>
        <w:tc>
          <w:tcPr>
            <w:tcW w:w="1705" w:type="dxa"/>
          </w:tcPr>
          <w:p w14:paraId="2894083C">
            <w:pPr>
              <w:snapToGrid w:val="0"/>
              <w:spacing w:line="560" w:lineRule="exact"/>
              <w:rPr>
                <w:rFonts w:ascii="仿宋_GB2312" w:hAnsi="宋体" w:eastAsia="仿宋_GB2312"/>
                <w:kern w:val="0"/>
                <w:sz w:val="24"/>
                <w:szCs w:val="24"/>
              </w:rPr>
            </w:pPr>
          </w:p>
        </w:tc>
      </w:tr>
    </w:tbl>
    <w:p w14:paraId="241ADF23">
      <w:pPr>
        <w:snapToGrid w:val="0"/>
        <w:spacing w:line="560" w:lineRule="exact"/>
        <w:ind w:firstLine="600" w:firstLineChars="200"/>
        <w:rPr>
          <w:rFonts w:ascii="仿宋_GB2312" w:hAnsi="宋体" w:eastAsia="仿宋_GB2312"/>
          <w:sz w:val="30"/>
          <w:szCs w:val="30"/>
        </w:rPr>
      </w:pPr>
    </w:p>
    <w:p w14:paraId="63742C01">
      <w:pPr>
        <w:snapToGrid w:val="0"/>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二、激励计划的有效期、锁定期和解锁安排情况</w:t>
      </w:r>
    </w:p>
    <w:tbl>
      <w:tblPr>
        <w:tblStyle w:val="15"/>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9"/>
        <w:gridCol w:w="1980"/>
        <w:gridCol w:w="3249"/>
      </w:tblGrid>
      <w:tr w14:paraId="341B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9" w:type="dxa"/>
            <w:vAlign w:val="center"/>
          </w:tcPr>
          <w:p w14:paraId="432A9903">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解锁期</w:t>
            </w:r>
          </w:p>
        </w:tc>
        <w:tc>
          <w:tcPr>
            <w:tcW w:w="1980" w:type="dxa"/>
            <w:vAlign w:val="center"/>
          </w:tcPr>
          <w:p w14:paraId="372F9738">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解锁安排</w:t>
            </w:r>
          </w:p>
        </w:tc>
        <w:tc>
          <w:tcPr>
            <w:tcW w:w="3249" w:type="dxa"/>
            <w:vAlign w:val="center"/>
          </w:tcPr>
          <w:p w14:paraId="2EFEF8C4">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解锁数量占获授权益数量比例</w:t>
            </w:r>
          </w:p>
        </w:tc>
      </w:tr>
      <w:tr w14:paraId="18EE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9" w:type="dxa"/>
          </w:tcPr>
          <w:p w14:paraId="7415182B">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第一个解锁期</w:t>
            </w:r>
          </w:p>
        </w:tc>
        <w:tc>
          <w:tcPr>
            <w:tcW w:w="1980" w:type="dxa"/>
          </w:tcPr>
          <w:p w14:paraId="70E3B7E3">
            <w:pPr>
              <w:snapToGrid w:val="0"/>
              <w:spacing w:line="560" w:lineRule="exact"/>
              <w:rPr>
                <w:rFonts w:ascii="仿宋_GB2312" w:hAnsi="宋体" w:eastAsia="仿宋_GB2312"/>
                <w:kern w:val="0"/>
                <w:sz w:val="24"/>
                <w:szCs w:val="24"/>
              </w:rPr>
            </w:pPr>
          </w:p>
        </w:tc>
        <w:tc>
          <w:tcPr>
            <w:tcW w:w="3249" w:type="dxa"/>
          </w:tcPr>
          <w:p w14:paraId="541E9E18">
            <w:pPr>
              <w:snapToGrid w:val="0"/>
              <w:spacing w:line="560" w:lineRule="exact"/>
              <w:rPr>
                <w:rFonts w:ascii="仿宋_GB2312" w:hAnsi="宋体" w:eastAsia="仿宋_GB2312"/>
                <w:kern w:val="0"/>
                <w:sz w:val="24"/>
                <w:szCs w:val="24"/>
              </w:rPr>
            </w:pPr>
          </w:p>
        </w:tc>
      </w:tr>
      <w:tr w14:paraId="2721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9" w:type="dxa"/>
          </w:tcPr>
          <w:p w14:paraId="5F18DCCC">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第二个解锁期</w:t>
            </w:r>
          </w:p>
        </w:tc>
        <w:tc>
          <w:tcPr>
            <w:tcW w:w="1980" w:type="dxa"/>
          </w:tcPr>
          <w:p w14:paraId="09BAB68D">
            <w:pPr>
              <w:snapToGrid w:val="0"/>
              <w:spacing w:line="560" w:lineRule="exact"/>
              <w:rPr>
                <w:rFonts w:ascii="仿宋_GB2312" w:hAnsi="宋体" w:eastAsia="仿宋_GB2312"/>
                <w:kern w:val="0"/>
                <w:sz w:val="24"/>
                <w:szCs w:val="24"/>
              </w:rPr>
            </w:pPr>
          </w:p>
        </w:tc>
        <w:tc>
          <w:tcPr>
            <w:tcW w:w="3249" w:type="dxa"/>
          </w:tcPr>
          <w:p w14:paraId="783A7F4D">
            <w:pPr>
              <w:snapToGrid w:val="0"/>
              <w:spacing w:line="560" w:lineRule="exact"/>
              <w:rPr>
                <w:rFonts w:ascii="仿宋_GB2312" w:hAnsi="宋体" w:eastAsia="仿宋_GB2312"/>
                <w:kern w:val="0"/>
                <w:sz w:val="24"/>
                <w:szCs w:val="24"/>
              </w:rPr>
            </w:pPr>
          </w:p>
        </w:tc>
      </w:tr>
      <w:tr w14:paraId="2FE2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89" w:type="dxa"/>
          </w:tcPr>
          <w:p w14:paraId="2C0E3B5D">
            <w:pPr>
              <w:pBdr>
                <w:bottom w:val="single" w:color="auto" w:sz="6" w:space="1"/>
              </w:pBdr>
              <w:tabs>
                <w:tab w:val="center" w:pos="4153"/>
                <w:tab w:val="right" w:pos="8306"/>
              </w:tabs>
              <w:snapToGrid w:val="0"/>
              <w:spacing w:line="560" w:lineRule="exact"/>
              <w:jc w:val="center"/>
              <w:rPr>
                <w:rFonts w:ascii="仿宋_GB2312" w:hAnsi="宋体" w:eastAsia="仿宋_GB2312"/>
                <w:kern w:val="0"/>
                <w:sz w:val="24"/>
                <w:szCs w:val="24"/>
              </w:rPr>
            </w:pPr>
            <w:r>
              <w:rPr>
                <w:rFonts w:hint="eastAsia" w:ascii="仿宋_GB2312" w:hAnsi="宋体" w:eastAsia="仿宋_GB2312"/>
                <w:kern w:val="0"/>
                <w:sz w:val="24"/>
                <w:szCs w:val="24"/>
              </w:rPr>
              <w:t>……</w:t>
            </w:r>
          </w:p>
        </w:tc>
        <w:tc>
          <w:tcPr>
            <w:tcW w:w="1980" w:type="dxa"/>
          </w:tcPr>
          <w:p w14:paraId="00A335E3">
            <w:pPr>
              <w:snapToGrid w:val="0"/>
              <w:spacing w:line="560" w:lineRule="exact"/>
              <w:rPr>
                <w:rFonts w:ascii="仿宋_GB2312" w:hAnsi="宋体" w:eastAsia="仿宋_GB2312"/>
                <w:kern w:val="0"/>
                <w:sz w:val="24"/>
                <w:szCs w:val="24"/>
              </w:rPr>
            </w:pPr>
          </w:p>
        </w:tc>
        <w:tc>
          <w:tcPr>
            <w:tcW w:w="3249" w:type="dxa"/>
          </w:tcPr>
          <w:p w14:paraId="46AFA80A">
            <w:pPr>
              <w:snapToGrid w:val="0"/>
              <w:spacing w:line="560" w:lineRule="exact"/>
              <w:rPr>
                <w:rFonts w:ascii="仿宋_GB2312" w:hAnsi="宋体" w:eastAsia="仿宋_GB2312"/>
                <w:kern w:val="0"/>
                <w:sz w:val="24"/>
                <w:szCs w:val="24"/>
              </w:rPr>
            </w:pPr>
          </w:p>
        </w:tc>
      </w:tr>
    </w:tbl>
    <w:p w14:paraId="5918B665">
      <w:pPr>
        <w:snapToGrid w:val="0"/>
        <w:spacing w:line="560" w:lineRule="exact"/>
        <w:rPr>
          <w:rFonts w:ascii="仿宋_GB2312" w:hAnsi="宋体" w:eastAsia="仿宋_GB2312"/>
          <w:b/>
          <w:sz w:val="30"/>
          <w:szCs w:val="30"/>
        </w:rPr>
      </w:pPr>
    </w:p>
    <w:p w14:paraId="4EFDDDE8">
      <w:pPr>
        <w:snapToGrid w:val="0"/>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三、限制性股票认购资金的验资情况</w:t>
      </w:r>
    </w:p>
    <w:p w14:paraId="3899CDAC">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说明会计师事务所验资情况及对注册资本的影响情况。</w:t>
      </w:r>
    </w:p>
    <w:p w14:paraId="66865BCB">
      <w:pPr>
        <w:snapToGrid w:val="0"/>
        <w:spacing w:line="560" w:lineRule="exact"/>
        <w:ind w:firstLine="600" w:firstLineChars="200"/>
        <w:rPr>
          <w:rFonts w:ascii="仿宋_GB2312" w:hAnsi="宋体" w:eastAsia="仿宋_GB2312"/>
          <w:sz w:val="30"/>
          <w:szCs w:val="30"/>
        </w:rPr>
      </w:pPr>
    </w:p>
    <w:p w14:paraId="60524230">
      <w:pPr>
        <w:snapToGrid w:val="0"/>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四、限制性股票的登记情况</w:t>
      </w:r>
    </w:p>
    <w:p w14:paraId="0AFD1646">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说明本次权益授予在中国证券登记结算有限责任公司上海分公司的登记情况。</w:t>
      </w:r>
    </w:p>
    <w:p w14:paraId="0DE46EB6">
      <w:pPr>
        <w:snapToGrid w:val="0"/>
        <w:spacing w:line="560" w:lineRule="exact"/>
        <w:ind w:firstLine="600" w:firstLineChars="200"/>
        <w:rPr>
          <w:rFonts w:ascii="仿宋_GB2312" w:hAnsi="宋体" w:eastAsia="仿宋_GB2312"/>
          <w:sz w:val="30"/>
          <w:szCs w:val="30"/>
        </w:rPr>
      </w:pPr>
    </w:p>
    <w:p w14:paraId="7EB4996B">
      <w:pPr>
        <w:snapToGrid w:val="0"/>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五、授予前后对公司控股股东的影响</w:t>
      </w:r>
    </w:p>
    <w:p w14:paraId="5B4C3324">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说明本次权益授予后有无导致控股股东控制权发生变化。</w:t>
      </w:r>
    </w:p>
    <w:p w14:paraId="1D1B8438">
      <w:pPr>
        <w:snapToGrid w:val="0"/>
        <w:spacing w:line="560" w:lineRule="exact"/>
        <w:ind w:firstLine="600" w:firstLineChars="200"/>
        <w:rPr>
          <w:rFonts w:ascii="仿宋_GB2312" w:hAnsi="宋体" w:eastAsia="仿宋_GB2312"/>
          <w:sz w:val="30"/>
          <w:szCs w:val="30"/>
        </w:rPr>
      </w:pPr>
    </w:p>
    <w:p w14:paraId="6872135F">
      <w:pPr>
        <w:snapToGrid w:val="0"/>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六、股权结构变动情况(如适用)</w:t>
      </w:r>
    </w:p>
    <w:p w14:paraId="2ED47CA7">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说明本次权益授予后公司股本结构变动情况。</w:t>
      </w:r>
    </w:p>
    <w:p w14:paraId="06966AC2">
      <w:pPr>
        <w:snapToGrid w:val="0"/>
        <w:spacing w:line="560" w:lineRule="exact"/>
        <w:ind w:right="480" w:firstLine="480" w:firstLineChars="200"/>
        <w:jc w:val="right"/>
        <w:rPr>
          <w:rFonts w:ascii="仿宋_GB2312" w:hAnsi="宋体" w:eastAsia="仿宋_GB2312"/>
          <w:sz w:val="24"/>
          <w:szCs w:val="24"/>
        </w:rPr>
      </w:pPr>
      <w:r>
        <w:rPr>
          <w:rFonts w:hint="eastAsia" w:ascii="仿宋_GB2312" w:hAnsi="宋体" w:eastAsia="仿宋_GB2312"/>
          <w:sz w:val="24"/>
          <w:szCs w:val="24"/>
        </w:rPr>
        <w:t>单位：股</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0"/>
        <w:gridCol w:w="1317"/>
        <w:gridCol w:w="1959"/>
        <w:gridCol w:w="1960"/>
      </w:tblGrid>
      <w:tr w14:paraId="013F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270" w:type="dxa"/>
          </w:tcPr>
          <w:p w14:paraId="1A1ABFEA">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类别</w:t>
            </w:r>
          </w:p>
        </w:tc>
        <w:tc>
          <w:tcPr>
            <w:tcW w:w="1317" w:type="dxa"/>
          </w:tcPr>
          <w:p w14:paraId="7E4F297C">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变动前</w:t>
            </w:r>
          </w:p>
        </w:tc>
        <w:tc>
          <w:tcPr>
            <w:tcW w:w="1959" w:type="dxa"/>
          </w:tcPr>
          <w:p w14:paraId="10E5E2B3">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本次变动</w:t>
            </w:r>
          </w:p>
        </w:tc>
        <w:tc>
          <w:tcPr>
            <w:tcW w:w="1960" w:type="dxa"/>
          </w:tcPr>
          <w:p w14:paraId="4BB05D58">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变动后</w:t>
            </w:r>
          </w:p>
        </w:tc>
      </w:tr>
      <w:tr w14:paraId="740C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270" w:type="dxa"/>
          </w:tcPr>
          <w:p w14:paraId="6504E0E2">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有限售条件股份</w:t>
            </w:r>
          </w:p>
        </w:tc>
        <w:tc>
          <w:tcPr>
            <w:tcW w:w="1317" w:type="dxa"/>
          </w:tcPr>
          <w:p w14:paraId="327CE749">
            <w:pPr>
              <w:snapToGrid w:val="0"/>
              <w:spacing w:line="560" w:lineRule="exact"/>
              <w:rPr>
                <w:rFonts w:ascii="仿宋_GB2312" w:hAnsi="宋体" w:eastAsia="仿宋_GB2312"/>
                <w:kern w:val="0"/>
                <w:sz w:val="24"/>
                <w:szCs w:val="24"/>
              </w:rPr>
            </w:pPr>
          </w:p>
        </w:tc>
        <w:tc>
          <w:tcPr>
            <w:tcW w:w="1959" w:type="dxa"/>
          </w:tcPr>
          <w:p w14:paraId="184460CF">
            <w:pPr>
              <w:snapToGrid w:val="0"/>
              <w:spacing w:line="560" w:lineRule="exact"/>
              <w:rPr>
                <w:rFonts w:ascii="仿宋_GB2312" w:hAnsi="宋体" w:eastAsia="仿宋_GB2312"/>
                <w:kern w:val="0"/>
                <w:sz w:val="24"/>
                <w:szCs w:val="24"/>
              </w:rPr>
            </w:pPr>
          </w:p>
        </w:tc>
        <w:tc>
          <w:tcPr>
            <w:tcW w:w="1960" w:type="dxa"/>
          </w:tcPr>
          <w:p w14:paraId="2458B7FF">
            <w:pPr>
              <w:snapToGrid w:val="0"/>
              <w:spacing w:line="560" w:lineRule="exact"/>
              <w:rPr>
                <w:rFonts w:ascii="仿宋_GB2312" w:hAnsi="宋体" w:eastAsia="仿宋_GB2312"/>
                <w:kern w:val="0"/>
                <w:sz w:val="24"/>
                <w:szCs w:val="24"/>
              </w:rPr>
            </w:pPr>
          </w:p>
        </w:tc>
      </w:tr>
      <w:tr w14:paraId="298C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270" w:type="dxa"/>
          </w:tcPr>
          <w:p w14:paraId="2A7C95EF">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无限售条件股份</w:t>
            </w:r>
          </w:p>
        </w:tc>
        <w:tc>
          <w:tcPr>
            <w:tcW w:w="1317" w:type="dxa"/>
          </w:tcPr>
          <w:p w14:paraId="7C07846D">
            <w:pPr>
              <w:snapToGrid w:val="0"/>
              <w:spacing w:line="560" w:lineRule="exact"/>
              <w:rPr>
                <w:rFonts w:ascii="仿宋_GB2312" w:hAnsi="宋体" w:eastAsia="仿宋_GB2312"/>
                <w:kern w:val="0"/>
                <w:sz w:val="24"/>
                <w:szCs w:val="24"/>
              </w:rPr>
            </w:pPr>
          </w:p>
        </w:tc>
        <w:tc>
          <w:tcPr>
            <w:tcW w:w="1959" w:type="dxa"/>
          </w:tcPr>
          <w:p w14:paraId="68C299FF">
            <w:pPr>
              <w:snapToGrid w:val="0"/>
              <w:spacing w:line="560" w:lineRule="exact"/>
              <w:rPr>
                <w:rFonts w:ascii="仿宋_GB2312" w:hAnsi="宋体" w:eastAsia="仿宋_GB2312"/>
                <w:kern w:val="0"/>
                <w:sz w:val="24"/>
                <w:szCs w:val="24"/>
              </w:rPr>
            </w:pPr>
          </w:p>
        </w:tc>
        <w:tc>
          <w:tcPr>
            <w:tcW w:w="1960" w:type="dxa"/>
          </w:tcPr>
          <w:p w14:paraId="5FF162E6">
            <w:pPr>
              <w:snapToGrid w:val="0"/>
              <w:spacing w:line="560" w:lineRule="exact"/>
              <w:rPr>
                <w:rFonts w:ascii="仿宋_GB2312" w:hAnsi="宋体" w:eastAsia="仿宋_GB2312"/>
                <w:kern w:val="0"/>
                <w:sz w:val="24"/>
                <w:szCs w:val="24"/>
              </w:rPr>
            </w:pPr>
          </w:p>
        </w:tc>
      </w:tr>
      <w:tr w14:paraId="64CC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270" w:type="dxa"/>
          </w:tcPr>
          <w:p w14:paraId="49AAFE6B">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总计</w:t>
            </w:r>
          </w:p>
        </w:tc>
        <w:tc>
          <w:tcPr>
            <w:tcW w:w="1317" w:type="dxa"/>
          </w:tcPr>
          <w:p w14:paraId="480CF97C">
            <w:pPr>
              <w:snapToGrid w:val="0"/>
              <w:spacing w:line="560" w:lineRule="exact"/>
              <w:rPr>
                <w:rFonts w:ascii="仿宋_GB2312" w:hAnsi="宋体" w:eastAsia="仿宋_GB2312"/>
                <w:kern w:val="0"/>
                <w:sz w:val="24"/>
                <w:szCs w:val="24"/>
              </w:rPr>
            </w:pPr>
          </w:p>
        </w:tc>
        <w:tc>
          <w:tcPr>
            <w:tcW w:w="1959" w:type="dxa"/>
          </w:tcPr>
          <w:p w14:paraId="258575FE">
            <w:pPr>
              <w:snapToGrid w:val="0"/>
              <w:spacing w:line="560" w:lineRule="exact"/>
              <w:rPr>
                <w:rFonts w:ascii="仿宋_GB2312" w:hAnsi="宋体" w:eastAsia="仿宋_GB2312"/>
                <w:kern w:val="0"/>
                <w:sz w:val="24"/>
                <w:szCs w:val="24"/>
              </w:rPr>
            </w:pPr>
          </w:p>
        </w:tc>
        <w:tc>
          <w:tcPr>
            <w:tcW w:w="1960" w:type="dxa"/>
          </w:tcPr>
          <w:p w14:paraId="326140D7">
            <w:pPr>
              <w:snapToGrid w:val="0"/>
              <w:spacing w:line="560" w:lineRule="exact"/>
              <w:rPr>
                <w:rFonts w:ascii="仿宋_GB2312" w:hAnsi="宋体" w:eastAsia="仿宋_GB2312"/>
                <w:kern w:val="0"/>
                <w:sz w:val="24"/>
                <w:szCs w:val="24"/>
              </w:rPr>
            </w:pPr>
          </w:p>
        </w:tc>
      </w:tr>
    </w:tbl>
    <w:p w14:paraId="4D0D51C8">
      <w:pPr>
        <w:snapToGrid w:val="0"/>
        <w:spacing w:line="560" w:lineRule="exact"/>
        <w:ind w:firstLine="602" w:firstLineChars="200"/>
        <w:rPr>
          <w:rFonts w:ascii="仿宋_GB2312" w:hAnsi="宋体" w:eastAsia="仿宋_GB2312"/>
          <w:b/>
          <w:sz w:val="30"/>
          <w:szCs w:val="30"/>
        </w:rPr>
      </w:pPr>
    </w:p>
    <w:p w14:paraId="6B5A677F">
      <w:pPr>
        <w:snapToGrid w:val="0"/>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七、授予前后公司相关股东持股比例变化情况（如适用）</w:t>
      </w:r>
    </w:p>
    <w:p w14:paraId="7ABE455F">
      <w:pPr>
        <w:adjustRightInd w:val="0"/>
        <w:snapToGrid w:val="0"/>
        <w:spacing w:line="560" w:lineRule="exact"/>
        <w:ind w:firstLine="600" w:firstLineChars="200"/>
        <w:rPr>
          <w:rFonts w:ascii="仿宋" w:hAnsi="仿宋" w:eastAsia="仿宋_GB2312"/>
          <w:bCs/>
          <w:sz w:val="30"/>
          <w:szCs w:val="30"/>
        </w:rPr>
      </w:pPr>
      <w:r>
        <w:rPr>
          <w:rFonts w:hint="eastAsia" w:eastAsia="仿宋_GB2312" w:cs="Times New Roman"/>
          <w:color w:val="000000"/>
          <w:sz w:val="30"/>
          <w:szCs w:val="30"/>
        </w:rPr>
        <w:t>授予股票来源为向激励对象定向发行的，上市公司股本变动可能导致</w:t>
      </w:r>
      <w:r>
        <w:rPr>
          <w:rFonts w:hint="eastAsia" w:ascii="Times New Roman" w:hAnsi="Times New Roman" w:eastAsia="仿宋_GB2312" w:cs="Times New Roman"/>
          <w:color w:val="000000"/>
          <w:sz w:val="30"/>
          <w:szCs w:val="30"/>
        </w:rPr>
        <w:t>股东及其一致行动人拥有权益的股份比例触及或者跨越</w:t>
      </w:r>
      <w:r>
        <w:rPr>
          <w:rFonts w:ascii="Times New Roman" w:hAnsi="Times New Roman" w:eastAsia="仿宋_GB2312" w:cs="Times New Roman"/>
          <w:color w:val="000000"/>
          <w:sz w:val="30"/>
          <w:szCs w:val="30"/>
        </w:rPr>
        <w:t>5%</w:t>
      </w:r>
      <w:r>
        <w:rPr>
          <w:rFonts w:hint="eastAsia" w:ascii="Times New Roman" w:hAnsi="Times New Roman" w:eastAsia="仿宋_GB2312" w:cs="Times New Roman"/>
          <w:color w:val="000000"/>
          <w:sz w:val="30"/>
          <w:szCs w:val="30"/>
        </w:rPr>
        <w:t>及</w:t>
      </w:r>
      <w:r>
        <w:rPr>
          <w:rFonts w:ascii="Times New Roman" w:hAnsi="Times New Roman" w:eastAsia="仿宋_GB2312" w:cs="Times New Roman"/>
          <w:color w:val="000000"/>
          <w:sz w:val="30"/>
          <w:szCs w:val="30"/>
        </w:rPr>
        <w:t>5%</w:t>
      </w:r>
      <w:r>
        <w:rPr>
          <w:rFonts w:hint="eastAsia" w:ascii="Times New Roman" w:hAnsi="Times New Roman" w:eastAsia="仿宋_GB2312" w:cs="Times New Roman"/>
          <w:color w:val="000000"/>
          <w:sz w:val="30"/>
          <w:szCs w:val="30"/>
        </w:rPr>
        <w:t>的整数倍，或者导致持股</w:t>
      </w:r>
      <w:r>
        <w:rPr>
          <w:rFonts w:ascii="Times New Roman" w:hAnsi="Times New Roman" w:eastAsia="仿宋_GB2312" w:cs="Times New Roman"/>
          <w:color w:val="000000"/>
          <w:sz w:val="30"/>
          <w:szCs w:val="30"/>
        </w:rPr>
        <w:t>5%</w:t>
      </w:r>
      <w:r>
        <w:rPr>
          <w:rFonts w:hint="eastAsia" w:ascii="Times New Roman" w:hAnsi="Times New Roman" w:eastAsia="仿宋_GB2312" w:cs="Times New Roman"/>
          <w:color w:val="000000"/>
          <w:sz w:val="30"/>
          <w:szCs w:val="30"/>
        </w:rPr>
        <w:t>以上的</w:t>
      </w:r>
      <w:r>
        <w:rPr>
          <w:rFonts w:hint="eastAsia" w:eastAsia="仿宋_GB2312" w:cs="Times New Roman"/>
          <w:color w:val="000000"/>
          <w:sz w:val="30"/>
          <w:szCs w:val="30"/>
        </w:rPr>
        <w:t>股东</w:t>
      </w:r>
      <w:r>
        <w:rPr>
          <w:rFonts w:hint="eastAsia" w:ascii="Times New Roman" w:hAnsi="Times New Roman" w:eastAsia="仿宋_GB2312" w:cs="Times New Roman"/>
          <w:color w:val="000000"/>
          <w:sz w:val="30"/>
          <w:szCs w:val="30"/>
        </w:rPr>
        <w:t>及其一致行动人拥有权益的股份比例触及</w:t>
      </w:r>
      <w:r>
        <w:rPr>
          <w:rFonts w:ascii="Times New Roman" w:hAnsi="Times New Roman" w:eastAsia="仿宋_GB2312" w:cs="Times New Roman"/>
          <w:color w:val="000000"/>
          <w:sz w:val="30"/>
          <w:szCs w:val="30"/>
        </w:rPr>
        <w:t>1%</w:t>
      </w:r>
      <w:r>
        <w:rPr>
          <w:rFonts w:hint="eastAsia" w:ascii="Times New Roman" w:hAnsi="Times New Roman" w:eastAsia="仿宋_GB2312" w:cs="Times New Roman"/>
          <w:color w:val="000000"/>
          <w:sz w:val="30"/>
          <w:szCs w:val="30"/>
        </w:rPr>
        <w:t>的整数倍。存在前述情况的，上市公司</w:t>
      </w:r>
      <w:r>
        <w:rPr>
          <w:rFonts w:hint="eastAsia" w:eastAsia="仿宋_GB2312" w:cs="Times New Roman"/>
          <w:color w:val="000000"/>
          <w:sz w:val="30"/>
          <w:szCs w:val="30"/>
        </w:rPr>
        <w:t>应当列示本次权益授予</w:t>
      </w:r>
      <w:r>
        <w:rPr>
          <w:rFonts w:hint="eastAsia" w:ascii="仿宋" w:hAnsi="仿宋" w:eastAsia="仿宋_GB2312"/>
          <w:bCs/>
          <w:sz w:val="30"/>
          <w:szCs w:val="30"/>
        </w:rPr>
        <w:t>前后，上述股东及其一致行动人的</w:t>
      </w:r>
      <w:r>
        <w:rPr>
          <w:rFonts w:hint="eastAsia" w:ascii="仿宋" w:hAnsi="仿宋" w:eastAsia="仿宋_GB2312" w:cs="Times New Roman"/>
          <w:sz w:val="30"/>
          <w:szCs w:val="30"/>
        </w:rPr>
        <w:t>持股数量和持股比例变动</w:t>
      </w:r>
      <w:r>
        <w:rPr>
          <w:rFonts w:hint="eastAsia" w:ascii="仿宋" w:hAnsi="仿宋" w:eastAsia="仿宋_GB2312"/>
          <w:bCs/>
          <w:sz w:val="30"/>
          <w:szCs w:val="30"/>
        </w:rPr>
        <w:t>情况。</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15" w:type="dxa"/>
          <w:left w:w="15" w:type="dxa"/>
          <w:bottom w:w="15" w:type="dxa"/>
          <w:right w:w="15" w:type="dxa"/>
        </w:tblCellMar>
      </w:tblPr>
      <w:tblGrid>
        <w:gridCol w:w="2830"/>
        <w:gridCol w:w="1418"/>
        <w:gridCol w:w="1417"/>
        <w:gridCol w:w="1248"/>
        <w:gridCol w:w="1438"/>
      </w:tblGrid>
      <w:tr w14:paraId="7F02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c>
          <w:tcPr>
            <w:tcW w:w="2830" w:type="dxa"/>
            <w:shd w:val="clear" w:color="auto" w:fill="FFFFFF" w:themeFill="background1"/>
            <w:tcMar>
              <w:top w:w="0" w:type="dxa"/>
              <w:left w:w="30" w:type="dxa"/>
              <w:bottom w:w="0" w:type="dxa"/>
              <w:right w:w="30" w:type="dxa"/>
            </w:tcMar>
            <w:vAlign w:val="center"/>
          </w:tcPr>
          <w:p w14:paraId="76F196BD">
            <w:pPr>
              <w:adjustRightInd w:val="0"/>
              <w:snapToGrid w:val="0"/>
              <w:spacing w:line="360" w:lineRule="auto"/>
              <w:jc w:val="center"/>
              <w:rPr>
                <w:rFonts w:ascii="仿宋_GB2312" w:hAnsi="仿宋" w:eastAsia="仿宋_GB2312"/>
                <w:sz w:val="24"/>
                <w:szCs w:val="24"/>
              </w:rPr>
            </w:pPr>
            <w:bookmarkStart w:id="26" w:name="OLE_LINK4"/>
            <w:r>
              <w:rPr>
                <w:rFonts w:hint="eastAsia" w:ascii="仿宋_GB2312" w:hAnsi="仿宋" w:eastAsia="仿宋_GB2312"/>
                <w:szCs w:val="21"/>
              </w:rPr>
              <w:t>股东名称</w:t>
            </w:r>
          </w:p>
        </w:tc>
        <w:tc>
          <w:tcPr>
            <w:tcW w:w="1418" w:type="dxa"/>
            <w:shd w:val="clear" w:color="auto" w:fill="FFFFFF" w:themeFill="background1"/>
            <w:tcMar>
              <w:top w:w="0" w:type="dxa"/>
              <w:left w:w="30" w:type="dxa"/>
              <w:bottom w:w="0" w:type="dxa"/>
              <w:right w:w="30" w:type="dxa"/>
            </w:tcMar>
            <w:vAlign w:val="center"/>
          </w:tcPr>
          <w:p w14:paraId="5892C8CC">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变动前持股数量（股）</w:t>
            </w:r>
          </w:p>
        </w:tc>
        <w:tc>
          <w:tcPr>
            <w:tcW w:w="1417" w:type="dxa"/>
            <w:shd w:val="clear" w:color="auto" w:fill="FFFFFF" w:themeFill="background1"/>
            <w:tcMar>
              <w:top w:w="0" w:type="dxa"/>
              <w:left w:w="30" w:type="dxa"/>
              <w:bottom w:w="0" w:type="dxa"/>
              <w:right w:w="30" w:type="dxa"/>
            </w:tcMar>
            <w:vAlign w:val="center"/>
          </w:tcPr>
          <w:p w14:paraId="26D46C9B">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变动前持股比例（%）</w:t>
            </w:r>
          </w:p>
        </w:tc>
        <w:tc>
          <w:tcPr>
            <w:tcW w:w="1248" w:type="dxa"/>
            <w:shd w:val="clear" w:color="auto" w:fill="FFFFFF" w:themeFill="background1"/>
          </w:tcPr>
          <w:p w14:paraId="6815113C">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变动后持股数量（股）</w:t>
            </w:r>
          </w:p>
        </w:tc>
        <w:tc>
          <w:tcPr>
            <w:tcW w:w="0" w:type="auto"/>
            <w:shd w:val="clear" w:color="auto" w:fill="FFFFFF" w:themeFill="background1"/>
          </w:tcPr>
          <w:p w14:paraId="1841E32B">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变动后持股比例（%）</w:t>
            </w:r>
          </w:p>
        </w:tc>
      </w:tr>
      <w:tr w14:paraId="4FF1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c>
          <w:tcPr>
            <w:tcW w:w="2830" w:type="dxa"/>
            <w:shd w:val="clear" w:color="auto" w:fill="FFFFFF" w:themeFill="background1"/>
            <w:tcMar>
              <w:top w:w="0" w:type="dxa"/>
              <w:left w:w="30" w:type="dxa"/>
              <w:bottom w:w="0" w:type="dxa"/>
              <w:right w:w="30" w:type="dxa"/>
            </w:tcMar>
            <w:vAlign w:val="center"/>
          </w:tcPr>
          <w:p w14:paraId="69BD3DFA">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股东A及其</w:t>
            </w:r>
            <w:bookmarkStart w:id="27" w:name="OLE_LINK3"/>
            <w:r>
              <w:rPr>
                <w:rFonts w:hint="eastAsia" w:ascii="仿宋_GB2312" w:hAnsi="楷体" w:eastAsia="仿宋_GB2312" w:cs="楷体"/>
                <w:szCs w:val="21"/>
              </w:rPr>
              <w:t>一致行动人</w:t>
            </w:r>
            <w:bookmarkEnd w:id="27"/>
            <w:r>
              <w:rPr>
                <w:rFonts w:hint="eastAsia" w:ascii="仿宋_GB2312" w:hAnsi="楷体" w:eastAsia="仿宋_GB2312" w:cs="楷体"/>
                <w:szCs w:val="21"/>
              </w:rPr>
              <w:t>（</w:t>
            </w:r>
            <w:bookmarkStart w:id="28" w:name="OLE_LINK1"/>
            <w:r>
              <w:rPr>
                <w:rFonts w:hint="eastAsia" w:ascii="仿宋_GB2312" w:hAnsi="楷体" w:eastAsia="仿宋_GB2312" w:cs="楷体"/>
                <w:szCs w:val="21"/>
              </w:rPr>
              <w:t>合并计算</w:t>
            </w:r>
            <w:bookmarkEnd w:id="28"/>
            <w:r>
              <w:rPr>
                <w:rFonts w:hint="eastAsia" w:ascii="仿宋_GB2312" w:hAnsi="楷体" w:eastAsia="仿宋_GB2312" w:cs="楷体"/>
                <w:szCs w:val="21"/>
              </w:rPr>
              <w:t>）</w:t>
            </w:r>
          </w:p>
        </w:tc>
        <w:tc>
          <w:tcPr>
            <w:tcW w:w="1418" w:type="dxa"/>
            <w:shd w:val="clear" w:color="auto" w:fill="FFFFFF" w:themeFill="background1"/>
            <w:tcMar>
              <w:top w:w="0" w:type="dxa"/>
              <w:left w:w="30" w:type="dxa"/>
              <w:bottom w:w="0" w:type="dxa"/>
              <w:right w:w="30" w:type="dxa"/>
            </w:tcMar>
            <w:vAlign w:val="center"/>
          </w:tcPr>
          <w:p w14:paraId="738A9AE5">
            <w:pPr>
              <w:adjustRightInd w:val="0"/>
              <w:snapToGrid w:val="0"/>
              <w:spacing w:line="360" w:lineRule="auto"/>
              <w:jc w:val="center"/>
              <w:rPr>
                <w:rFonts w:ascii="仿宋_GB2312" w:hAnsi="楷体" w:eastAsia="仿宋_GB2312" w:cs="楷体"/>
                <w:szCs w:val="20"/>
              </w:rPr>
            </w:pPr>
          </w:p>
        </w:tc>
        <w:tc>
          <w:tcPr>
            <w:tcW w:w="1417" w:type="dxa"/>
            <w:shd w:val="clear" w:color="auto" w:fill="FFFFFF" w:themeFill="background1"/>
            <w:tcMar>
              <w:top w:w="0" w:type="dxa"/>
              <w:left w:w="30" w:type="dxa"/>
              <w:bottom w:w="0" w:type="dxa"/>
              <w:right w:w="30" w:type="dxa"/>
            </w:tcMar>
            <w:vAlign w:val="center"/>
          </w:tcPr>
          <w:p w14:paraId="55F8120A">
            <w:pPr>
              <w:adjustRightInd w:val="0"/>
              <w:snapToGrid w:val="0"/>
              <w:spacing w:line="360" w:lineRule="auto"/>
              <w:jc w:val="center"/>
              <w:rPr>
                <w:rFonts w:ascii="仿宋_GB2312" w:hAnsi="楷体" w:eastAsia="仿宋_GB2312" w:cs="楷体"/>
                <w:szCs w:val="20"/>
              </w:rPr>
            </w:pPr>
          </w:p>
        </w:tc>
        <w:tc>
          <w:tcPr>
            <w:tcW w:w="1248" w:type="dxa"/>
            <w:shd w:val="clear" w:color="auto" w:fill="FFFFFF" w:themeFill="background1"/>
          </w:tcPr>
          <w:p w14:paraId="4798B611">
            <w:pPr>
              <w:adjustRightInd w:val="0"/>
              <w:snapToGrid w:val="0"/>
              <w:spacing w:line="360" w:lineRule="auto"/>
              <w:jc w:val="center"/>
              <w:rPr>
                <w:rFonts w:ascii="仿宋_GB2312" w:hAnsi="楷体" w:eastAsia="仿宋_GB2312" w:cs="楷体"/>
                <w:szCs w:val="20"/>
              </w:rPr>
            </w:pPr>
          </w:p>
        </w:tc>
        <w:tc>
          <w:tcPr>
            <w:tcW w:w="0" w:type="auto"/>
            <w:shd w:val="clear" w:color="auto" w:fill="FFFFFF" w:themeFill="background1"/>
          </w:tcPr>
          <w:p w14:paraId="0F6F7A33">
            <w:pPr>
              <w:adjustRightInd w:val="0"/>
              <w:snapToGrid w:val="0"/>
              <w:spacing w:line="360" w:lineRule="auto"/>
              <w:jc w:val="center"/>
              <w:rPr>
                <w:rFonts w:ascii="仿宋_GB2312" w:hAnsi="楷体" w:eastAsia="仿宋_GB2312" w:cs="楷体"/>
                <w:szCs w:val="20"/>
              </w:rPr>
            </w:pPr>
          </w:p>
        </w:tc>
      </w:tr>
      <w:tr w14:paraId="07CE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c>
          <w:tcPr>
            <w:tcW w:w="2830" w:type="dxa"/>
            <w:shd w:val="clear" w:color="auto" w:fill="FFFFFF" w:themeFill="background1"/>
            <w:tcMar>
              <w:top w:w="0" w:type="dxa"/>
              <w:left w:w="30" w:type="dxa"/>
              <w:bottom w:w="0" w:type="dxa"/>
              <w:right w:w="30" w:type="dxa"/>
            </w:tcMar>
            <w:vAlign w:val="center"/>
          </w:tcPr>
          <w:p w14:paraId="627755CB">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股东A</w:t>
            </w:r>
          </w:p>
        </w:tc>
        <w:tc>
          <w:tcPr>
            <w:tcW w:w="1418" w:type="dxa"/>
            <w:shd w:val="clear" w:color="auto" w:fill="FFFFFF" w:themeFill="background1"/>
            <w:tcMar>
              <w:top w:w="0" w:type="dxa"/>
              <w:left w:w="30" w:type="dxa"/>
              <w:bottom w:w="0" w:type="dxa"/>
              <w:right w:w="30" w:type="dxa"/>
            </w:tcMar>
            <w:vAlign w:val="center"/>
          </w:tcPr>
          <w:p w14:paraId="2D36DEAA">
            <w:pPr>
              <w:adjustRightInd w:val="0"/>
              <w:snapToGrid w:val="0"/>
              <w:spacing w:line="360" w:lineRule="auto"/>
              <w:jc w:val="center"/>
              <w:rPr>
                <w:rFonts w:ascii="仿宋_GB2312" w:hAnsi="楷体" w:eastAsia="仿宋_GB2312" w:cs="楷体"/>
                <w:szCs w:val="20"/>
              </w:rPr>
            </w:pPr>
          </w:p>
        </w:tc>
        <w:tc>
          <w:tcPr>
            <w:tcW w:w="1417" w:type="dxa"/>
            <w:shd w:val="clear" w:color="auto" w:fill="FFFFFF" w:themeFill="background1"/>
            <w:tcMar>
              <w:top w:w="0" w:type="dxa"/>
              <w:left w:w="30" w:type="dxa"/>
              <w:bottom w:w="0" w:type="dxa"/>
              <w:right w:w="30" w:type="dxa"/>
            </w:tcMar>
            <w:vAlign w:val="center"/>
          </w:tcPr>
          <w:p w14:paraId="21CECBD2">
            <w:pPr>
              <w:adjustRightInd w:val="0"/>
              <w:snapToGrid w:val="0"/>
              <w:spacing w:line="360" w:lineRule="auto"/>
              <w:jc w:val="center"/>
              <w:rPr>
                <w:rFonts w:ascii="仿宋_GB2312" w:hAnsi="楷体" w:eastAsia="仿宋_GB2312" w:cs="楷体"/>
                <w:szCs w:val="20"/>
              </w:rPr>
            </w:pPr>
          </w:p>
        </w:tc>
        <w:tc>
          <w:tcPr>
            <w:tcW w:w="1248" w:type="dxa"/>
            <w:shd w:val="clear" w:color="auto" w:fill="FFFFFF" w:themeFill="background1"/>
          </w:tcPr>
          <w:p w14:paraId="12206A77">
            <w:pPr>
              <w:adjustRightInd w:val="0"/>
              <w:snapToGrid w:val="0"/>
              <w:spacing w:line="360" w:lineRule="auto"/>
              <w:jc w:val="center"/>
              <w:rPr>
                <w:rFonts w:ascii="仿宋_GB2312" w:hAnsi="楷体" w:eastAsia="仿宋_GB2312" w:cs="楷体"/>
                <w:szCs w:val="20"/>
              </w:rPr>
            </w:pPr>
          </w:p>
        </w:tc>
        <w:tc>
          <w:tcPr>
            <w:tcW w:w="0" w:type="auto"/>
            <w:shd w:val="clear" w:color="auto" w:fill="FFFFFF" w:themeFill="background1"/>
          </w:tcPr>
          <w:p w14:paraId="1C87A283">
            <w:pPr>
              <w:adjustRightInd w:val="0"/>
              <w:snapToGrid w:val="0"/>
              <w:spacing w:line="360" w:lineRule="auto"/>
              <w:jc w:val="center"/>
              <w:rPr>
                <w:rFonts w:ascii="仿宋_GB2312" w:hAnsi="楷体" w:eastAsia="仿宋_GB2312" w:cs="楷体"/>
                <w:szCs w:val="20"/>
              </w:rPr>
            </w:pPr>
          </w:p>
        </w:tc>
      </w:tr>
      <w:tr w14:paraId="7EFE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c>
          <w:tcPr>
            <w:tcW w:w="2830" w:type="dxa"/>
            <w:shd w:val="clear" w:color="auto" w:fill="FFFFFF" w:themeFill="background1"/>
            <w:tcMar>
              <w:top w:w="0" w:type="dxa"/>
              <w:left w:w="30" w:type="dxa"/>
              <w:bottom w:w="0" w:type="dxa"/>
              <w:right w:w="30" w:type="dxa"/>
            </w:tcMar>
            <w:vAlign w:val="center"/>
          </w:tcPr>
          <w:p w14:paraId="5BADA81B">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一致行动人1</w:t>
            </w:r>
          </w:p>
        </w:tc>
        <w:tc>
          <w:tcPr>
            <w:tcW w:w="1418" w:type="dxa"/>
            <w:shd w:val="clear" w:color="auto" w:fill="FFFFFF" w:themeFill="background1"/>
            <w:tcMar>
              <w:top w:w="0" w:type="dxa"/>
              <w:left w:w="30" w:type="dxa"/>
              <w:bottom w:w="0" w:type="dxa"/>
              <w:right w:w="30" w:type="dxa"/>
            </w:tcMar>
            <w:vAlign w:val="center"/>
          </w:tcPr>
          <w:p w14:paraId="2D5B4ADE">
            <w:pPr>
              <w:adjustRightInd w:val="0"/>
              <w:snapToGrid w:val="0"/>
              <w:spacing w:line="360" w:lineRule="auto"/>
              <w:jc w:val="center"/>
              <w:rPr>
                <w:rFonts w:ascii="仿宋_GB2312" w:hAnsi="楷体" w:eastAsia="仿宋_GB2312" w:cs="楷体"/>
                <w:szCs w:val="20"/>
              </w:rPr>
            </w:pPr>
          </w:p>
        </w:tc>
        <w:tc>
          <w:tcPr>
            <w:tcW w:w="1417" w:type="dxa"/>
            <w:shd w:val="clear" w:color="auto" w:fill="FFFFFF" w:themeFill="background1"/>
            <w:tcMar>
              <w:top w:w="0" w:type="dxa"/>
              <w:left w:w="30" w:type="dxa"/>
              <w:bottom w:w="0" w:type="dxa"/>
              <w:right w:w="30" w:type="dxa"/>
            </w:tcMar>
            <w:vAlign w:val="center"/>
          </w:tcPr>
          <w:p w14:paraId="54583A33">
            <w:pPr>
              <w:adjustRightInd w:val="0"/>
              <w:snapToGrid w:val="0"/>
              <w:spacing w:line="360" w:lineRule="auto"/>
              <w:jc w:val="center"/>
              <w:rPr>
                <w:rFonts w:ascii="仿宋_GB2312" w:hAnsi="楷体" w:eastAsia="仿宋_GB2312" w:cs="楷体"/>
                <w:szCs w:val="20"/>
              </w:rPr>
            </w:pPr>
          </w:p>
        </w:tc>
        <w:tc>
          <w:tcPr>
            <w:tcW w:w="1248" w:type="dxa"/>
            <w:shd w:val="clear" w:color="auto" w:fill="FFFFFF" w:themeFill="background1"/>
          </w:tcPr>
          <w:p w14:paraId="6AD0EEF4">
            <w:pPr>
              <w:adjustRightInd w:val="0"/>
              <w:snapToGrid w:val="0"/>
              <w:spacing w:line="360" w:lineRule="auto"/>
              <w:jc w:val="center"/>
              <w:rPr>
                <w:rFonts w:ascii="仿宋_GB2312" w:hAnsi="楷体" w:eastAsia="仿宋_GB2312" w:cs="楷体"/>
                <w:szCs w:val="20"/>
              </w:rPr>
            </w:pPr>
          </w:p>
        </w:tc>
        <w:tc>
          <w:tcPr>
            <w:tcW w:w="0" w:type="auto"/>
            <w:shd w:val="clear" w:color="auto" w:fill="FFFFFF" w:themeFill="background1"/>
          </w:tcPr>
          <w:p w14:paraId="295CEE32">
            <w:pPr>
              <w:adjustRightInd w:val="0"/>
              <w:snapToGrid w:val="0"/>
              <w:spacing w:line="360" w:lineRule="auto"/>
              <w:jc w:val="center"/>
              <w:rPr>
                <w:rFonts w:ascii="仿宋_GB2312" w:hAnsi="楷体" w:eastAsia="仿宋_GB2312" w:cs="楷体"/>
                <w:szCs w:val="20"/>
              </w:rPr>
            </w:pPr>
          </w:p>
        </w:tc>
      </w:tr>
      <w:tr w14:paraId="266A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c>
          <w:tcPr>
            <w:tcW w:w="2830" w:type="dxa"/>
            <w:shd w:val="clear" w:color="auto" w:fill="FFFFFF" w:themeFill="background1"/>
            <w:tcMar>
              <w:top w:w="0" w:type="dxa"/>
              <w:left w:w="30" w:type="dxa"/>
              <w:bottom w:w="0" w:type="dxa"/>
              <w:right w:w="30" w:type="dxa"/>
            </w:tcMar>
            <w:vAlign w:val="center"/>
          </w:tcPr>
          <w:p w14:paraId="2EE1DF39">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一致行动人2</w:t>
            </w:r>
          </w:p>
        </w:tc>
        <w:tc>
          <w:tcPr>
            <w:tcW w:w="1418" w:type="dxa"/>
            <w:shd w:val="clear" w:color="auto" w:fill="FFFFFF" w:themeFill="background1"/>
            <w:tcMar>
              <w:top w:w="0" w:type="dxa"/>
              <w:left w:w="30" w:type="dxa"/>
              <w:bottom w:w="0" w:type="dxa"/>
              <w:right w:w="30" w:type="dxa"/>
            </w:tcMar>
            <w:vAlign w:val="center"/>
          </w:tcPr>
          <w:p w14:paraId="7BDF1FAC">
            <w:pPr>
              <w:adjustRightInd w:val="0"/>
              <w:snapToGrid w:val="0"/>
              <w:spacing w:line="360" w:lineRule="auto"/>
              <w:jc w:val="center"/>
              <w:rPr>
                <w:rFonts w:ascii="仿宋_GB2312" w:hAnsi="楷体" w:eastAsia="仿宋_GB2312" w:cs="楷体"/>
                <w:szCs w:val="20"/>
              </w:rPr>
            </w:pPr>
          </w:p>
        </w:tc>
        <w:tc>
          <w:tcPr>
            <w:tcW w:w="1417" w:type="dxa"/>
            <w:shd w:val="clear" w:color="auto" w:fill="FFFFFF" w:themeFill="background1"/>
            <w:tcMar>
              <w:top w:w="0" w:type="dxa"/>
              <w:left w:w="30" w:type="dxa"/>
              <w:bottom w:w="0" w:type="dxa"/>
              <w:right w:w="30" w:type="dxa"/>
            </w:tcMar>
            <w:vAlign w:val="center"/>
          </w:tcPr>
          <w:p w14:paraId="10E9E1D6">
            <w:pPr>
              <w:adjustRightInd w:val="0"/>
              <w:snapToGrid w:val="0"/>
              <w:spacing w:line="360" w:lineRule="auto"/>
              <w:jc w:val="center"/>
              <w:rPr>
                <w:rFonts w:ascii="仿宋_GB2312" w:hAnsi="楷体" w:eastAsia="仿宋_GB2312" w:cs="楷体"/>
                <w:szCs w:val="20"/>
              </w:rPr>
            </w:pPr>
          </w:p>
        </w:tc>
        <w:tc>
          <w:tcPr>
            <w:tcW w:w="1248" w:type="dxa"/>
            <w:shd w:val="clear" w:color="auto" w:fill="FFFFFF" w:themeFill="background1"/>
          </w:tcPr>
          <w:p w14:paraId="587C8DDD">
            <w:pPr>
              <w:adjustRightInd w:val="0"/>
              <w:snapToGrid w:val="0"/>
              <w:spacing w:line="360" w:lineRule="auto"/>
              <w:jc w:val="center"/>
              <w:rPr>
                <w:rFonts w:ascii="仿宋_GB2312" w:hAnsi="楷体" w:eastAsia="仿宋_GB2312" w:cs="楷体"/>
                <w:szCs w:val="20"/>
              </w:rPr>
            </w:pPr>
          </w:p>
        </w:tc>
        <w:tc>
          <w:tcPr>
            <w:tcW w:w="0" w:type="auto"/>
            <w:shd w:val="clear" w:color="auto" w:fill="FFFFFF" w:themeFill="background1"/>
          </w:tcPr>
          <w:p w14:paraId="650BA919">
            <w:pPr>
              <w:adjustRightInd w:val="0"/>
              <w:snapToGrid w:val="0"/>
              <w:spacing w:line="360" w:lineRule="auto"/>
              <w:jc w:val="center"/>
              <w:rPr>
                <w:rFonts w:ascii="仿宋_GB2312" w:hAnsi="楷体" w:eastAsia="仿宋_GB2312" w:cs="楷体"/>
                <w:szCs w:val="20"/>
              </w:rPr>
            </w:pPr>
          </w:p>
        </w:tc>
      </w:tr>
      <w:tr w14:paraId="35CB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c>
          <w:tcPr>
            <w:tcW w:w="2830" w:type="dxa"/>
            <w:shd w:val="clear" w:color="auto" w:fill="FFFFFF" w:themeFill="background1"/>
            <w:tcMar>
              <w:top w:w="0" w:type="dxa"/>
              <w:left w:w="30" w:type="dxa"/>
              <w:bottom w:w="0" w:type="dxa"/>
              <w:right w:w="30" w:type="dxa"/>
            </w:tcMar>
            <w:vAlign w:val="center"/>
          </w:tcPr>
          <w:p w14:paraId="4A55C56F">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股东B</w:t>
            </w:r>
          </w:p>
        </w:tc>
        <w:tc>
          <w:tcPr>
            <w:tcW w:w="1418" w:type="dxa"/>
            <w:shd w:val="clear" w:color="auto" w:fill="FFFFFF" w:themeFill="background1"/>
            <w:tcMar>
              <w:top w:w="0" w:type="dxa"/>
              <w:left w:w="30" w:type="dxa"/>
              <w:bottom w:w="0" w:type="dxa"/>
              <w:right w:w="30" w:type="dxa"/>
            </w:tcMar>
            <w:vAlign w:val="center"/>
          </w:tcPr>
          <w:p w14:paraId="69FEB5C8">
            <w:pPr>
              <w:adjustRightInd w:val="0"/>
              <w:snapToGrid w:val="0"/>
              <w:spacing w:line="360" w:lineRule="auto"/>
              <w:jc w:val="center"/>
              <w:rPr>
                <w:rFonts w:ascii="仿宋_GB2312" w:hAnsi="楷体" w:eastAsia="仿宋_GB2312" w:cs="楷体"/>
                <w:szCs w:val="20"/>
              </w:rPr>
            </w:pPr>
          </w:p>
        </w:tc>
        <w:tc>
          <w:tcPr>
            <w:tcW w:w="1417" w:type="dxa"/>
            <w:shd w:val="clear" w:color="auto" w:fill="FFFFFF" w:themeFill="background1"/>
            <w:tcMar>
              <w:top w:w="0" w:type="dxa"/>
              <w:left w:w="30" w:type="dxa"/>
              <w:bottom w:w="0" w:type="dxa"/>
              <w:right w:w="30" w:type="dxa"/>
            </w:tcMar>
            <w:vAlign w:val="center"/>
          </w:tcPr>
          <w:p w14:paraId="21A8EE63">
            <w:pPr>
              <w:adjustRightInd w:val="0"/>
              <w:snapToGrid w:val="0"/>
              <w:spacing w:line="360" w:lineRule="auto"/>
              <w:jc w:val="center"/>
              <w:rPr>
                <w:rFonts w:ascii="仿宋_GB2312" w:hAnsi="楷体" w:eastAsia="仿宋_GB2312" w:cs="楷体"/>
                <w:szCs w:val="20"/>
              </w:rPr>
            </w:pPr>
          </w:p>
        </w:tc>
        <w:tc>
          <w:tcPr>
            <w:tcW w:w="1248" w:type="dxa"/>
            <w:shd w:val="clear" w:color="auto" w:fill="FFFFFF" w:themeFill="background1"/>
          </w:tcPr>
          <w:p w14:paraId="57F8E556">
            <w:pPr>
              <w:adjustRightInd w:val="0"/>
              <w:snapToGrid w:val="0"/>
              <w:spacing w:line="360" w:lineRule="auto"/>
              <w:jc w:val="center"/>
              <w:rPr>
                <w:rFonts w:ascii="仿宋_GB2312" w:hAnsi="楷体" w:eastAsia="仿宋_GB2312" w:cs="楷体"/>
                <w:szCs w:val="20"/>
              </w:rPr>
            </w:pPr>
          </w:p>
        </w:tc>
        <w:tc>
          <w:tcPr>
            <w:tcW w:w="0" w:type="auto"/>
            <w:shd w:val="clear" w:color="auto" w:fill="FFFFFF" w:themeFill="background1"/>
          </w:tcPr>
          <w:p w14:paraId="275971A2">
            <w:pPr>
              <w:adjustRightInd w:val="0"/>
              <w:snapToGrid w:val="0"/>
              <w:spacing w:line="360" w:lineRule="auto"/>
              <w:jc w:val="center"/>
              <w:rPr>
                <w:rFonts w:ascii="仿宋_GB2312" w:hAnsi="楷体" w:eastAsia="仿宋_GB2312" w:cs="楷体"/>
                <w:szCs w:val="20"/>
              </w:rPr>
            </w:pPr>
          </w:p>
        </w:tc>
      </w:tr>
    </w:tbl>
    <w:p w14:paraId="27BEE9B4">
      <w:pPr>
        <w:widowControl/>
        <w:ind w:firstLine="420" w:firstLineChars="200"/>
        <w:rPr>
          <w:rFonts w:ascii="仿宋_GB2312" w:hAnsi="宋体" w:eastAsia="仿宋_GB2312" w:cs="宋体"/>
          <w:color w:val="000000"/>
          <w:kern w:val="0"/>
          <w:sz w:val="24"/>
        </w:rPr>
      </w:pPr>
      <w:r>
        <w:rPr>
          <w:rFonts w:hint="eastAsia" w:ascii="仿宋_GB2312" w:hAnsi="楷体" w:eastAsia="仿宋_GB2312" w:cs="楷体"/>
          <w:szCs w:val="20"/>
        </w:rPr>
        <w:t>注：</w:t>
      </w:r>
      <w:r>
        <w:rPr>
          <w:rFonts w:hint="eastAsia" w:ascii="仿宋_GB2312" w:hAnsi="楷体" w:eastAsia="仿宋_GB2312" w:cs="楷体"/>
        </w:rPr>
        <w:t>股东如有一致行动人参照股东A进行披露，先合并计算持股列示，后单独列示；股东如无一致行动人参照股东B进行披露</w:t>
      </w:r>
      <w:r>
        <w:rPr>
          <w:rFonts w:hint="eastAsia" w:ascii="仿宋_GB2312" w:hAnsi="宋体" w:eastAsia="仿宋_GB2312" w:cs="宋体"/>
          <w:color w:val="000000"/>
          <w:kern w:val="0"/>
          <w:sz w:val="24"/>
        </w:rPr>
        <w:t>。</w:t>
      </w:r>
    </w:p>
    <w:bookmarkEnd w:id="26"/>
    <w:p w14:paraId="06BDB2F4">
      <w:pPr>
        <w:adjustRightInd w:val="0"/>
        <w:snapToGrid w:val="0"/>
        <w:spacing w:line="560" w:lineRule="exact"/>
        <w:ind w:firstLine="600" w:firstLineChars="200"/>
        <w:rPr>
          <w:rFonts w:ascii="仿宋" w:hAnsi="仿宋" w:eastAsia="仿宋_GB2312"/>
          <w:bCs/>
          <w:sz w:val="30"/>
          <w:szCs w:val="30"/>
        </w:rPr>
      </w:pPr>
    </w:p>
    <w:p w14:paraId="521ACE8E">
      <w:pPr>
        <w:widowControl/>
        <w:adjustRightInd w:val="0"/>
        <w:snapToGrid w:val="0"/>
        <w:spacing w:line="560" w:lineRule="exact"/>
        <w:ind w:firstLine="602" w:firstLineChars="200"/>
        <w:jc w:val="left"/>
        <w:rPr>
          <w:rFonts w:ascii="黑体" w:hAnsi="黑体" w:eastAsia="黑体" w:cs="Times New Roman"/>
          <w:b/>
          <w:sz w:val="30"/>
          <w:szCs w:val="30"/>
        </w:rPr>
      </w:pPr>
      <w:r>
        <w:rPr>
          <w:rFonts w:hint="eastAsia" w:ascii="黑体" w:hAnsi="黑体" w:eastAsia="黑体" w:cs="Times New Roman"/>
          <w:b/>
          <w:sz w:val="30"/>
          <w:szCs w:val="30"/>
        </w:rPr>
        <w:t>八、本次募集资金使用计划（如有）</w:t>
      </w:r>
    </w:p>
    <w:p w14:paraId="185858E6">
      <w:pPr>
        <w:widowControl/>
        <w:adjustRightInd w:val="0"/>
        <w:snapToGrid w:val="0"/>
        <w:spacing w:line="560" w:lineRule="exact"/>
        <w:ind w:firstLine="600" w:firstLineChars="200"/>
        <w:jc w:val="left"/>
        <w:rPr>
          <w:rFonts w:ascii="仿宋_GB2312" w:hAnsi="Arial" w:eastAsia="仿宋_GB2312" w:cs="Arial"/>
          <w:color w:val="000000"/>
          <w:kern w:val="0"/>
          <w:sz w:val="30"/>
          <w:szCs w:val="30"/>
        </w:rPr>
      </w:pPr>
      <w:r>
        <w:rPr>
          <w:rFonts w:ascii="仿宋_GB2312" w:hAnsi="Arial" w:eastAsia="仿宋_GB2312" w:cs="Arial"/>
          <w:color w:val="000000"/>
          <w:kern w:val="0"/>
          <w:sz w:val="30"/>
          <w:szCs w:val="30"/>
        </w:rPr>
        <w:t>应当</w:t>
      </w:r>
      <w:r>
        <w:rPr>
          <w:rFonts w:hint="eastAsia" w:ascii="仿宋_GB2312" w:hAnsi="Arial" w:eastAsia="仿宋_GB2312" w:cs="Arial"/>
          <w:color w:val="000000"/>
          <w:kern w:val="0"/>
          <w:sz w:val="30"/>
          <w:szCs w:val="30"/>
        </w:rPr>
        <w:t>说明本次股权激励计划募集资金总额及使用计划。</w:t>
      </w:r>
    </w:p>
    <w:p w14:paraId="2B81C3DA">
      <w:pPr>
        <w:widowControl/>
        <w:adjustRightInd w:val="0"/>
        <w:snapToGrid w:val="0"/>
        <w:spacing w:line="560" w:lineRule="exact"/>
        <w:ind w:firstLine="600" w:firstLineChars="200"/>
        <w:jc w:val="left"/>
        <w:rPr>
          <w:rFonts w:ascii="仿宋_GB2312" w:hAnsi="Arial" w:eastAsia="仿宋_GB2312" w:cs="Arial"/>
          <w:color w:val="000000"/>
          <w:kern w:val="0"/>
          <w:sz w:val="30"/>
          <w:szCs w:val="30"/>
        </w:rPr>
      </w:pPr>
    </w:p>
    <w:p w14:paraId="4D44634F">
      <w:pPr>
        <w:widowControl/>
        <w:numPr>
          <w:ilvl w:val="255"/>
          <w:numId w:val="0"/>
        </w:numPr>
        <w:adjustRightInd w:val="0"/>
        <w:snapToGrid w:val="0"/>
        <w:spacing w:line="560" w:lineRule="exact"/>
        <w:ind w:firstLine="420"/>
        <w:jc w:val="left"/>
        <w:rPr>
          <w:rFonts w:ascii="黑体" w:hAnsi="黑体" w:eastAsia="黑体" w:cs="Times New Roman"/>
          <w:b/>
          <w:sz w:val="30"/>
          <w:szCs w:val="30"/>
        </w:rPr>
      </w:pPr>
      <w:r>
        <w:rPr>
          <w:rFonts w:hint="eastAsia" w:ascii="黑体" w:hAnsi="黑体" w:eastAsia="黑体" w:cs="Times New Roman"/>
          <w:b/>
          <w:sz w:val="30"/>
          <w:szCs w:val="30"/>
        </w:rPr>
        <w:t>九、本次授予后新增股份对最近一期财务报告的影响</w:t>
      </w:r>
    </w:p>
    <w:p w14:paraId="20C945F1">
      <w:pPr>
        <w:widowControl/>
        <w:adjustRightInd w:val="0"/>
        <w:snapToGrid w:val="0"/>
        <w:spacing w:line="560" w:lineRule="exact"/>
        <w:ind w:firstLine="602" w:firstLineChars="200"/>
        <w:jc w:val="left"/>
        <w:rPr>
          <w:rFonts w:ascii="黑体" w:hAnsi="黑体" w:eastAsia="黑体" w:cs="Times New Roman"/>
          <w:b/>
          <w:sz w:val="30"/>
          <w:szCs w:val="30"/>
        </w:rPr>
      </w:pPr>
    </w:p>
    <w:p w14:paraId="2093FFF9">
      <w:pPr>
        <w:pStyle w:val="20"/>
        <w:snapToGrid w:val="0"/>
        <w:spacing w:line="56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 xml:space="preserve">特此公告。 </w:t>
      </w:r>
    </w:p>
    <w:p w14:paraId="6F74FB54">
      <w:pPr>
        <w:pStyle w:val="20"/>
        <w:snapToGrid w:val="0"/>
        <w:spacing w:line="56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 xml:space="preserve">   </w:t>
      </w:r>
    </w:p>
    <w:p w14:paraId="19BA7DEB">
      <w:pPr>
        <w:pStyle w:val="20"/>
        <w:snapToGrid w:val="0"/>
        <w:spacing w:line="560" w:lineRule="exact"/>
        <w:ind w:firstLine="600" w:firstLineChars="200"/>
        <w:jc w:val="right"/>
        <w:rPr>
          <w:rFonts w:ascii="仿宋_GB2312" w:hAnsi="仿宋" w:eastAsia="仿宋_GB2312"/>
          <w:color w:val="auto"/>
          <w:sz w:val="30"/>
          <w:szCs w:val="30"/>
        </w:rPr>
      </w:pPr>
    </w:p>
    <w:p w14:paraId="6A41E917">
      <w:pPr>
        <w:adjustRightInd w:val="0"/>
        <w:snapToGrid w:val="0"/>
        <w:spacing w:line="560" w:lineRule="exact"/>
        <w:ind w:firstLine="600" w:firstLineChars="200"/>
        <w:jc w:val="right"/>
        <w:rPr>
          <w:rFonts w:ascii="仿宋_GB2312" w:hAnsi="仿宋" w:eastAsia="仿宋_GB2312"/>
          <w:color w:val="000000"/>
          <w:sz w:val="30"/>
          <w:szCs w:val="30"/>
        </w:rPr>
      </w:pPr>
      <w:r>
        <w:rPr>
          <w:rFonts w:hint="eastAsia" w:ascii="仿宋_GB2312" w:hAnsi="仿宋" w:eastAsia="仿宋_GB2312"/>
          <w:sz w:val="30"/>
          <w:szCs w:val="30"/>
        </w:rPr>
        <w:t xml:space="preserve">                          </w:t>
      </w:r>
      <w:r>
        <w:rPr>
          <w:rFonts w:hint="eastAsia" w:ascii="仿宋_GB2312" w:hAnsi="仿宋" w:eastAsia="仿宋_GB2312"/>
          <w:color w:val="000000"/>
          <w:sz w:val="30"/>
          <w:szCs w:val="30"/>
        </w:rPr>
        <w:t>XXXX股份有限公司董事会</w:t>
      </w:r>
    </w:p>
    <w:p w14:paraId="744C9E63">
      <w:pPr>
        <w:adjustRightInd w:val="0"/>
        <w:snapToGrid w:val="0"/>
        <w:spacing w:line="560" w:lineRule="exact"/>
        <w:ind w:firstLine="600" w:firstLineChars="200"/>
        <w:jc w:val="right"/>
        <w:rPr>
          <w:rFonts w:ascii="仿宋_GB2312" w:hAnsi="仿宋" w:eastAsia="仿宋_GB2312"/>
          <w:color w:val="000000"/>
          <w:sz w:val="30"/>
          <w:szCs w:val="30"/>
        </w:rPr>
      </w:pPr>
      <w:r>
        <w:rPr>
          <w:rFonts w:hint="eastAsia" w:ascii="仿宋_GB2312" w:hAnsi="仿宋" w:eastAsia="仿宋_GB2312"/>
          <w:color w:val="000000"/>
          <w:sz w:val="30"/>
          <w:szCs w:val="30"/>
        </w:rPr>
        <w:t>年  月  日</w:t>
      </w:r>
    </w:p>
    <w:p w14:paraId="629CA0EC">
      <w:pPr>
        <w:snapToGrid w:val="0"/>
        <w:spacing w:line="560" w:lineRule="exact"/>
        <w:rPr>
          <w:rFonts w:ascii="仿宋_GB2312" w:hAnsi="宋体" w:eastAsia="仿宋_GB2312"/>
          <w:sz w:val="30"/>
          <w:szCs w:val="30"/>
        </w:rPr>
      </w:pPr>
    </w:p>
    <w:p w14:paraId="42D1A47E">
      <w:pPr>
        <w:numPr>
          <w:ilvl w:val="0"/>
          <w:numId w:val="5"/>
        </w:numPr>
        <w:snapToGrid w:val="0"/>
        <w:spacing w:line="560" w:lineRule="exact"/>
        <w:rPr>
          <w:rFonts w:ascii="仿宋_GB2312" w:hAnsi="宋体" w:eastAsia="仿宋_GB2312"/>
          <w:b/>
          <w:sz w:val="30"/>
          <w:szCs w:val="30"/>
        </w:rPr>
      </w:pPr>
      <w:r>
        <w:rPr>
          <w:rFonts w:hint="eastAsia" w:ascii="仿宋_GB2312" w:hAnsi="宋体" w:eastAsia="仿宋_GB2312"/>
          <w:b/>
          <w:sz w:val="30"/>
          <w:szCs w:val="30"/>
        </w:rPr>
        <w:t>报备文件</w:t>
      </w:r>
    </w:p>
    <w:p w14:paraId="6CFB604A">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中国证券登记结算有限责任公司上海分公司出具的《证券变更登记证明》</w:t>
      </w:r>
    </w:p>
    <w:p w14:paraId="23282E0C">
      <w:pPr>
        <w:spacing w:line="560" w:lineRule="exact"/>
        <w:rPr>
          <w:rFonts w:ascii="仿宋_GB2312" w:eastAsia="仿宋_GB2312"/>
          <w:sz w:val="30"/>
          <w:szCs w:val="30"/>
        </w:rPr>
      </w:pPr>
      <w:r>
        <w:rPr>
          <w:rFonts w:ascii="仿宋_GB2312" w:eastAsia="仿宋_GB2312"/>
          <w:sz w:val="30"/>
          <w:szCs w:val="30"/>
        </w:rPr>
        <w:br w:type="page"/>
      </w:r>
      <w:bookmarkStart w:id="29" w:name="_Toc812614939"/>
      <w:bookmarkStart w:id="30" w:name="_Toc340087381"/>
      <w:bookmarkStart w:id="31" w:name="_Toc57800063"/>
      <w:bookmarkStart w:id="32" w:name="_Toc101449322"/>
      <w:bookmarkStart w:id="33" w:name="_Toc356840110"/>
      <w:bookmarkStart w:id="34" w:name="_Toc352226124"/>
    </w:p>
    <w:p w14:paraId="0534959C">
      <w:pPr>
        <w:pStyle w:val="2"/>
        <w:spacing w:before="0" w:after="0" w:line="560" w:lineRule="exact"/>
        <w:rPr>
          <w:sz w:val="32"/>
          <w:szCs w:val="32"/>
        </w:rPr>
      </w:pPr>
      <w:r>
        <w:rPr>
          <w:rFonts w:hint="eastAsia"/>
          <w:sz w:val="32"/>
          <w:szCs w:val="32"/>
        </w:rPr>
        <w:t>三、行权</w:t>
      </w:r>
      <w:bookmarkEnd w:id="29"/>
      <w:bookmarkEnd w:id="30"/>
      <w:bookmarkEnd w:id="31"/>
      <w:bookmarkEnd w:id="32"/>
    </w:p>
    <w:p w14:paraId="5E278EE0">
      <w:pPr>
        <w:pStyle w:val="3"/>
        <w:spacing w:line="560" w:lineRule="exact"/>
        <w:rPr>
          <w:rFonts w:ascii="黑体" w:hAnsi="黑体"/>
        </w:rPr>
      </w:pPr>
      <w:bookmarkStart w:id="35" w:name="_Toc57800064"/>
      <w:bookmarkStart w:id="36" w:name="_Toc101449323"/>
      <w:r>
        <w:rPr>
          <w:rFonts w:ascii="黑体" w:hAnsi="黑体"/>
        </w:rPr>
        <w:t>4.</w:t>
      </w:r>
      <w:r>
        <w:rPr>
          <w:rFonts w:hint="eastAsia" w:ascii="黑体" w:hAnsi="黑体"/>
        </w:rPr>
        <w:t>上市公司股权激励计划限制性股票</w:t>
      </w:r>
      <w:bookmarkEnd w:id="33"/>
      <w:bookmarkStart w:id="37" w:name="_Toc356840111"/>
      <w:bookmarkStart w:id="38" w:name="_Toc356834964"/>
      <w:bookmarkStart w:id="39" w:name="_Toc356839279"/>
      <w:r>
        <w:rPr>
          <w:rFonts w:hint="eastAsia" w:ascii="黑体" w:hAnsi="黑体"/>
        </w:rPr>
        <w:t>解锁暨上市公告</w:t>
      </w:r>
      <w:bookmarkEnd w:id="34"/>
      <w:bookmarkEnd w:id="35"/>
      <w:bookmarkEnd w:id="36"/>
      <w:bookmarkEnd w:id="37"/>
      <w:bookmarkEnd w:id="38"/>
      <w:bookmarkEnd w:id="39"/>
    </w:p>
    <w:p w14:paraId="6D78A474">
      <w:pPr>
        <w:snapToGrid w:val="0"/>
        <w:spacing w:line="560" w:lineRule="exact"/>
        <w:ind w:firstLine="602" w:firstLineChars="200"/>
        <w:rPr>
          <w:rFonts w:ascii="仿宋_GB2312" w:hAnsi="宋体" w:eastAsia="仿宋_GB2312"/>
          <w:b/>
          <w:sz w:val="30"/>
          <w:szCs w:val="30"/>
        </w:rPr>
      </w:pPr>
    </w:p>
    <w:p w14:paraId="380C16F6">
      <w:pPr>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119F447F">
      <w:pPr>
        <w:snapToGrid w:val="0"/>
        <w:spacing w:line="56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本公告格式适用于上市公司股权激励计划限制性股票解锁以及相</w:t>
      </w:r>
      <w:r>
        <w:rPr>
          <w:rFonts w:ascii="仿宋_GB2312" w:hAnsi="Arial" w:eastAsia="仿宋_GB2312" w:cs="Arial"/>
          <w:color w:val="000000"/>
          <w:kern w:val="0"/>
          <w:sz w:val="30"/>
          <w:szCs w:val="30"/>
        </w:rPr>
        <w:t>应</w:t>
      </w:r>
      <w:r>
        <w:rPr>
          <w:rFonts w:hint="eastAsia" w:ascii="仿宋_GB2312" w:hAnsi="Arial" w:eastAsia="仿宋_GB2312" w:cs="Arial"/>
          <w:color w:val="000000"/>
          <w:kern w:val="0"/>
          <w:sz w:val="30"/>
          <w:szCs w:val="30"/>
        </w:rPr>
        <w:t>的上市事宜。</w:t>
      </w:r>
    </w:p>
    <w:p w14:paraId="412865DE">
      <w:pPr>
        <w:adjustRightInd w:val="0"/>
        <w:snapToGrid w:val="0"/>
        <w:spacing w:line="560" w:lineRule="exact"/>
        <w:ind w:firstLine="600" w:firstLineChars="200"/>
        <w:jc w:val="left"/>
        <w:rPr>
          <w:rFonts w:ascii="宋体" w:hAnsi="宋体" w:eastAsia="宋体" w:cs="Times New Roman"/>
          <w:sz w:val="30"/>
          <w:szCs w:val="30"/>
        </w:rPr>
      </w:pPr>
    </w:p>
    <w:p w14:paraId="7A40652C">
      <w:pPr>
        <w:widowControl/>
        <w:adjustRightInd w:val="0"/>
        <w:snapToGrid w:val="0"/>
        <w:spacing w:line="560" w:lineRule="exac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证券代码：</w:t>
      </w:r>
      <w:r>
        <w:rPr>
          <w:rFonts w:ascii="仿宋_GB2312" w:hAnsi="仿宋" w:eastAsia="仿宋_GB2312" w:cs="宋体"/>
          <w:color w:val="000000"/>
          <w:kern w:val="0"/>
          <w:sz w:val="30"/>
          <w:szCs w:val="30"/>
        </w:rPr>
        <w:t xml:space="preserve">             </w:t>
      </w:r>
      <w:r>
        <w:rPr>
          <w:rFonts w:hint="eastAsia" w:ascii="仿宋_GB2312" w:hAnsi="仿宋" w:eastAsia="仿宋_GB2312" w:cs="宋体"/>
          <w:color w:val="000000"/>
          <w:kern w:val="0"/>
          <w:sz w:val="30"/>
          <w:szCs w:val="30"/>
        </w:rPr>
        <w:t>证券简称：</w:t>
      </w:r>
      <w:r>
        <w:rPr>
          <w:rFonts w:ascii="仿宋_GB2312" w:hAnsi="仿宋" w:eastAsia="仿宋_GB2312" w:cs="宋体"/>
          <w:color w:val="000000"/>
          <w:kern w:val="0"/>
          <w:sz w:val="30"/>
          <w:szCs w:val="30"/>
        </w:rPr>
        <w:t xml:space="preserve">            </w:t>
      </w:r>
      <w:r>
        <w:rPr>
          <w:rFonts w:hint="eastAsia" w:ascii="仿宋_GB2312" w:hAnsi="仿宋" w:eastAsia="仿宋_GB2312" w:cs="宋体"/>
          <w:color w:val="000000"/>
          <w:kern w:val="0"/>
          <w:sz w:val="30"/>
          <w:szCs w:val="30"/>
        </w:rPr>
        <w:t>公告编号：</w:t>
      </w:r>
    </w:p>
    <w:p w14:paraId="09789C2B">
      <w:pPr>
        <w:adjustRightInd w:val="0"/>
        <w:snapToGrid w:val="0"/>
        <w:spacing w:line="560" w:lineRule="exact"/>
        <w:jc w:val="center"/>
        <w:rPr>
          <w:rFonts w:ascii="仿宋_GB2312" w:hAnsi="仿宋" w:eastAsia="仿宋_GB2312" w:cs="宋体"/>
          <w:color w:val="000000"/>
          <w:kern w:val="0"/>
          <w:sz w:val="30"/>
          <w:szCs w:val="30"/>
        </w:rPr>
      </w:pPr>
    </w:p>
    <w:p w14:paraId="30F52B8B">
      <w:pPr>
        <w:adjustRightInd w:val="0"/>
        <w:snapToGrid w:val="0"/>
        <w:spacing w:line="560" w:lineRule="exact"/>
        <w:jc w:val="center"/>
        <w:rPr>
          <w:rFonts w:ascii="仿宋_GB2312" w:hAnsi="仿宋" w:eastAsia="仿宋_GB2312"/>
          <w:color w:val="000000"/>
          <w:sz w:val="30"/>
          <w:szCs w:val="30"/>
        </w:rPr>
      </w:pPr>
      <w:r>
        <w:rPr>
          <w:rFonts w:ascii="仿宋_GB2312" w:hAnsi="仿宋" w:eastAsia="仿宋_GB2312" w:cs="宋体"/>
          <w:color w:val="000000"/>
          <w:kern w:val="0"/>
          <w:sz w:val="30"/>
          <w:szCs w:val="30"/>
        </w:rPr>
        <w:t>XXXX</w:t>
      </w:r>
      <w:r>
        <w:rPr>
          <w:rFonts w:hint="eastAsia" w:ascii="仿宋_GB2312" w:hAnsi="仿宋" w:eastAsia="仿宋_GB2312" w:cs="宋体"/>
          <w:color w:val="000000"/>
          <w:kern w:val="0"/>
          <w:sz w:val="30"/>
          <w:szCs w:val="30"/>
        </w:rPr>
        <w:t>股份有限公司股权激励计划限制性股票解锁暨上市公告</w:t>
      </w:r>
    </w:p>
    <w:p w14:paraId="5767B95E">
      <w:pPr>
        <w:pStyle w:val="22"/>
        <w:spacing w:line="560" w:lineRule="exact"/>
        <w:jc w:val="center"/>
        <w:rPr>
          <w:rFonts w:ascii="宋体"/>
          <w:color w:val="000000"/>
          <w:sz w:val="30"/>
          <w:szCs w:val="30"/>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EB5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2D3EB25">
            <w:pPr>
              <w:snapToGrid w:val="0"/>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本公司董事会及全体董事保证本公告内容不存在任何虚假记载、误导性陈述或者重大遗漏，并对其内容的真实性、准确性和完整性承担法律责任。</w:t>
            </w:r>
          </w:p>
          <w:p w14:paraId="2E4A0475">
            <w:pPr>
              <w:snapToGrid w:val="0"/>
              <w:spacing w:line="560" w:lineRule="exact"/>
              <w:ind w:firstLine="600" w:firstLineChars="200"/>
              <w:rPr>
                <w:rFonts w:ascii="宋体" w:hAnsi="宋体" w:eastAsia="宋体" w:cs="Times New Roman"/>
                <w:color w:val="000000"/>
                <w:sz w:val="30"/>
                <w:szCs w:val="30"/>
              </w:rPr>
            </w:pPr>
            <w:r>
              <w:rPr>
                <w:rFonts w:ascii="仿宋_GB2312" w:hAnsi="仿宋_GB2312" w:eastAsia="仿宋_GB2312" w:cs="仿宋_GB2312"/>
                <w:color w:val="000000"/>
                <w:sz w:val="30"/>
                <w:szCs w:val="30"/>
              </w:rPr>
              <w:t>如有董事对临时公告内容的真实性、准确性和完整性无法保证或存在异议的，公司应当</w:t>
            </w:r>
            <w:r>
              <w:rPr>
                <w:rFonts w:hint="eastAsia" w:ascii="仿宋_GB2312" w:hAnsi="仿宋_GB2312" w:eastAsia="仿宋_GB2312" w:cs="仿宋_GB2312"/>
                <w:color w:val="000000"/>
                <w:sz w:val="30"/>
                <w:szCs w:val="30"/>
              </w:rPr>
              <w:t>在公告中作特别提示</w:t>
            </w:r>
          </w:p>
        </w:tc>
      </w:tr>
    </w:tbl>
    <w:p w14:paraId="77528D32">
      <w:pPr>
        <w:snapToGrid w:val="0"/>
        <w:spacing w:line="560" w:lineRule="exact"/>
        <w:ind w:firstLine="600" w:firstLineChars="200"/>
        <w:rPr>
          <w:rFonts w:ascii="仿宋_GB2312" w:hAnsi="宋体" w:eastAsia="仿宋_GB2312"/>
          <w:sz w:val="30"/>
          <w:szCs w:val="30"/>
        </w:rPr>
      </w:pPr>
    </w:p>
    <w:p w14:paraId="7C3C5E24">
      <w:pPr>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2294E23B">
      <w:pPr>
        <w:widowControl/>
        <w:numPr>
          <w:ilvl w:val="0"/>
          <w:numId w:val="6"/>
        </w:numPr>
        <w:spacing w:line="560" w:lineRule="exact"/>
        <w:ind w:left="0" w:firstLine="420"/>
        <w:jc w:val="left"/>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本次解锁股票数量</w:t>
      </w:r>
    </w:p>
    <w:p w14:paraId="2A7C7688">
      <w:pPr>
        <w:widowControl/>
        <w:numPr>
          <w:ilvl w:val="0"/>
          <w:numId w:val="6"/>
        </w:numPr>
        <w:spacing w:line="560" w:lineRule="exact"/>
        <w:ind w:left="0" w:firstLine="420"/>
        <w:jc w:val="left"/>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本次解锁股票上市流通时间</w:t>
      </w:r>
    </w:p>
    <w:p w14:paraId="4C27E3F6">
      <w:pPr>
        <w:widowControl/>
        <w:tabs>
          <w:tab w:val="left" w:pos="420"/>
        </w:tabs>
        <w:spacing w:line="560" w:lineRule="exact"/>
        <w:ind w:left="420"/>
        <w:jc w:val="left"/>
        <w:rPr>
          <w:rFonts w:ascii="仿宋_GB2312" w:hAnsi="Arial" w:eastAsia="仿宋_GB2312" w:cs="Arial"/>
          <w:color w:val="000000"/>
          <w:kern w:val="0"/>
          <w:sz w:val="30"/>
          <w:szCs w:val="30"/>
        </w:rPr>
      </w:pPr>
    </w:p>
    <w:p w14:paraId="53FCCC69">
      <w:pPr>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一、股权激励计划限制性股票批准及实施情况</w:t>
      </w:r>
    </w:p>
    <w:p w14:paraId="2AB896A2">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（一）公司</w:t>
      </w:r>
      <w:r>
        <w:rPr>
          <w:rFonts w:ascii="仿宋_GB2312" w:hAnsi="宋体" w:eastAsia="仿宋_GB2312"/>
          <w:sz w:val="30"/>
          <w:szCs w:val="30"/>
        </w:rPr>
        <w:t>应当</w:t>
      </w:r>
      <w:r>
        <w:rPr>
          <w:rFonts w:hint="eastAsia" w:ascii="仿宋_GB2312" w:hAnsi="宋体" w:eastAsia="仿宋_GB2312"/>
          <w:sz w:val="30"/>
          <w:szCs w:val="30"/>
        </w:rPr>
        <w:t>简要说明股权激励计划方案及履行的程序。包括但不限于：股权激励计划主要内容，公司董事会、股东会审议通过的时间。</w:t>
      </w:r>
    </w:p>
    <w:p w14:paraId="6AE718EC">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（二）公司</w:t>
      </w:r>
      <w:r>
        <w:rPr>
          <w:rFonts w:ascii="仿宋_GB2312" w:hAnsi="宋体" w:eastAsia="仿宋_GB2312"/>
          <w:sz w:val="30"/>
          <w:szCs w:val="30"/>
        </w:rPr>
        <w:t>应当</w:t>
      </w:r>
      <w:r>
        <w:rPr>
          <w:rFonts w:hint="eastAsia" w:ascii="仿宋_GB2312" w:hAnsi="宋体" w:eastAsia="仿宋_GB2312"/>
          <w:sz w:val="30"/>
          <w:szCs w:val="30"/>
        </w:rPr>
        <w:t>列表披露历次限制性股票授予情况。包括但不限于：授予日期、授予价格、授予股票数量、授予激励对象人数、授予后股票剩余数量。</w:t>
      </w:r>
    </w:p>
    <w:p w14:paraId="0A6D3FA1">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（三）公司</w:t>
      </w:r>
      <w:r>
        <w:rPr>
          <w:rFonts w:ascii="仿宋_GB2312" w:hAnsi="宋体" w:eastAsia="仿宋_GB2312"/>
          <w:sz w:val="30"/>
          <w:szCs w:val="30"/>
        </w:rPr>
        <w:t>应当</w:t>
      </w:r>
      <w:r>
        <w:rPr>
          <w:rFonts w:hint="eastAsia" w:ascii="仿宋_GB2312" w:hAnsi="宋体" w:eastAsia="仿宋_GB2312"/>
          <w:sz w:val="30"/>
          <w:szCs w:val="30"/>
        </w:rPr>
        <w:t>列表披露历次限制性股票解锁情况。包括但不限于：股票解锁日期、股票解锁数量、剩余未解锁股票数量、取消解锁股票数量及原因、因分红送转导致解锁股票数量变化。</w:t>
      </w:r>
    </w:p>
    <w:p w14:paraId="68597119">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（四）公司应当披露本次解锁的董事会审议情况，以及薪酬与考核委员会的明确意见。</w:t>
      </w:r>
    </w:p>
    <w:p w14:paraId="60FC3C35">
      <w:pPr>
        <w:spacing w:line="560" w:lineRule="exact"/>
        <w:ind w:firstLine="480" w:firstLineChars="200"/>
        <w:rPr>
          <w:rFonts w:ascii="楷体" w:hAnsi="楷体" w:eastAsia="楷体" w:cs="Times New Roman"/>
          <w:sz w:val="24"/>
          <w:szCs w:val="24"/>
        </w:rPr>
      </w:pPr>
      <w:r>
        <w:rPr>
          <w:rFonts w:hint="eastAsia" w:ascii="楷体" w:hAnsi="楷体" w:eastAsia="楷体" w:cs="Times New Roman"/>
          <w:sz w:val="24"/>
          <w:szCs w:val="24"/>
        </w:rPr>
        <w:t>编制提醒：激励对象在行使权益前，董事会应当就股权激励计划设定的激励对象形式权益的条件是否成就进行审议，董事会薪酬与考核委员会应当发表明确意见。</w:t>
      </w:r>
    </w:p>
    <w:p w14:paraId="5EA176F7">
      <w:pPr>
        <w:spacing w:line="560" w:lineRule="exact"/>
        <w:ind w:firstLine="600" w:firstLineChars="200"/>
        <w:rPr>
          <w:rFonts w:ascii="仿宋_GB2312" w:hAnsi="宋体" w:eastAsia="仿宋_GB2312"/>
          <w:sz w:val="30"/>
          <w:szCs w:val="30"/>
        </w:rPr>
      </w:pPr>
    </w:p>
    <w:p w14:paraId="2DFF40F4">
      <w:pPr>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二、股权激励计划限制性股票解锁条件</w:t>
      </w:r>
    </w:p>
    <w:p w14:paraId="28B2DE16">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（一）用列表方式说明本次激励对象限制性股票解锁是否符合股权激励计划规定的各项解锁条件。</w:t>
      </w:r>
    </w:p>
    <w:p w14:paraId="454CA198">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（二）对部分或全部不符合解锁条件的，需说明股票注销处理方法。此外，如果有解锁比例条款的，需说明本次解锁比例。</w:t>
      </w:r>
    </w:p>
    <w:p w14:paraId="5ACF995F">
      <w:pPr>
        <w:spacing w:line="560" w:lineRule="exact"/>
        <w:ind w:firstLine="600" w:firstLineChars="200"/>
        <w:rPr>
          <w:rFonts w:ascii="仿宋_GB2312" w:hAnsi="宋体" w:eastAsia="仿宋_GB2312"/>
          <w:sz w:val="30"/>
          <w:szCs w:val="30"/>
        </w:rPr>
      </w:pPr>
    </w:p>
    <w:p w14:paraId="51BCC4B2">
      <w:pPr>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三、用列表方式说明激励对象股票解锁情况</w:t>
      </w:r>
    </w:p>
    <w:p w14:paraId="49F84D41">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包括但不限于：姓名、职务、已获授予的限制性股票数量、本次可解锁限制性股票数量以及本次解锁数量占总股本比例。董事和高级管理人员需逐个披露，其他激励对象可汇总披露。</w:t>
      </w:r>
    </w:p>
    <w:tbl>
      <w:tblPr>
        <w:tblStyle w:val="15"/>
        <w:tblW w:w="8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080"/>
        <w:gridCol w:w="1080"/>
        <w:gridCol w:w="1620"/>
        <w:gridCol w:w="1620"/>
        <w:gridCol w:w="1980"/>
      </w:tblGrid>
      <w:tr w14:paraId="02F8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E0E0E0"/>
            <w:vAlign w:val="center"/>
          </w:tcPr>
          <w:p w14:paraId="09619A2D">
            <w:pPr>
              <w:autoSpaceDE w:val="0"/>
              <w:autoSpaceDN w:val="0"/>
              <w:adjustRightInd w:val="0"/>
              <w:spacing w:line="560" w:lineRule="exact"/>
              <w:rPr>
                <w:rFonts w:ascii="仿宋_GB2312" w:eastAsia="仿宋_GB2312" w:cs="黑体"/>
                <w:b/>
                <w:color w:val="000000"/>
                <w:kern w:val="0"/>
                <w:sz w:val="24"/>
                <w:szCs w:val="24"/>
              </w:rPr>
            </w:pPr>
            <w:r>
              <w:rPr>
                <w:rFonts w:hint="eastAsia" w:ascii="仿宋_GB2312" w:eastAsia="仿宋_GB2312" w:cs="黑体"/>
                <w:b/>
                <w:color w:val="000000"/>
                <w:kern w:val="0"/>
                <w:sz w:val="24"/>
                <w:szCs w:val="24"/>
              </w:rPr>
              <w:t>序号</w:t>
            </w:r>
          </w:p>
        </w:tc>
        <w:tc>
          <w:tcPr>
            <w:tcW w:w="1080" w:type="dxa"/>
            <w:shd w:val="clear" w:color="auto" w:fill="E0E0E0"/>
            <w:vAlign w:val="center"/>
          </w:tcPr>
          <w:p w14:paraId="152A2DF1">
            <w:pPr>
              <w:autoSpaceDE w:val="0"/>
              <w:autoSpaceDN w:val="0"/>
              <w:adjustRightInd w:val="0"/>
              <w:spacing w:line="560" w:lineRule="exact"/>
              <w:jc w:val="center"/>
              <w:rPr>
                <w:rFonts w:ascii="仿宋_GB2312" w:eastAsia="仿宋_GB2312" w:cs="黑体"/>
                <w:b/>
                <w:color w:val="000000"/>
                <w:kern w:val="0"/>
                <w:sz w:val="24"/>
                <w:szCs w:val="24"/>
              </w:rPr>
            </w:pPr>
            <w:r>
              <w:rPr>
                <w:rFonts w:hint="eastAsia" w:ascii="仿宋_GB2312" w:eastAsia="仿宋_GB2312" w:cs="黑体"/>
                <w:b/>
                <w:color w:val="000000"/>
                <w:kern w:val="0"/>
                <w:sz w:val="24"/>
                <w:szCs w:val="24"/>
              </w:rPr>
              <w:t>姓名</w:t>
            </w:r>
          </w:p>
        </w:tc>
        <w:tc>
          <w:tcPr>
            <w:tcW w:w="1080" w:type="dxa"/>
            <w:shd w:val="clear" w:color="auto" w:fill="E0E0E0"/>
            <w:vAlign w:val="center"/>
          </w:tcPr>
          <w:p w14:paraId="410963E3">
            <w:pPr>
              <w:spacing w:line="560" w:lineRule="exact"/>
              <w:jc w:val="center"/>
              <w:rPr>
                <w:rFonts w:ascii="仿宋_GB2312" w:eastAsia="仿宋_GB2312"/>
                <w:b/>
                <w:color w:val="000000"/>
                <w:sz w:val="24"/>
                <w:szCs w:val="24"/>
              </w:rPr>
            </w:pPr>
            <w:r>
              <w:rPr>
                <w:rFonts w:hint="eastAsia" w:ascii="仿宋_GB2312" w:eastAsia="仿宋_GB2312" w:cs="黑体"/>
                <w:b/>
                <w:color w:val="000000"/>
                <w:kern w:val="0"/>
                <w:sz w:val="24"/>
                <w:szCs w:val="24"/>
              </w:rPr>
              <w:t>职务</w:t>
            </w:r>
          </w:p>
        </w:tc>
        <w:tc>
          <w:tcPr>
            <w:tcW w:w="1620" w:type="dxa"/>
            <w:shd w:val="clear" w:color="auto" w:fill="E0E0E0"/>
            <w:vAlign w:val="center"/>
          </w:tcPr>
          <w:p w14:paraId="068D618E">
            <w:pPr>
              <w:autoSpaceDE w:val="0"/>
              <w:autoSpaceDN w:val="0"/>
              <w:adjustRightInd w:val="0"/>
              <w:spacing w:line="560" w:lineRule="exact"/>
              <w:jc w:val="center"/>
              <w:rPr>
                <w:rFonts w:ascii="仿宋_GB2312" w:eastAsia="仿宋_GB2312"/>
                <w:b/>
                <w:color w:val="000000"/>
                <w:sz w:val="24"/>
                <w:szCs w:val="24"/>
              </w:rPr>
            </w:pPr>
            <w:r>
              <w:rPr>
                <w:rFonts w:hint="eastAsia" w:ascii="仿宋_GB2312" w:eastAsia="仿宋_GB2312"/>
                <w:b/>
                <w:color w:val="000000"/>
                <w:sz w:val="24"/>
                <w:szCs w:val="24"/>
              </w:rPr>
              <w:t>已获授予限制性股票数量</w:t>
            </w:r>
          </w:p>
        </w:tc>
        <w:tc>
          <w:tcPr>
            <w:tcW w:w="1620" w:type="dxa"/>
            <w:shd w:val="clear" w:color="auto" w:fill="E0E0E0"/>
            <w:vAlign w:val="center"/>
          </w:tcPr>
          <w:p w14:paraId="67E5A6F8">
            <w:pPr>
              <w:autoSpaceDE w:val="0"/>
              <w:autoSpaceDN w:val="0"/>
              <w:adjustRightInd w:val="0"/>
              <w:spacing w:line="560" w:lineRule="exact"/>
              <w:jc w:val="center"/>
              <w:rPr>
                <w:rFonts w:ascii="仿宋_GB2312" w:eastAsia="仿宋_GB2312"/>
                <w:b/>
                <w:color w:val="000000"/>
                <w:sz w:val="24"/>
                <w:szCs w:val="24"/>
              </w:rPr>
            </w:pPr>
            <w:r>
              <w:rPr>
                <w:rFonts w:hint="eastAsia" w:ascii="仿宋_GB2312" w:eastAsia="仿宋_GB2312"/>
                <w:b/>
                <w:color w:val="000000"/>
                <w:sz w:val="24"/>
                <w:szCs w:val="24"/>
              </w:rPr>
              <w:t>本次可解锁限制性股票数量</w:t>
            </w:r>
          </w:p>
        </w:tc>
        <w:tc>
          <w:tcPr>
            <w:tcW w:w="1980" w:type="dxa"/>
            <w:shd w:val="clear" w:color="auto" w:fill="E0E0E0"/>
            <w:vAlign w:val="center"/>
          </w:tcPr>
          <w:p w14:paraId="79C4195D">
            <w:pPr>
              <w:autoSpaceDE w:val="0"/>
              <w:autoSpaceDN w:val="0"/>
              <w:adjustRightInd w:val="0"/>
              <w:spacing w:line="560" w:lineRule="exact"/>
              <w:ind w:left="-288" w:leftChars="-137" w:firstLine="239" w:firstLineChars="99"/>
              <w:jc w:val="center"/>
              <w:rPr>
                <w:rFonts w:ascii="仿宋_GB2312" w:eastAsia="仿宋_GB2312"/>
                <w:b/>
                <w:color w:val="000000"/>
                <w:sz w:val="24"/>
                <w:szCs w:val="24"/>
              </w:rPr>
            </w:pPr>
            <w:r>
              <w:rPr>
                <w:rFonts w:hint="eastAsia" w:ascii="仿宋_GB2312" w:eastAsia="仿宋_GB2312"/>
                <w:b/>
                <w:color w:val="000000"/>
                <w:sz w:val="24"/>
                <w:szCs w:val="24"/>
              </w:rPr>
              <w:t>本次解锁数量占已获授予限制性股票比例</w:t>
            </w:r>
          </w:p>
        </w:tc>
      </w:tr>
      <w:tr w14:paraId="7EF9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3" w:type="dxa"/>
            <w:gridSpan w:val="6"/>
            <w:vAlign w:val="center"/>
          </w:tcPr>
          <w:p w14:paraId="3AF0EF26">
            <w:pPr>
              <w:spacing w:line="560" w:lineRule="exact"/>
              <w:rPr>
                <w:rFonts w:ascii="仿宋_GB2312" w:eastAsia="仿宋_GB2312"/>
                <w:color w:val="000000"/>
                <w:sz w:val="24"/>
                <w:szCs w:val="24"/>
              </w:rPr>
            </w:pPr>
            <w:r>
              <w:rPr>
                <w:rFonts w:hint="eastAsia" w:ascii="仿宋_GB2312" w:eastAsia="仿宋_GB2312" w:cs="宋体"/>
                <w:b/>
                <w:color w:val="000000"/>
                <w:kern w:val="0"/>
                <w:sz w:val="24"/>
                <w:szCs w:val="24"/>
              </w:rPr>
              <w:t>一、董事、高级管理人员</w:t>
            </w:r>
          </w:p>
        </w:tc>
      </w:tr>
      <w:tr w14:paraId="775D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14:paraId="21C86458">
            <w:pPr>
              <w:spacing w:line="560" w:lineRule="exact"/>
              <w:jc w:val="center"/>
              <w:rPr>
                <w:rFonts w:ascii="仿宋_GB2312" w:eastAsia="仿宋_GB2312"/>
                <w:color w:val="000000"/>
                <w:sz w:val="24"/>
                <w:szCs w:val="24"/>
              </w:rPr>
            </w:pPr>
            <w:r>
              <w:rPr>
                <w:rFonts w:ascii="仿宋_GB2312" w:eastAsia="仿宋_GB2312"/>
                <w:color w:val="000000"/>
                <w:sz w:val="24"/>
                <w:szCs w:val="24"/>
              </w:rPr>
              <w:t>1</w:t>
            </w:r>
          </w:p>
        </w:tc>
        <w:tc>
          <w:tcPr>
            <w:tcW w:w="1080" w:type="dxa"/>
            <w:vAlign w:val="center"/>
          </w:tcPr>
          <w:p w14:paraId="4CDC92F9">
            <w:pPr>
              <w:autoSpaceDE w:val="0"/>
              <w:autoSpaceDN w:val="0"/>
              <w:adjustRightInd w:val="0"/>
              <w:spacing w:line="560" w:lineRule="exact"/>
              <w:rPr>
                <w:rFonts w:ascii="仿宋_GB2312" w:eastAsia="仿宋_GB2312"/>
                <w:color w:val="000000"/>
                <w:kern w:val="0"/>
                <w:sz w:val="24"/>
                <w:szCs w:val="24"/>
              </w:rPr>
            </w:pPr>
          </w:p>
        </w:tc>
        <w:tc>
          <w:tcPr>
            <w:tcW w:w="1080" w:type="dxa"/>
            <w:vAlign w:val="center"/>
          </w:tcPr>
          <w:p w14:paraId="758FE4E8">
            <w:pPr>
              <w:autoSpaceDE w:val="0"/>
              <w:autoSpaceDN w:val="0"/>
              <w:adjustRightInd w:val="0"/>
              <w:spacing w:line="560" w:lineRule="exact"/>
              <w:ind w:right="-107" w:rightChars="-51"/>
              <w:rPr>
                <w:rFonts w:ascii="仿宋_GB2312" w:eastAsia="仿宋_GB2312"/>
                <w:color w:val="000000"/>
                <w:kern w:val="0"/>
                <w:sz w:val="24"/>
                <w:szCs w:val="24"/>
              </w:rPr>
            </w:pPr>
          </w:p>
        </w:tc>
        <w:tc>
          <w:tcPr>
            <w:tcW w:w="1620" w:type="dxa"/>
            <w:vAlign w:val="center"/>
          </w:tcPr>
          <w:p w14:paraId="42D27FBF">
            <w:pPr>
              <w:spacing w:line="560" w:lineRule="exact"/>
              <w:jc w:val="center"/>
              <w:rPr>
                <w:rFonts w:ascii="仿宋_GB2312" w:eastAsia="仿宋_GB2312"/>
                <w:color w:val="000000"/>
                <w:sz w:val="24"/>
                <w:szCs w:val="24"/>
              </w:rPr>
            </w:pPr>
          </w:p>
        </w:tc>
        <w:tc>
          <w:tcPr>
            <w:tcW w:w="1620" w:type="dxa"/>
            <w:vAlign w:val="center"/>
          </w:tcPr>
          <w:p w14:paraId="57165AE0">
            <w:pPr>
              <w:spacing w:line="560" w:lineRule="exact"/>
              <w:jc w:val="center"/>
              <w:rPr>
                <w:rFonts w:ascii="仿宋_GB2312" w:eastAsia="仿宋_GB2312"/>
                <w:color w:val="000000"/>
                <w:sz w:val="24"/>
                <w:szCs w:val="24"/>
              </w:rPr>
            </w:pPr>
          </w:p>
        </w:tc>
        <w:tc>
          <w:tcPr>
            <w:tcW w:w="1980" w:type="dxa"/>
            <w:vAlign w:val="center"/>
          </w:tcPr>
          <w:p w14:paraId="02512558">
            <w:pPr>
              <w:spacing w:line="560" w:lineRule="exact"/>
              <w:jc w:val="center"/>
              <w:rPr>
                <w:rFonts w:ascii="仿宋_GB2312" w:eastAsia="仿宋_GB2312"/>
                <w:color w:val="000000"/>
                <w:sz w:val="24"/>
                <w:szCs w:val="24"/>
              </w:rPr>
            </w:pPr>
          </w:p>
        </w:tc>
      </w:tr>
      <w:tr w14:paraId="0607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vAlign w:val="center"/>
          </w:tcPr>
          <w:p w14:paraId="768593B8">
            <w:pPr>
              <w:spacing w:line="560" w:lineRule="exact"/>
              <w:jc w:val="center"/>
              <w:rPr>
                <w:rFonts w:ascii="仿宋_GB2312" w:eastAsia="仿宋_GB2312"/>
                <w:color w:val="000000"/>
                <w:sz w:val="24"/>
                <w:szCs w:val="24"/>
              </w:rPr>
            </w:pPr>
            <w:r>
              <w:rPr>
                <w:rFonts w:ascii="仿宋_GB2312" w:eastAsia="仿宋_GB2312"/>
                <w:color w:val="000000"/>
                <w:sz w:val="24"/>
                <w:szCs w:val="24"/>
              </w:rPr>
              <w:t>2</w:t>
            </w:r>
          </w:p>
        </w:tc>
        <w:tc>
          <w:tcPr>
            <w:tcW w:w="1080" w:type="dxa"/>
            <w:vAlign w:val="center"/>
          </w:tcPr>
          <w:p w14:paraId="1E510EB9">
            <w:pPr>
              <w:autoSpaceDE w:val="0"/>
              <w:autoSpaceDN w:val="0"/>
              <w:adjustRightInd w:val="0"/>
              <w:spacing w:line="560" w:lineRule="exact"/>
              <w:rPr>
                <w:rFonts w:ascii="仿宋_GB2312" w:eastAsia="仿宋_GB2312"/>
                <w:color w:val="000000"/>
                <w:kern w:val="0"/>
                <w:sz w:val="24"/>
                <w:szCs w:val="24"/>
              </w:rPr>
            </w:pPr>
          </w:p>
        </w:tc>
        <w:tc>
          <w:tcPr>
            <w:tcW w:w="1080" w:type="dxa"/>
            <w:vAlign w:val="center"/>
          </w:tcPr>
          <w:p w14:paraId="08C41E8B">
            <w:pPr>
              <w:autoSpaceDE w:val="0"/>
              <w:autoSpaceDN w:val="0"/>
              <w:adjustRightInd w:val="0"/>
              <w:spacing w:line="560" w:lineRule="exact"/>
              <w:ind w:right="-107" w:rightChars="-51"/>
              <w:rPr>
                <w:rFonts w:ascii="仿宋_GB2312" w:eastAsia="仿宋_GB2312"/>
                <w:color w:val="000000"/>
                <w:kern w:val="0"/>
                <w:sz w:val="24"/>
                <w:szCs w:val="24"/>
              </w:rPr>
            </w:pPr>
          </w:p>
        </w:tc>
        <w:tc>
          <w:tcPr>
            <w:tcW w:w="1620" w:type="dxa"/>
            <w:vAlign w:val="center"/>
          </w:tcPr>
          <w:p w14:paraId="4ACE3CCD">
            <w:pPr>
              <w:spacing w:line="560" w:lineRule="exact"/>
              <w:jc w:val="center"/>
              <w:rPr>
                <w:rFonts w:ascii="仿宋_GB2312" w:eastAsia="仿宋_GB2312"/>
                <w:color w:val="000000"/>
                <w:sz w:val="24"/>
                <w:szCs w:val="24"/>
              </w:rPr>
            </w:pPr>
          </w:p>
        </w:tc>
        <w:tc>
          <w:tcPr>
            <w:tcW w:w="1620" w:type="dxa"/>
            <w:vAlign w:val="center"/>
          </w:tcPr>
          <w:p w14:paraId="6E431E6E">
            <w:pPr>
              <w:spacing w:line="560" w:lineRule="exact"/>
              <w:jc w:val="center"/>
              <w:rPr>
                <w:rFonts w:ascii="仿宋_GB2312" w:eastAsia="仿宋_GB2312"/>
                <w:color w:val="000000"/>
                <w:sz w:val="24"/>
                <w:szCs w:val="24"/>
              </w:rPr>
            </w:pPr>
          </w:p>
        </w:tc>
        <w:tc>
          <w:tcPr>
            <w:tcW w:w="1980" w:type="dxa"/>
            <w:vAlign w:val="center"/>
          </w:tcPr>
          <w:p w14:paraId="15D87D22">
            <w:pPr>
              <w:spacing w:line="560" w:lineRule="exact"/>
              <w:jc w:val="center"/>
              <w:rPr>
                <w:rFonts w:ascii="仿宋_GB2312" w:eastAsia="仿宋_GB2312"/>
                <w:color w:val="000000"/>
                <w:sz w:val="24"/>
                <w:szCs w:val="24"/>
              </w:rPr>
            </w:pPr>
          </w:p>
        </w:tc>
      </w:tr>
      <w:tr w14:paraId="1937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14:paraId="10DC5130">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1080" w:type="dxa"/>
            <w:vAlign w:val="center"/>
          </w:tcPr>
          <w:p w14:paraId="064C4E8F">
            <w:pPr>
              <w:autoSpaceDE w:val="0"/>
              <w:autoSpaceDN w:val="0"/>
              <w:adjustRightInd w:val="0"/>
              <w:spacing w:line="560" w:lineRule="exact"/>
              <w:rPr>
                <w:rFonts w:ascii="仿宋_GB2312" w:eastAsia="仿宋_GB2312"/>
                <w:color w:val="000000"/>
                <w:kern w:val="0"/>
                <w:sz w:val="24"/>
                <w:szCs w:val="24"/>
              </w:rPr>
            </w:pPr>
          </w:p>
        </w:tc>
        <w:tc>
          <w:tcPr>
            <w:tcW w:w="1080" w:type="dxa"/>
            <w:vAlign w:val="center"/>
          </w:tcPr>
          <w:p w14:paraId="1F4E15E6">
            <w:pPr>
              <w:spacing w:line="560" w:lineRule="exact"/>
              <w:rPr>
                <w:rFonts w:ascii="仿宋_GB2312" w:eastAsia="仿宋_GB2312"/>
                <w:color w:val="000000"/>
                <w:sz w:val="24"/>
                <w:szCs w:val="24"/>
              </w:rPr>
            </w:pPr>
          </w:p>
        </w:tc>
        <w:tc>
          <w:tcPr>
            <w:tcW w:w="1620" w:type="dxa"/>
            <w:vAlign w:val="center"/>
          </w:tcPr>
          <w:p w14:paraId="2CA8E951">
            <w:pPr>
              <w:spacing w:line="560" w:lineRule="exact"/>
              <w:jc w:val="center"/>
              <w:rPr>
                <w:rFonts w:ascii="仿宋_GB2312" w:eastAsia="仿宋_GB2312"/>
                <w:color w:val="000000"/>
                <w:sz w:val="24"/>
                <w:szCs w:val="24"/>
              </w:rPr>
            </w:pPr>
          </w:p>
        </w:tc>
        <w:tc>
          <w:tcPr>
            <w:tcW w:w="1620" w:type="dxa"/>
            <w:vAlign w:val="center"/>
          </w:tcPr>
          <w:p w14:paraId="49159677">
            <w:pPr>
              <w:spacing w:line="560" w:lineRule="exact"/>
              <w:jc w:val="center"/>
              <w:rPr>
                <w:rFonts w:ascii="仿宋_GB2312" w:eastAsia="仿宋_GB2312"/>
                <w:color w:val="000000"/>
                <w:sz w:val="24"/>
                <w:szCs w:val="24"/>
              </w:rPr>
            </w:pPr>
          </w:p>
        </w:tc>
        <w:tc>
          <w:tcPr>
            <w:tcW w:w="1980" w:type="dxa"/>
            <w:vAlign w:val="center"/>
          </w:tcPr>
          <w:p w14:paraId="26AE7206">
            <w:pPr>
              <w:spacing w:line="560" w:lineRule="exact"/>
              <w:jc w:val="center"/>
              <w:rPr>
                <w:rFonts w:ascii="仿宋_GB2312" w:eastAsia="仿宋_GB2312"/>
                <w:color w:val="000000"/>
                <w:sz w:val="24"/>
                <w:szCs w:val="24"/>
              </w:rPr>
            </w:pPr>
          </w:p>
        </w:tc>
      </w:tr>
      <w:tr w14:paraId="377F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gridSpan w:val="3"/>
            <w:vAlign w:val="center"/>
          </w:tcPr>
          <w:p w14:paraId="3AC59E65">
            <w:pPr>
              <w:autoSpaceDE w:val="0"/>
              <w:autoSpaceDN w:val="0"/>
              <w:adjustRightInd w:val="0"/>
              <w:spacing w:line="560" w:lineRule="exact"/>
              <w:rPr>
                <w:rFonts w:ascii="仿宋_GB2312" w:eastAsia="仿宋_GB2312" w:cs="宋体"/>
                <w:b/>
                <w:color w:val="000000"/>
                <w:kern w:val="0"/>
                <w:sz w:val="24"/>
                <w:szCs w:val="24"/>
              </w:rPr>
            </w:pPr>
            <w:r>
              <w:rPr>
                <w:rFonts w:hint="eastAsia" w:ascii="仿宋_GB2312" w:eastAsia="仿宋_GB2312" w:cs="宋体"/>
                <w:b/>
                <w:color w:val="000000"/>
                <w:kern w:val="0"/>
                <w:sz w:val="24"/>
                <w:szCs w:val="24"/>
              </w:rPr>
              <w:t>董事、高级管理人员小计</w:t>
            </w:r>
          </w:p>
        </w:tc>
        <w:tc>
          <w:tcPr>
            <w:tcW w:w="1620" w:type="dxa"/>
            <w:vAlign w:val="center"/>
          </w:tcPr>
          <w:p w14:paraId="7697CCCD">
            <w:pPr>
              <w:spacing w:line="560" w:lineRule="exact"/>
              <w:jc w:val="center"/>
              <w:rPr>
                <w:rFonts w:ascii="仿宋_GB2312" w:eastAsia="仿宋_GB2312"/>
                <w:color w:val="000000"/>
                <w:sz w:val="24"/>
                <w:szCs w:val="24"/>
              </w:rPr>
            </w:pPr>
          </w:p>
        </w:tc>
        <w:tc>
          <w:tcPr>
            <w:tcW w:w="1620" w:type="dxa"/>
            <w:vAlign w:val="center"/>
          </w:tcPr>
          <w:p w14:paraId="3D4900F3">
            <w:pPr>
              <w:spacing w:line="560" w:lineRule="exact"/>
              <w:jc w:val="center"/>
              <w:rPr>
                <w:rFonts w:ascii="仿宋_GB2312" w:eastAsia="仿宋_GB2312"/>
                <w:color w:val="000000"/>
                <w:sz w:val="24"/>
                <w:szCs w:val="24"/>
              </w:rPr>
            </w:pPr>
          </w:p>
        </w:tc>
        <w:tc>
          <w:tcPr>
            <w:tcW w:w="1980" w:type="dxa"/>
            <w:vAlign w:val="center"/>
          </w:tcPr>
          <w:p w14:paraId="3E5D4009">
            <w:pPr>
              <w:spacing w:line="560" w:lineRule="exact"/>
              <w:jc w:val="center"/>
              <w:rPr>
                <w:rFonts w:ascii="仿宋_GB2312" w:eastAsia="仿宋_GB2312"/>
                <w:color w:val="000000"/>
                <w:sz w:val="24"/>
                <w:szCs w:val="24"/>
              </w:rPr>
            </w:pPr>
          </w:p>
        </w:tc>
      </w:tr>
      <w:tr w14:paraId="7063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3" w:type="dxa"/>
            <w:gridSpan w:val="6"/>
            <w:vAlign w:val="center"/>
          </w:tcPr>
          <w:p w14:paraId="3CF6C277">
            <w:pPr>
              <w:spacing w:line="560" w:lineRule="exact"/>
              <w:rPr>
                <w:rFonts w:ascii="仿宋_GB2312" w:eastAsia="仿宋_GB2312"/>
                <w:color w:val="000000"/>
                <w:sz w:val="24"/>
                <w:szCs w:val="24"/>
              </w:rPr>
            </w:pPr>
            <w:r>
              <w:rPr>
                <w:rFonts w:hint="eastAsia" w:ascii="仿宋_GB2312" w:eastAsia="仿宋_GB2312" w:cs="宋体"/>
                <w:b/>
                <w:color w:val="000000"/>
                <w:kern w:val="0"/>
                <w:sz w:val="24"/>
                <w:szCs w:val="24"/>
              </w:rPr>
              <w:t>二、其他激励对象</w:t>
            </w:r>
          </w:p>
        </w:tc>
      </w:tr>
      <w:tr w14:paraId="4EA1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83" w:type="dxa"/>
            <w:gridSpan w:val="3"/>
            <w:vAlign w:val="center"/>
          </w:tcPr>
          <w:p w14:paraId="29164825">
            <w:pPr>
              <w:autoSpaceDE w:val="0"/>
              <w:autoSpaceDN w:val="0"/>
              <w:adjustRightInd w:val="0"/>
              <w:spacing w:line="560" w:lineRule="exact"/>
              <w:jc w:val="center"/>
              <w:rPr>
                <w:rFonts w:ascii="仿宋_GB2312" w:eastAsia="仿宋_GB2312" w:cs="宋体,Bold"/>
                <w:b/>
                <w:bCs/>
                <w:color w:val="000000"/>
                <w:kern w:val="0"/>
                <w:sz w:val="24"/>
                <w:szCs w:val="24"/>
              </w:rPr>
            </w:pPr>
            <w:r>
              <w:rPr>
                <w:rFonts w:hint="eastAsia" w:ascii="仿宋_GB2312" w:eastAsia="仿宋_GB2312" w:cs="宋体,Bold"/>
                <w:b/>
                <w:bCs/>
                <w:color w:val="000000"/>
                <w:kern w:val="0"/>
                <w:sz w:val="24"/>
                <w:szCs w:val="24"/>
              </w:rPr>
              <w:t>其他激励对象小计</w:t>
            </w:r>
          </w:p>
        </w:tc>
        <w:tc>
          <w:tcPr>
            <w:tcW w:w="1620" w:type="dxa"/>
            <w:vAlign w:val="center"/>
          </w:tcPr>
          <w:p w14:paraId="6C7DF7F0">
            <w:pPr>
              <w:spacing w:line="560" w:lineRule="exact"/>
              <w:jc w:val="center"/>
              <w:rPr>
                <w:rFonts w:ascii="仿宋_GB2312" w:eastAsia="仿宋_GB2312"/>
                <w:color w:val="000000"/>
                <w:sz w:val="24"/>
                <w:szCs w:val="24"/>
              </w:rPr>
            </w:pPr>
          </w:p>
        </w:tc>
        <w:tc>
          <w:tcPr>
            <w:tcW w:w="1620" w:type="dxa"/>
            <w:vAlign w:val="center"/>
          </w:tcPr>
          <w:p w14:paraId="13B09592">
            <w:pPr>
              <w:spacing w:line="560" w:lineRule="exact"/>
              <w:jc w:val="center"/>
              <w:rPr>
                <w:rFonts w:ascii="仿宋_GB2312" w:eastAsia="仿宋_GB2312"/>
                <w:color w:val="000000"/>
                <w:sz w:val="24"/>
                <w:szCs w:val="24"/>
              </w:rPr>
            </w:pPr>
          </w:p>
        </w:tc>
        <w:tc>
          <w:tcPr>
            <w:tcW w:w="1980" w:type="dxa"/>
            <w:vAlign w:val="center"/>
          </w:tcPr>
          <w:p w14:paraId="445A782E">
            <w:pPr>
              <w:spacing w:line="560" w:lineRule="exact"/>
              <w:jc w:val="center"/>
              <w:rPr>
                <w:rFonts w:ascii="仿宋_GB2312" w:eastAsia="仿宋_GB2312"/>
                <w:color w:val="000000"/>
                <w:sz w:val="24"/>
                <w:szCs w:val="24"/>
              </w:rPr>
            </w:pPr>
          </w:p>
        </w:tc>
      </w:tr>
      <w:tr w14:paraId="06FD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gridSpan w:val="3"/>
            <w:vAlign w:val="center"/>
          </w:tcPr>
          <w:p w14:paraId="06C99F5D">
            <w:pPr>
              <w:autoSpaceDE w:val="0"/>
              <w:autoSpaceDN w:val="0"/>
              <w:adjustRightInd w:val="0"/>
              <w:spacing w:line="560" w:lineRule="exact"/>
              <w:jc w:val="center"/>
              <w:rPr>
                <w:rFonts w:ascii="仿宋_GB2312" w:eastAsia="仿宋_GB2312" w:cs="宋体,Bold"/>
                <w:b/>
                <w:bCs/>
                <w:color w:val="000000"/>
                <w:kern w:val="0"/>
                <w:sz w:val="24"/>
                <w:szCs w:val="24"/>
              </w:rPr>
            </w:pPr>
            <w:r>
              <w:rPr>
                <w:rFonts w:hint="eastAsia" w:ascii="仿宋_GB2312" w:eastAsia="仿宋_GB2312" w:cs="宋体"/>
                <w:b/>
                <w:color w:val="000000"/>
                <w:kern w:val="0"/>
                <w:sz w:val="24"/>
                <w:szCs w:val="24"/>
              </w:rPr>
              <w:t>合</w:t>
            </w:r>
            <w:r>
              <w:rPr>
                <w:rFonts w:ascii="仿宋_GB2312" w:eastAsia="仿宋_GB2312" w:cs="宋体"/>
                <w:b/>
                <w:color w:val="000000"/>
                <w:kern w:val="0"/>
                <w:sz w:val="24"/>
                <w:szCs w:val="24"/>
              </w:rPr>
              <w:t xml:space="preserve">    </w:t>
            </w:r>
            <w:r>
              <w:rPr>
                <w:rFonts w:hint="eastAsia" w:ascii="仿宋_GB2312" w:eastAsia="仿宋_GB2312" w:cs="宋体"/>
                <w:b/>
                <w:color w:val="000000"/>
                <w:kern w:val="0"/>
                <w:sz w:val="24"/>
                <w:szCs w:val="24"/>
              </w:rPr>
              <w:t>计</w:t>
            </w:r>
          </w:p>
        </w:tc>
        <w:tc>
          <w:tcPr>
            <w:tcW w:w="1620" w:type="dxa"/>
            <w:vAlign w:val="center"/>
          </w:tcPr>
          <w:p w14:paraId="05206757">
            <w:pPr>
              <w:spacing w:line="560" w:lineRule="exact"/>
              <w:jc w:val="center"/>
              <w:rPr>
                <w:rFonts w:ascii="仿宋_GB2312" w:eastAsia="仿宋_GB2312"/>
                <w:color w:val="000000"/>
                <w:sz w:val="24"/>
                <w:szCs w:val="24"/>
              </w:rPr>
            </w:pPr>
          </w:p>
        </w:tc>
        <w:tc>
          <w:tcPr>
            <w:tcW w:w="1620" w:type="dxa"/>
            <w:vAlign w:val="center"/>
          </w:tcPr>
          <w:p w14:paraId="6EF723E1">
            <w:pPr>
              <w:spacing w:line="560" w:lineRule="exact"/>
              <w:jc w:val="center"/>
              <w:rPr>
                <w:rFonts w:ascii="仿宋_GB2312" w:eastAsia="仿宋_GB2312"/>
                <w:color w:val="000000"/>
                <w:sz w:val="24"/>
                <w:szCs w:val="24"/>
              </w:rPr>
            </w:pPr>
          </w:p>
        </w:tc>
        <w:tc>
          <w:tcPr>
            <w:tcW w:w="1980" w:type="dxa"/>
            <w:vAlign w:val="center"/>
          </w:tcPr>
          <w:p w14:paraId="1E4A1402">
            <w:pPr>
              <w:spacing w:line="560" w:lineRule="exact"/>
              <w:jc w:val="center"/>
              <w:rPr>
                <w:rFonts w:ascii="仿宋_GB2312" w:eastAsia="仿宋_GB2312"/>
                <w:color w:val="000000"/>
                <w:sz w:val="24"/>
                <w:szCs w:val="24"/>
              </w:rPr>
            </w:pPr>
          </w:p>
        </w:tc>
      </w:tr>
    </w:tbl>
    <w:p w14:paraId="53734FD0">
      <w:pPr>
        <w:widowControl/>
        <w:spacing w:line="560" w:lineRule="exact"/>
        <w:jc w:val="left"/>
        <w:rPr>
          <w:rFonts w:ascii="仿宋_GB2312" w:hAnsi="Arial" w:eastAsia="仿宋_GB2312" w:cs="Arial"/>
          <w:color w:val="000000"/>
          <w:kern w:val="0"/>
          <w:sz w:val="30"/>
          <w:szCs w:val="30"/>
        </w:rPr>
      </w:pPr>
    </w:p>
    <w:p w14:paraId="7B3C9B97">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四、本次解锁的限制性股票上市流通安排及股本结构变动情况</w:t>
      </w:r>
    </w:p>
    <w:p w14:paraId="6F904DB5">
      <w:pPr>
        <w:widowControl/>
        <w:spacing w:line="56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（一）说明本次解锁的限制性股票上市流通日。</w:t>
      </w:r>
    </w:p>
    <w:p w14:paraId="25ACADB2">
      <w:pPr>
        <w:widowControl/>
        <w:spacing w:line="56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（二）说明本次解锁的限制性股票上市流通数量。</w:t>
      </w:r>
    </w:p>
    <w:p w14:paraId="7C052EAA">
      <w:pPr>
        <w:widowControl/>
        <w:spacing w:line="56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（三）说明董事和高级管理人员本次解锁的限制性股票的锁定和转让限制。</w:t>
      </w:r>
    </w:p>
    <w:p w14:paraId="2A1F80D2">
      <w:pPr>
        <w:widowControl/>
        <w:spacing w:line="560" w:lineRule="exact"/>
        <w:ind w:firstLine="600" w:firstLineChars="200"/>
        <w:jc w:val="left"/>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（四）本次限制性股票解锁后公司股本结构变动情况</w:t>
      </w:r>
    </w:p>
    <w:p w14:paraId="4CF309F6">
      <w:pPr>
        <w:widowControl/>
        <w:spacing w:line="560" w:lineRule="exact"/>
        <w:ind w:firstLine="600" w:firstLineChars="200"/>
        <w:jc w:val="left"/>
        <w:rPr>
          <w:rFonts w:ascii="仿宋_GB2312" w:hAnsi="Arial" w:eastAsia="仿宋_GB2312" w:cs="Arial"/>
          <w:color w:val="000000"/>
          <w:kern w:val="0"/>
          <w:sz w:val="30"/>
          <w:szCs w:val="30"/>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478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E3A4819">
            <w:pPr>
              <w:widowControl/>
              <w:spacing w:line="5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类别</w:t>
            </w:r>
          </w:p>
        </w:tc>
        <w:tc>
          <w:tcPr>
            <w:tcW w:w="2130" w:type="dxa"/>
          </w:tcPr>
          <w:p w14:paraId="2ED93EEB">
            <w:pPr>
              <w:widowControl/>
              <w:spacing w:line="5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本次变动前</w:t>
            </w:r>
          </w:p>
        </w:tc>
        <w:tc>
          <w:tcPr>
            <w:tcW w:w="2131" w:type="dxa"/>
          </w:tcPr>
          <w:p w14:paraId="4A2163EB">
            <w:pPr>
              <w:widowControl/>
              <w:spacing w:line="5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本次变动数</w:t>
            </w:r>
          </w:p>
        </w:tc>
        <w:tc>
          <w:tcPr>
            <w:tcW w:w="2131" w:type="dxa"/>
          </w:tcPr>
          <w:p w14:paraId="7CD50F0B">
            <w:pPr>
              <w:widowControl/>
              <w:spacing w:line="5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本次变动后</w:t>
            </w:r>
          </w:p>
        </w:tc>
      </w:tr>
      <w:tr w14:paraId="12E3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536B840">
            <w:pPr>
              <w:widowControl/>
              <w:spacing w:line="560" w:lineRule="exac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有限售条件股份</w:t>
            </w:r>
          </w:p>
        </w:tc>
        <w:tc>
          <w:tcPr>
            <w:tcW w:w="2130" w:type="dxa"/>
          </w:tcPr>
          <w:p w14:paraId="6CDB23D7">
            <w:pPr>
              <w:widowControl/>
              <w:spacing w:line="560" w:lineRule="exact"/>
              <w:rPr>
                <w:rFonts w:ascii="仿宋_GB2312" w:hAnsi="Arial" w:eastAsia="仿宋_GB2312" w:cs="Arial"/>
                <w:color w:val="000000"/>
                <w:kern w:val="0"/>
                <w:sz w:val="24"/>
                <w:szCs w:val="24"/>
              </w:rPr>
            </w:pPr>
          </w:p>
        </w:tc>
        <w:tc>
          <w:tcPr>
            <w:tcW w:w="2131" w:type="dxa"/>
          </w:tcPr>
          <w:p w14:paraId="17462EFD">
            <w:pPr>
              <w:widowControl/>
              <w:spacing w:line="560" w:lineRule="exact"/>
              <w:rPr>
                <w:rFonts w:ascii="仿宋_GB2312" w:hAnsi="Arial" w:eastAsia="仿宋_GB2312" w:cs="Arial"/>
                <w:color w:val="000000"/>
                <w:kern w:val="0"/>
                <w:sz w:val="24"/>
                <w:szCs w:val="24"/>
              </w:rPr>
            </w:pPr>
          </w:p>
        </w:tc>
        <w:tc>
          <w:tcPr>
            <w:tcW w:w="2131" w:type="dxa"/>
          </w:tcPr>
          <w:p w14:paraId="308360BF">
            <w:pPr>
              <w:widowControl/>
              <w:spacing w:line="560" w:lineRule="exact"/>
              <w:rPr>
                <w:rFonts w:ascii="仿宋_GB2312" w:hAnsi="Arial" w:eastAsia="仿宋_GB2312" w:cs="Arial"/>
                <w:color w:val="000000"/>
                <w:kern w:val="0"/>
                <w:sz w:val="24"/>
                <w:szCs w:val="24"/>
              </w:rPr>
            </w:pPr>
          </w:p>
        </w:tc>
      </w:tr>
      <w:tr w14:paraId="5D42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9367D0A">
            <w:pPr>
              <w:widowControl/>
              <w:spacing w:line="560" w:lineRule="exac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无限售条件股份</w:t>
            </w:r>
          </w:p>
        </w:tc>
        <w:tc>
          <w:tcPr>
            <w:tcW w:w="2130" w:type="dxa"/>
          </w:tcPr>
          <w:p w14:paraId="4D55F20C">
            <w:pPr>
              <w:widowControl/>
              <w:spacing w:line="560" w:lineRule="exact"/>
              <w:rPr>
                <w:rFonts w:ascii="仿宋_GB2312" w:hAnsi="Arial" w:eastAsia="仿宋_GB2312" w:cs="Arial"/>
                <w:color w:val="000000"/>
                <w:kern w:val="0"/>
                <w:sz w:val="24"/>
                <w:szCs w:val="24"/>
              </w:rPr>
            </w:pPr>
          </w:p>
        </w:tc>
        <w:tc>
          <w:tcPr>
            <w:tcW w:w="2131" w:type="dxa"/>
          </w:tcPr>
          <w:p w14:paraId="2E3A9B63">
            <w:pPr>
              <w:widowControl/>
              <w:spacing w:line="560" w:lineRule="exact"/>
              <w:rPr>
                <w:rFonts w:ascii="仿宋_GB2312" w:hAnsi="Arial" w:eastAsia="仿宋_GB2312" w:cs="Arial"/>
                <w:color w:val="000000"/>
                <w:kern w:val="0"/>
                <w:sz w:val="24"/>
                <w:szCs w:val="24"/>
              </w:rPr>
            </w:pPr>
          </w:p>
        </w:tc>
        <w:tc>
          <w:tcPr>
            <w:tcW w:w="2131" w:type="dxa"/>
          </w:tcPr>
          <w:p w14:paraId="671CA6FC">
            <w:pPr>
              <w:widowControl/>
              <w:spacing w:line="560" w:lineRule="exact"/>
              <w:rPr>
                <w:rFonts w:ascii="仿宋_GB2312" w:hAnsi="Arial" w:eastAsia="仿宋_GB2312" w:cs="Arial"/>
                <w:color w:val="000000"/>
                <w:kern w:val="0"/>
                <w:sz w:val="24"/>
                <w:szCs w:val="24"/>
              </w:rPr>
            </w:pPr>
          </w:p>
        </w:tc>
      </w:tr>
      <w:tr w14:paraId="157A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14:paraId="2926664B">
            <w:pPr>
              <w:widowControl/>
              <w:spacing w:line="560" w:lineRule="exac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总计</w:t>
            </w:r>
          </w:p>
        </w:tc>
        <w:tc>
          <w:tcPr>
            <w:tcW w:w="2130" w:type="dxa"/>
          </w:tcPr>
          <w:p w14:paraId="01F9CBD3">
            <w:pPr>
              <w:widowControl/>
              <w:spacing w:line="560" w:lineRule="exact"/>
              <w:rPr>
                <w:rFonts w:ascii="仿宋_GB2312" w:hAnsi="Arial" w:eastAsia="仿宋_GB2312" w:cs="Arial"/>
                <w:color w:val="000000"/>
                <w:kern w:val="0"/>
                <w:sz w:val="24"/>
                <w:szCs w:val="24"/>
              </w:rPr>
            </w:pPr>
          </w:p>
        </w:tc>
        <w:tc>
          <w:tcPr>
            <w:tcW w:w="2131" w:type="dxa"/>
          </w:tcPr>
          <w:p w14:paraId="72994243">
            <w:pPr>
              <w:widowControl/>
              <w:spacing w:line="560" w:lineRule="exact"/>
              <w:rPr>
                <w:rFonts w:ascii="仿宋_GB2312" w:hAnsi="Arial" w:eastAsia="仿宋_GB2312" w:cs="Arial"/>
                <w:color w:val="000000"/>
                <w:kern w:val="0"/>
                <w:sz w:val="24"/>
                <w:szCs w:val="24"/>
              </w:rPr>
            </w:pPr>
          </w:p>
        </w:tc>
        <w:tc>
          <w:tcPr>
            <w:tcW w:w="2131" w:type="dxa"/>
          </w:tcPr>
          <w:p w14:paraId="7759FC00">
            <w:pPr>
              <w:widowControl/>
              <w:spacing w:line="560" w:lineRule="exact"/>
              <w:rPr>
                <w:rFonts w:ascii="仿宋_GB2312" w:hAnsi="Arial" w:eastAsia="仿宋_GB2312" w:cs="Arial"/>
                <w:color w:val="000000"/>
                <w:kern w:val="0"/>
                <w:sz w:val="24"/>
                <w:szCs w:val="24"/>
              </w:rPr>
            </w:pPr>
          </w:p>
        </w:tc>
      </w:tr>
    </w:tbl>
    <w:p w14:paraId="2B749817">
      <w:pPr>
        <w:widowControl/>
        <w:spacing w:line="560" w:lineRule="exact"/>
        <w:ind w:firstLine="600" w:firstLineChars="200"/>
        <w:rPr>
          <w:rFonts w:ascii="仿宋_GB2312" w:hAnsi="Arial" w:eastAsia="仿宋_GB2312" w:cs="Arial"/>
          <w:color w:val="000000"/>
          <w:kern w:val="0"/>
          <w:sz w:val="30"/>
          <w:szCs w:val="30"/>
        </w:rPr>
      </w:pPr>
    </w:p>
    <w:p w14:paraId="0FB9BB42">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五、法律意见书的结论性意见</w:t>
      </w:r>
    </w:p>
    <w:p w14:paraId="4C35B472">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律师事务所就本次股权激励计划</w:t>
      </w:r>
      <w:r>
        <w:rPr>
          <w:rFonts w:hint="eastAsia" w:ascii="仿宋_GB2312" w:hAnsi="Arial" w:eastAsia="仿宋_GB2312" w:cs="Arial"/>
          <w:color w:val="000000"/>
          <w:kern w:val="0"/>
          <w:sz w:val="30"/>
          <w:szCs w:val="30"/>
        </w:rPr>
        <w:t>限制性股票解锁</w:t>
      </w:r>
      <w:r>
        <w:rPr>
          <w:rFonts w:hint="eastAsia" w:ascii="仿宋_GB2312" w:hAnsi="宋体" w:eastAsia="仿宋_GB2312"/>
          <w:sz w:val="30"/>
          <w:szCs w:val="30"/>
        </w:rPr>
        <w:t>出具的法律意见书的结论性意见。</w:t>
      </w:r>
    </w:p>
    <w:p w14:paraId="32746833">
      <w:pPr>
        <w:widowControl/>
        <w:spacing w:line="560" w:lineRule="exact"/>
        <w:ind w:firstLine="600" w:firstLineChars="200"/>
        <w:rPr>
          <w:rFonts w:ascii="仿宋_GB2312" w:hAnsi="Arial" w:eastAsia="仿宋_GB2312" w:cs="Arial"/>
          <w:color w:val="000000"/>
          <w:kern w:val="0"/>
          <w:sz w:val="30"/>
          <w:szCs w:val="30"/>
        </w:rPr>
      </w:pPr>
    </w:p>
    <w:p w14:paraId="612B6DED">
      <w:pPr>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color w:val="000000"/>
          <w:sz w:val="30"/>
          <w:szCs w:val="30"/>
        </w:rPr>
        <w:t>特此公告。</w:t>
      </w:r>
    </w:p>
    <w:p w14:paraId="4DF951B8">
      <w:pPr>
        <w:adjustRightInd w:val="0"/>
        <w:snapToGrid w:val="0"/>
        <w:spacing w:line="560" w:lineRule="exact"/>
        <w:jc w:val="right"/>
        <w:rPr>
          <w:rFonts w:ascii="仿宋_GB2312" w:hAnsi="宋体" w:eastAsia="仿宋_GB2312"/>
          <w:color w:val="000000"/>
          <w:sz w:val="30"/>
          <w:szCs w:val="30"/>
        </w:rPr>
      </w:pPr>
    </w:p>
    <w:p w14:paraId="1884596D">
      <w:pPr>
        <w:adjustRightInd w:val="0"/>
        <w:snapToGrid w:val="0"/>
        <w:spacing w:line="560" w:lineRule="exact"/>
        <w:ind w:firstLine="600" w:firstLineChars="200"/>
        <w:jc w:val="right"/>
        <w:rPr>
          <w:rFonts w:ascii="仿宋_GB2312" w:hAnsi="宋体" w:eastAsia="仿宋_GB2312"/>
          <w:color w:val="000000"/>
          <w:sz w:val="30"/>
          <w:szCs w:val="30"/>
        </w:rPr>
      </w:pPr>
      <w:r>
        <w:rPr>
          <w:rFonts w:hint="eastAsia" w:ascii="仿宋_GB2312" w:hAnsi="宋体" w:eastAsia="仿宋_GB2312"/>
          <w:color w:val="000000"/>
          <w:sz w:val="30"/>
          <w:szCs w:val="30"/>
        </w:rPr>
        <w:t>XXXX股份有限公司董事会</w:t>
      </w:r>
    </w:p>
    <w:p w14:paraId="01390A4E">
      <w:pPr>
        <w:adjustRightInd w:val="0"/>
        <w:snapToGrid w:val="0"/>
        <w:spacing w:line="560" w:lineRule="exact"/>
        <w:ind w:firstLine="600" w:firstLineChars="200"/>
        <w:jc w:val="right"/>
        <w:rPr>
          <w:rFonts w:ascii="仿宋_GB2312" w:hAnsi="宋体" w:eastAsia="仿宋_GB2312"/>
          <w:color w:val="000000"/>
          <w:sz w:val="30"/>
          <w:szCs w:val="30"/>
        </w:rPr>
      </w:pPr>
      <w:r>
        <w:rPr>
          <w:rFonts w:hint="eastAsia" w:ascii="仿宋_GB2312" w:hAnsi="宋体" w:eastAsia="仿宋_GB2312"/>
          <w:color w:val="000000"/>
          <w:sz w:val="30"/>
          <w:szCs w:val="30"/>
        </w:rPr>
        <w:t>年  月  日</w:t>
      </w:r>
    </w:p>
    <w:p w14:paraId="576E9814">
      <w:pPr>
        <w:adjustRightInd w:val="0"/>
        <w:snapToGrid w:val="0"/>
        <w:spacing w:line="560" w:lineRule="exact"/>
        <w:ind w:firstLine="600" w:firstLineChars="200"/>
        <w:jc w:val="right"/>
        <w:rPr>
          <w:rFonts w:ascii="仿宋_GB2312" w:hAnsi="宋体" w:eastAsia="仿宋_GB2312"/>
          <w:color w:val="000000"/>
          <w:sz w:val="30"/>
          <w:szCs w:val="30"/>
        </w:rPr>
      </w:pPr>
    </w:p>
    <w:p w14:paraId="633376B0">
      <w:pPr>
        <w:numPr>
          <w:ilvl w:val="0"/>
          <w:numId w:val="4"/>
        </w:numPr>
        <w:adjustRightInd w:val="0"/>
        <w:snapToGrid w:val="0"/>
        <w:spacing w:line="560" w:lineRule="exact"/>
        <w:rPr>
          <w:rFonts w:ascii="仿宋_GB2312" w:hAnsi="宋体" w:eastAsia="仿宋_GB2312"/>
          <w:b/>
          <w:bCs/>
          <w:color w:val="000000"/>
          <w:sz w:val="30"/>
          <w:szCs w:val="30"/>
        </w:rPr>
      </w:pPr>
      <w:r>
        <w:rPr>
          <w:rFonts w:hint="eastAsia" w:ascii="仿宋_GB2312" w:hAnsi="宋体" w:eastAsia="仿宋_GB2312"/>
          <w:b/>
          <w:bCs/>
          <w:color w:val="000000"/>
          <w:sz w:val="30"/>
          <w:szCs w:val="30"/>
        </w:rPr>
        <w:t>上网公告文件</w:t>
      </w:r>
    </w:p>
    <w:p w14:paraId="7F54DEB7">
      <w:pPr>
        <w:widowControl/>
        <w:spacing w:line="560" w:lineRule="exact"/>
        <w:ind w:left="48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法律意见书</w:t>
      </w:r>
    </w:p>
    <w:p w14:paraId="7041D181">
      <w:pPr>
        <w:spacing w:line="560" w:lineRule="exact"/>
        <w:rPr>
          <w:rFonts w:ascii="仿宋_GB2312" w:eastAsia="仿宋_GB2312"/>
          <w:sz w:val="30"/>
          <w:szCs w:val="30"/>
        </w:rPr>
      </w:pPr>
    </w:p>
    <w:p w14:paraId="29A41380">
      <w:pPr>
        <w:spacing w:line="560" w:lineRule="exact"/>
      </w:pPr>
      <w:bookmarkStart w:id="40" w:name="_Toc57800065"/>
      <w:bookmarkStart w:id="41" w:name="_Toc356840112"/>
      <w:bookmarkStart w:id="42" w:name="_Toc352226125"/>
      <w:r>
        <w:br w:type="page"/>
      </w:r>
    </w:p>
    <w:p w14:paraId="2D28C120">
      <w:pPr>
        <w:pStyle w:val="3"/>
        <w:spacing w:line="560" w:lineRule="exact"/>
        <w:rPr>
          <w:rFonts w:ascii="黑体" w:hAnsi="黑体"/>
        </w:rPr>
      </w:pPr>
      <w:bookmarkStart w:id="43" w:name="_Toc101449324"/>
      <w:r>
        <w:rPr>
          <w:rFonts w:ascii="黑体" w:hAnsi="黑体"/>
        </w:rPr>
        <w:t>5.</w:t>
      </w:r>
      <w:r>
        <w:rPr>
          <w:rFonts w:hint="eastAsia" w:ascii="黑体" w:hAnsi="黑体"/>
        </w:rPr>
        <w:t>上市公司股权激励计划股票期权符合行权条件公告</w:t>
      </w:r>
      <w:bookmarkEnd w:id="40"/>
      <w:bookmarkEnd w:id="41"/>
      <w:bookmarkEnd w:id="42"/>
      <w:bookmarkEnd w:id="43"/>
    </w:p>
    <w:p w14:paraId="7E451F90">
      <w:pPr>
        <w:widowControl/>
        <w:adjustRightInd w:val="0"/>
        <w:snapToGrid w:val="0"/>
        <w:spacing w:line="560" w:lineRule="exact"/>
        <w:rPr>
          <w:rFonts w:ascii="仿宋_GB2312" w:hAnsi="仿宋" w:eastAsia="仿宋_GB2312" w:cs="宋体"/>
          <w:color w:val="000000"/>
          <w:kern w:val="0"/>
          <w:sz w:val="30"/>
          <w:szCs w:val="30"/>
        </w:rPr>
      </w:pPr>
    </w:p>
    <w:p w14:paraId="39229F79">
      <w:pPr>
        <w:widowControl/>
        <w:adjustRightInd w:val="0"/>
        <w:snapToGrid w:val="0"/>
        <w:spacing w:line="560" w:lineRule="exac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证券代码：</w:t>
      </w:r>
      <w:r>
        <w:rPr>
          <w:rFonts w:ascii="仿宋_GB2312" w:hAnsi="仿宋" w:eastAsia="仿宋_GB2312" w:cs="宋体"/>
          <w:color w:val="000000"/>
          <w:kern w:val="0"/>
          <w:sz w:val="30"/>
          <w:szCs w:val="30"/>
        </w:rPr>
        <w:t xml:space="preserve">             </w:t>
      </w:r>
      <w:r>
        <w:rPr>
          <w:rFonts w:hint="eastAsia" w:ascii="仿宋_GB2312" w:hAnsi="仿宋" w:eastAsia="仿宋_GB2312" w:cs="宋体"/>
          <w:color w:val="000000"/>
          <w:kern w:val="0"/>
          <w:sz w:val="30"/>
          <w:szCs w:val="30"/>
        </w:rPr>
        <w:t>证券简称：</w:t>
      </w:r>
      <w:r>
        <w:rPr>
          <w:rFonts w:ascii="仿宋_GB2312" w:hAnsi="仿宋" w:eastAsia="仿宋_GB2312" w:cs="宋体"/>
          <w:color w:val="000000"/>
          <w:kern w:val="0"/>
          <w:sz w:val="30"/>
          <w:szCs w:val="30"/>
        </w:rPr>
        <w:t xml:space="preserve">            </w:t>
      </w:r>
      <w:r>
        <w:rPr>
          <w:rFonts w:hint="eastAsia" w:ascii="仿宋_GB2312" w:hAnsi="仿宋" w:eastAsia="仿宋_GB2312" w:cs="宋体"/>
          <w:color w:val="000000"/>
          <w:kern w:val="0"/>
          <w:sz w:val="30"/>
          <w:szCs w:val="30"/>
        </w:rPr>
        <w:t>公告编号：</w:t>
      </w:r>
    </w:p>
    <w:p w14:paraId="35BFEAD1">
      <w:pPr>
        <w:pStyle w:val="22"/>
        <w:spacing w:line="560" w:lineRule="exact"/>
        <w:jc w:val="center"/>
        <w:rPr>
          <w:rFonts w:ascii="仿宋_GB2312" w:hAnsi="仿宋" w:eastAsia="仿宋_GB2312"/>
          <w:sz w:val="30"/>
          <w:szCs w:val="30"/>
        </w:rPr>
      </w:pPr>
    </w:p>
    <w:p w14:paraId="4B6DC928">
      <w:pPr>
        <w:pStyle w:val="22"/>
        <w:spacing w:line="560" w:lineRule="exact"/>
        <w:jc w:val="center"/>
        <w:rPr>
          <w:rFonts w:ascii="仿宋_GB2312" w:hAnsi="仿宋" w:eastAsia="仿宋_GB2312"/>
          <w:sz w:val="30"/>
          <w:szCs w:val="30"/>
        </w:rPr>
      </w:pPr>
      <w:r>
        <w:rPr>
          <w:rFonts w:ascii="仿宋_GB2312" w:hAnsi="仿宋" w:eastAsia="仿宋_GB2312"/>
          <w:sz w:val="30"/>
          <w:szCs w:val="30"/>
        </w:rPr>
        <w:t>XXXX</w:t>
      </w:r>
      <w:r>
        <w:rPr>
          <w:rFonts w:hint="eastAsia" w:ascii="仿宋_GB2312" w:hAnsi="仿宋" w:eastAsia="仿宋_GB2312"/>
          <w:sz w:val="30"/>
          <w:szCs w:val="30"/>
        </w:rPr>
        <w:t>股份有限公司股权激励计划股票期权符合行权条件公告</w:t>
      </w:r>
    </w:p>
    <w:p w14:paraId="3A8E6BC7">
      <w:pPr>
        <w:pStyle w:val="22"/>
        <w:spacing w:line="560" w:lineRule="exact"/>
        <w:jc w:val="center"/>
        <w:rPr>
          <w:rFonts w:ascii="仿宋_GB2312" w:hAnsi="仿宋" w:eastAsia="仿宋_GB2312"/>
          <w:sz w:val="30"/>
          <w:szCs w:val="30"/>
        </w:rPr>
      </w:pPr>
    </w:p>
    <w:p w14:paraId="5A5A7368">
      <w:pPr>
        <w:pBdr>
          <w:top w:val="single" w:color="auto" w:sz="4" w:space="1"/>
          <w:left w:val="single" w:color="auto" w:sz="4" w:space="4"/>
          <w:bottom w:val="single" w:color="auto" w:sz="4" w:space="2"/>
          <w:right w:val="single" w:color="auto" w:sz="4" w:space="4"/>
        </w:pBdr>
        <w:adjustRightIn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本公司董事会及全体董事保证本公告内容不存在任何虚假记载、误导性陈述或者重大遗漏，并对其内容的真实性、准确性和完整性承担法律责任。</w:t>
      </w:r>
    </w:p>
    <w:p w14:paraId="044E17CF">
      <w:pPr>
        <w:pBdr>
          <w:top w:val="single" w:color="auto" w:sz="4" w:space="1"/>
          <w:left w:val="single" w:color="auto" w:sz="4" w:space="4"/>
          <w:bottom w:val="single" w:color="auto" w:sz="4" w:space="2"/>
          <w:right w:val="single" w:color="auto" w:sz="4" w:space="4"/>
        </w:pBdr>
        <w:adjustRightInd w:val="0"/>
        <w:spacing w:line="560" w:lineRule="exact"/>
        <w:ind w:firstLine="600" w:firstLineChars="200"/>
        <w:rPr>
          <w:rFonts w:ascii="仿宋_GB2312" w:hAnsi="仿宋" w:eastAsia="仿宋_GB2312"/>
          <w:color w:val="000000"/>
          <w:sz w:val="30"/>
          <w:szCs w:val="30"/>
        </w:rPr>
      </w:pPr>
      <w:r>
        <w:rPr>
          <w:rFonts w:hint="eastAsia" w:ascii="仿宋_GB2312" w:hAnsi="宋体" w:eastAsia="仿宋_GB2312"/>
          <w:color w:val="000000"/>
          <w:sz w:val="30"/>
          <w:szCs w:val="30"/>
        </w:rPr>
        <w:t>如有董事对临时公告内容的真实性、准确性和完整性无法保证或存在异议的，公司</w:t>
      </w:r>
      <w:r>
        <w:rPr>
          <w:rFonts w:ascii="仿宋_GB2312" w:hAnsi="宋体" w:eastAsia="仿宋_GB2312"/>
          <w:color w:val="000000"/>
          <w:sz w:val="30"/>
          <w:szCs w:val="30"/>
        </w:rPr>
        <w:t>应当</w:t>
      </w:r>
      <w:r>
        <w:rPr>
          <w:rFonts w:hint="eastAsia" w:ascii="仿宋_GB2312" w:hAnsi="宋体" w:eastAsia="仿宋_GB2312"/>
          <w:color w:val="000000"/>
          <w:sz w:val="30"/>
          <w:szCs w:val="30"/>
        </w:rPr>
        <w:t>在公告中作特别提示。</w:t>
      </w:r>
    </w:p>
    <w:p w14:paraId="04775001">
      <w:pPr>
        <w:adjustRightInd w:val="0"/>
        <w:snapToGrid w:val="0"/>
        <w:spacing w:line="560" w:lineRule="exact"/>
        <w:rPr>
          <w:rFonts w:ascii="仿宋_GB2312" w:eastAsia="仿宋_GB2312" w:cs="宋体"/>
          <w:color w:val="000000"/>
          <w:kern w:val="0"/>
          <w:sz w:val="30"/>
          <w:szCs w:val="30"/>
        </w:rPr>
      </w:pPr>
    </w:p>
    <w:p w14:paraId="70CE2BAB">
      <w:pPr>
        <w:snapToGrid w:val="0"/>
        <w:spacing w:line="560" w:lineRule="exact"/>
        <w:ind w:firstLine="602" w:firstLineChars="200"/>
        <w:rPr>
          <w:rFonts w:ascii="仿宋_GB2312" w:hAnsi="黑体" w:eastAsia="仿宋_GB2312"/>
          <w:b/>
          <w:sz w:val="30"/>
          <w:szCs w:val="30"/>
        </w:rPr>
      </w:pPr>
      <w:r>
        <w:rPr>
          <w:rFonts w:hint="eastAsia" w:ascii="仿宋_GB2312" w:hAnsi="黑体" w:eastAsia="仿宋_GB2312"/>
          <w:b/>
          <w:sz w:val="30"/>
          <w:szCs w:val="30"/>
        </w:rPr>
        <w:t>重要内容提示：</w:t>
      </w:r>
    </w:p>
    <w:p w14:paraId="2F7E3F81">
      <w:pPr>
        <w:numPr>
          <w:ilvl w:val="0"/>
          <w:numId w:val="3"/>
        </w:numPr>
        <w:snapToGrid w:val="0"/>
        <w:spacing w:line="560" w:lineRule="exact"/>
        <w:rPr>
          <w:rFonts w:ascii="仿宋_GB2312" w:hAnsi="宋体" w:eastAsia="仿宋_GB2312"/>
          <w:sz w:val="30"/>
          <w:szCs w:val="30"/>
        </w:rPr>
      </w:pPr>
      <w:r>
        <w:rPr>
          <w:rFonts w:hint="eastAsia" w:ascii="仿宋_GB2312" w:hAnsi="宋体" w:eastAsia="仿宋_GB2312"/>
          <w:sz w:val="30"/>
          <w:szCs w:val="30"/>
        </w:rPr>
        <w:t>股票期权拟行权数量</w:t>
      </w:r>
    </w:p>
    <w:p w14:paraId="6BC51988">
      <w:pPr>
        <w:numPr>
          <w:ilvl w:val="0"/>
          <w:numId w:val="3"/>
        </w:numPr>
        <w:snapToGrid w:val="0"/>
        <w:spacing w:line="560" w:lineRule="exact"/>
        <w:rPr>
          <w:rFonts w:ascii="仿宋_GB2312" w:hAnsi="宋体" w:eastAsia="仿宋_GB2312"/>
          <w:sz w:val="30"/>
          <w:szCs w:val="30"/>
        </w:rPr>
      </w:pPr>
      <w:r>
        <w:rPr>
          <w:rFonts w:hint="eastAsia" w:ascii="仿宋_GB2312" w:hAnsi="宋体" w:eastAsia="仿宋_GB2312"/>
          <w:sz w:val="30"/>
          <w:szCs w:val="30"/>
        </w:rPr>
        <w:t>行权股票来源</w:t>
      </w:r>
    </w:p>
    <w:p w14:paraId="3D455CE3">
      <w:pPr>
        <w:snapToGrid w:val="0"/>
        <w:spacing w:line="560" w:lineRule="exact"/>
        <w:ind w:firstLine="600" w:firstLineChars="200"/>
        <w:rPr>
          <w:rFonts w:ascii="仿宋_GB2312" w:hAnsi="宋体" w:eastAsia="仿宋_GB2312"/>
          <w:sz w:val="30"/>
          <w:szCs w:val="30"/>
        </w:rPr>
      </w:pPr>
    </w:p>
    <w:p w14:paraId="46436CEA">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一、股权激励计划批准及实施情况</w:t>
      </w:r>
    </w:p>
    <w:p w14:paraId="54CC604E">
      <w:pPr>
        <w:widowControl/>
        <w:spacing w:line="56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（一）公司应当简要说明股权激励计划方案。包括但不限于：股权激励计划主要内容，公司董事会、股东会审议通过的时间。</w:t>
      </w:r>
    </w:p>
    <w:p w14:paraId="7478FEAD">
      <w:pPr>
        <w:widowControl/>
        <w:spacing w:line="56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（二）公司</w:t>
      </w:r>
      <w:r>
        <w:rPr>
          <w:rFonts w:ascii="仿宋_GB2312" w:hAnsi="Arial" w:eastAsia="仿宋_GB2312" w:cs="Arial"/>
          <w:color w:val="000000"/>
          <w:kern w:val="0"/>
          <w:sz w:val="30"/>
          <w:szCs w:val="30"/>
        </w:rPr>
        <w:t>应当</w:t>
      </w:r>
      <w:r>
        <w:rPr>
          <w:rFonts w:hint="eastAsia" w:ascii="仿宋_GB2312" w:hAnsi="Arial" w:eastAsia="仿宋_GB2312" w:cs="Arial"/>
          <w:color w:val="000000"/>
          <w:kern w:val="0"/>
          <w:sz w:val="30"/>
          <w:szCs w:val="30"/>
        </w:rPr>
        <w:t>列表披露历次股票期权授予情况。包括但不限于：授予日期、授予价格、授予数量、人数、授予后股票期权剩余数量。</w:t>
      </w:r>
    </w:p>
    <w:p w14:paraId="260B2424">
      <w:pPr>
        <w:widowControl/>
        <w:spacing w:line="56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（三）公司</w:t>
      </w:r>
      <w:r>
        <w:rPr>
          <w:rFonts w:ascii="仿宋_GB2312" w:hAnsi="Arial" w:eastAsia="仿宋_GB2312" w:cs="Arial"/>
          <w:color w:val="000000"/>
          <w:kern w:val="0"/>
          <w:sz w:val="30"/>
          <w:szCs w:val="30"/>
        </w:rPr>
        <w:t>应当</w:t>
      </w:r>
      <w:r>
        <w:rPr>
          <w:rFonts w:hint="eastAsia" w:ascii="仿宋_GB2312" w:hAnsi="Arial" w:eastAsia="仿宋_GB2312" w:cs="Arial"/>
          <w:color w:val="000000"/>
          <w:kern w:val="0"/>
          <w:sz w:val="30"/>
          <w:szCs w:val="30"/>
        </w:rPr>
        <w:t>列表披露历次股票期权行权情况。包括但不限于：行权日期、行权价格、行权数量、行权人数、行权后股票期权剩余数量、取消行权数量及原因、因分红送转导致行权价格及数量的调整情况。</w:t>
      </w:r>
    </w:p>
    <w:p w14:paraId="06D30214">
      <w:pPr>
        <w:widowControl/>
        <w:spacing w:line="560" w:lineRule="exact"/>
        <w:ind w:firstLine="600" w:firstLineChars="200"/>
        <w:rPr>
          <w:rFonts w:ascii="仿宋_GB2312" w:hAnsi="Arial" w:eastAsia="仿宋_GB2312" w:cs="Arial"/>
          <w:color w:val="000000"/>
          <w:kern w:val="0"/>
          <w:sz w:val="30"/>
          <w:szCs w:val="30"/>
        </w:rPr>
      </w:pPr>
    </w:p>
    <w:p w14:paraId="37476BA0">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二、股权激励计划激励对象行权条件说明</w:t>
      </w:r>
    </w:p>
    <w:p w14:paraId="4AC3B814">
      <w:pPr>
        <w:widowControl/>
        <w:spacing w:line="56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（一）用列表方式说明本次激励对象行权是否符合股权激励计划规定的各项行权条件。</w:t>
      </w:r>
    </w:p>
    <w:p w14:paraId="1E9AD2DC">
      <w:pPr>
        <w:widowControl/>
        <w:spacing w:line="56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（二）对未达到行权条件的，说明相</w:t>
      </w:r>
      <w:r>
        <w:rPr>
          <w:rFonts w:ascii="仿宋_GB2312" w:hAnsi="Arial" w:eastAsia="仿宋_GB2312" w:cs="Arial"/>
          <w:color w:val="000000"/>
          <w:kern w:val="0"/>
          <w:sz w:val="30"/>
          <w:szCs w:val="30"/>
        </w:rPr>
        <w:t>应</w:t>
      </w:r>
      <w:r>
        <w:rPr>
          <w:rFonts w:hint="eastAsia" w:ascii="仿宋_GB2312" w:hAnsi="Arial" w:eastAsia="仿宋_GB2312" w:cs="Arial"/>
          <w:color w:val="000000"/>
          <w:kern w:val="0"/>
          <w:sz w:val="30"/>
          <w:szCs w:val="30"/>
        </w:rPr>
        <w:t>股票期权的处理方法。</w:t>
      </w:r>
    </w:p>
    <w:p w14:paraId="08F4DFAC">
      <w:pPr>
        <w:widowControl/>
        <w:spacing w:line="560" w:lineRule="exact"/>
        <w:ind w:firstLine="600" w:firstLineChars="200"/>
        <w:rPr>
          <w:rFonts w:ascii="仿宋_GB2312" w:hAnsi="Arial" w:eastAsia="仿宋_GB2312" w:cs="Arial"/>
          <w:color w:val="000000"/>
          <w:kern w:val="0"/>
          <w:sz w:val="30"/>
          <w:szCs w:val="30"/>
        </w:rPr>
      </w:pPr>
    </w:p>
    <w:p w14:paraId="1151AEAA">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三、本次行权的具体情况</w:t>
      </w:r>
    </w:p>
    <w:p w14:paraId="65D73203">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（一）授予日：说明董事会确定的本次行权的股票期权权益授予日。</w:t>
      </w:r>
    </w:p>
    <w:p w14:paraId="6FB04FA1">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（二）行权数量：说明本次权益授予数量。</w:t>
      </w:r>
    </w:p>
    <w:p w14:paraId="698B4645">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（三）行权人数：说明本次权益授予人数。</w:t>
      </w:r>
    </w:p>
    <w:p w14:paraId="772CE81D">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（四）行权价格：说明本次股票期权的行权价格。</w:t>
      </w:r>
    </w:p>
    <w:p w14:paraId="3E4098FC">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（五）行权方式：自主行权或批量行权（二选一）。</w:t>
      </w:r>
    </w:p>
    <w:p w14:paraId="64F3AF14">
      <w:pPr>
        <w:snapToGrid w:val="0"/>
        <w:spacing w:line="560" w:lineRule="exact"/>
        <w:ind w:firstLine="480" w:firstLineChars="200"/>
        <w:rPr>
          <w:rFonts w:ascii="楷体" w:hAnsi="楷体" w:eastAsia="楷体"/>
          <w:sz w:val="24"/>
          <w:szCs w:val="24"/>
        </w:rPr>
      </w:pPr>
      <w:r>
        <w:rPr>
          <w:rFonts w:hint="eastAsia" w:ascii="楷体" w:hAnsi="楷体" w:eastAsia="楷体"/>
          <w:sz w:val="24"/>
          <w:szCs w:val="24"/>
        </w:rPr>
        <w:t>（编制提醒：选择自主行权方式的，公司应当于每季度结束后两个交易日内披露上一季度股票期权行权结果暨股本结构变动公告。自主行权方式下，公司应当提醒激励对象中的董事、高级管理人员遵守关于短线交易等相关规定，以及权益分派实施期间应暂缓实施影响股本结构变动的自主行权。）</w:t>
      </w:r>
    </w:p>
    <w:p w14:paraId="06014C0E">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（六）股票来源：根据股权激励计划说明本次行权的股票来源情况，如向授予对象发行股票或公司从二级市场回购股票等。向授予对象发行股票的可以选择自主行权方式。</w:t>
      </w:r>
    </w:p>
    <w:p w14:paraId="55CAB997">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（七）行权安排：批量行权</w:t>
      </w:r>
      <w:r>
        <w:rPr>
          <w:rFonts w:ascii="仿宋_GB2312" w:hAnsi="宋体" w:eastAsia="仿宋_GB2312"/>
          <w:sz w:val="30"/>
          <w:szCs w:val="30"/>
        </w:rPr>
        <w:t>应当</w:t>
      </w:r>
      <w:r>
        <w:rPr>
          <w:rFonts w:hint="eastAsia" w:ascii="仿宋_GB2312" w:hAnsi="宋体" w:eastAsia="仿宋_GB2312"/>
          <w:sz w:val="30"/>
          <w:szCs w:val="30"/>
        </w:rPr>
        <w:t>明确本次是第几个行权期的第几次行权，自主行权方式</w:t>
      </w:r>
      <w:r>
        <w:rPr>
          <w:rFonts w:ascii="仿宋_GB2312" w:hAnsi="宋体" w:eastAsia="仿宋_GB2312"/>
          <w:sz w:val="30"/>
          <w:szCs w:val="30"/>
        </w:rPr>
        <w:t>应当</w:t>
      </w:r>
      <w:r>
        <w:rPr>
          <w:rFonts w:hint="eastAsia" w:ascii="仿宋_GB2312" w:hAnsi="宋体" w:eastAsia="仿宋_GB2312"/>
          <w:sz w:val="30"/>
          <w:szCs w:val="30"/>
        </w:rPr>
        <w:t>明确行权的起止日期，行权所得股票可于行权日（T日）后的第二个交易日（T+2）日上市交易等。</w:t>
      </w:r>
    </w:p>
    <w:p w14:paraId="41C95157">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（八）激励对象名单及行权情况：列表说明本次股票期权行权具体对象的姓名、职务、行权数量、占股权激励计划总量的比例、占授予时总股本的比例。</w:t>
      </w:r>
    </w:p>
    <w:tbl>
      <w:tblPr>
        <w:tblStyle w:val="15"/>
        <w:tblW w:w="8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671"/>
        <w:gridCol w:w="1436"/>
        <w:gridCol w:w="1716"/>
        <w:gridCol w:w="1705"/>
      </w:tblGrid>
      <w:tr w14:paraId="3962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706" w:type="dxa"/>
            <w:vAlign w:val="center"/>
          </w:tcPr>
          <w:p w14:paraId="4654D397">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姓名</w:t>
            </w:r>
          </w:p>
        </w:tc>
        <w:tc>
          <w:tcPr>
            <w:tcW w:w="1671" w:type="dxa"/>
            <w:vAlign w:val="center"/>
          </w:tcPr>
          <w:p w14:paraId="4B594DF6">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职务</w:t>
            </w:r>
          </w:p>
        </w:tc>
        <w:tc>
          <w:tcPr>
            <w:tcW w:w="1436" w:type="dxa"/>
            <w:vAlign w:val="center"/>
          </w:tcPr>
          <w:p w14:paraId="5E811A7A">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可行权数量</w:t>
            </w:r>
          </w:p>
        </w:tc>
        <w:tc>
          <w:tcPr>
            <w:tcW w:w="1716" w:type="dxa"/>
            <w:vAlign w:val="center"/>
          </w:tcPr>
          <w:p w14:paraId="75ED5F97">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占股权激励计划总量的比例</w:t>
            </w:r>
          </w:p>
        </w:tc>
        <w:tc>
          <w:tcPr>
            <w:tcW w:w="1705" w:type="dxa"/>
            <w:vAlign w:val="center"/>
          </w:tcPr>
          <w:p w14:paraId="4A2BA349">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占授予时总股本的比例</w:t>
            </w:r>
          </w:p>
        </w:tc>
      </w:tr>
      <w:tr w14:paraId="7073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tcPr>
          <w:p w14:paraId="0935BACA">
            <w:pPr>
              <w:snapToGrid w:val="0"/>
              <w:spacing w:line="560" w:lineRule="exact"/>
              <w:rPr>
                <w:rFonts w:ascii="仿宋_GB2312" w:hAnsi="宋体" w:eastAsia="仿宋_GB2312"/>
                <w:kern w:val="0"/>
                <w:sz w:val="24"/>
                <w:szCs w:val="24"/>
              </w:rPr>
            </w:pPr>
          </w:p>
        </w:tc>
        <w:tc>
          <w:tcPr>
            <w:tcW w:w="1671" w:type="dxa"/>
          </w:tcPr>
          <w:p w14:paraId="54CC4C49">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董事</w:t>
            </w:r>
          </w:p>
        </w:tc>
        <w:tc>
          <w:tcPr>
            <w:tcW w:w="1436" w:type="dxa"/>
          </w:tcPr>
          <w:p w14:paraId="4F3F7604">
            <w:pPr>
              <w:snapToGrid w:val="0"/>
              <w:spacing w:line="560" w:lineRule="exact"/>
              <w:rPr>
                <w:rFonts w:ascii="仿宋_GB2312" w:hAnsi="宋体" w:eastAsia="仿宋_GB2312"/>
                <w:kern w:val="0"/>
                <w:sz w:val="24"/>
                <w:szCs w:val="24"/>
              </w:rPr>
            </w:pPr>
          </w:p>
        </w:tc>
        <w:tc>
          <w:tcPr>
            <w:tcW w:w="1716" w:type="dxa"/>
          </w:tcPr>
          <w:p w14:paraId="0D025BC8">
            <w:pPr>
              <w:snapToGrid w:val="0"/>
              <w:spacing w:line="560" w:lineRule="exact"/>
              <w:rPr>
                <w:rFonts w:ascii="仿宋_GB2312" w:hAnsi="宋体" w:eastAsia="仿宋_GB2312"/>
                <w:kern w:val="0"/>
                <w:sz w:val="24"/>
                <w:szCs w:val="24"/>
              </w:rPr>
            </w:pPr>
          </w:p>
        </w:tc>
        <w:tc>
          <w:tcPr>
            <w:tcW w:w="1705" w:type="dxa"/>
          </w:tcPr>
          <w:p w14:paraId="3852EB40">
            <w:pPr>
              <w:snapToGrid w:val="0"/>
              <w:spacing w:line="560" w:lineRule="exact"/>
              <w:rPr>
                <w:rFonts w:ascii="仿宋_GB2312" w:hAnsi="宋体" w:eastAsia="仿宋_GB2312"/>
                <w:kern w:val="0"/>
                <w:sz w:val="24"/>
                <w:szCs w:val="24"/>
              </w:rPr>
            </w:pPr>
          </w:p>
        </w:tc>
      </w:tr>
      <w:tr w14:paraId="6A59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tcPr>
          <w:p w14:paraId="6726947D">
            <w:pPr>
              <w:snapToGrid w:val="0"/>
              <w:spacing w:line="560" w:lineRule="exact"/>
              <w:rPr>
                <w:rFonts w:ascii="仿宋_GB2312" w:hAnsi="宋体" w:eastAsia="仿宋_GB2312"/>
                <w:kern w:val="0"/>
                <w:sz w:val="24"/>
                <w:szCs w:val="24"/>
              </w:rPr>
            </w:pPr>
          </w:p>
        </w:tc>
        <w:tc>
          <w:tcPr>
            <w:tcW w:w="1671" w:type="dxa"/>
          </w:tcPr>
          <w:p w14:paraId="46500B00">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w:t>
            </w:r>
          </w:p>
        </w:tc>
        <w:tc>
          <w:tcPr>
            <w:tcW w:w="1436" w:type="dxa"/>
          </w:tcPr>
          <w:p w14:paraId="731FFE07">
            <w:pPr>
              <w:snapToGrid w:val="0"/>
              <w:spacing w:line="560" w:lineRule="exact"/>
              <w:rPr>
                <w:rFonts w:ascii="仿宋_GB2312" w:hAnsi="宋体" w:eastAsia="仿宋_GB2312"/>
                <w:kern w:val="0"/>
                <w:sz w:val="24"/>
                <w:szCs w:val="24"/>
              </w:rPr>
            </w:pPr>
          </w:p>
        </w:tc>
        <w:tc>
          <w:tcPr>
            <w:tcW w:w="1716" w:type="dxa"/>
          </w:tcPr>
          <w:p w14:paraId="5F2FBE50">
            <w:pPr>
              <w:snapToGrid w:val="0"/>
              <w:spacing w:line="560" w:lineRule="exact"/>
              <w:rPr>
                <w:rFonts w:ascii="仿宋_GB2312" w:hAnsi="宋体" w:eastAsia="仿宋_GB2312"/>
                <w:kern w:val="0"/>
                <w:sz w:val="24"/>
                <w:szCs w:val="24"/>
              </w:rPr>
            </w:pPr>
          </w:p>
        </w:tc>
        <w:tc>
          <w:tcPr>
            <w:tcW w:w="1705" w:type="dxa"/>
          </w:tcPr>
          <w:p w14:paraId="6BB2422B">
            <w:pPr>
              <w:snapToGrid w:val="0"/>
              <w:spacing w:line="560" w:lineRule="exact"/>
              <w:rPr>
                <w:rFonts w:ascii="仿宋_GB2312" w:hAnsi="宋体" w:eastAsia="仿宋_GB2312"/>
                <w:kern w:val="0"/>
                <w:sz w:val="24"/>
                <w:szCs w:val="24"/>
              </w:rPr>
            </w:pPr>
          </w:p>
        </w:tc>
      </w:tr>
      <w:tr w14:paraId="2539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tcPr>
          <w:p w14:paraId="6D7D9201">
            <w:pPr>
              <w:snapToGrid w:val="0"/>
              <w:spacing w:line="560" w:lineRule="exact"/>
              <w:rPr>
                <w:rFonts w:ascii="仿宋_GB2312" w:hAnsi="宋体" w:eastAsia="仿宋_GB2312"/>
                <w:kern w:val="0"/>
                <w:sz w:val="24"/>
                <w:szCs w:val="24"/>
              </w:rPr>
            </w:pPr>
          </w:p>
        </w:tc>
        <w:tc>
          <w:tcPr>
            <w:tcW w:w="1671" w:type="dxa"/>
          </w:tcPr>
          <w:p w14:paraId="4E49A35F">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高级管理人员</w:t>
            </w:r>
          </w:p>
        </w:tc>
        <w:tc>
          <w:tcPr>
            <w:tcW w:w="1436" w:type="dxa"/>
          </w:tcPr>
          <w:p w14:paraId="7E6EA697">
            <w:pPr>
              <w:snapToGrid w:val="0"/>
              <w:spacing w:line="560" w:lineRule="exact"/>
              <w:rPr>
                <w:rFonts w:ascii="仿宋_GB2312" w:hAnsi="宋体" w:eastAsia="仿宋_GB2312"/>
                <w:kern w:val="0"/>
                <w:sz w:val="24"/>
                <w:szCs w:val="24"/>
              </w:rPr>
            </w:pPr>
          </w:p>
        </w:tc>
        <w:tc>
          <w:tcPr>
            <w:tcW w:w="1716" w:type="dxa"/>
          </w:tcPr>
          <w:p w14:paraId="6C3D2CEA">
            <w:pPr>
              <w:snapToGrid w:val="0"/>
              <w:spacing w:line="560" w:lineRule="exact"/>
              <w:rPr>
                <w:rFonts w:ascii="仿宋_GB2312" w:hAnsi="宋体" w:eastAsia="仿宋_GB2312"/>
                <w:kern w:val="0"/>
                <w:sz w:val="24"/>
                <w:szCs w:val="24"/>
              </w:rPr>
            </w:pPr>
          </w:p>
        </w:tc>
        <w:tc>
          <w:tcPr>
            <w:tcW w:w="1705" w:type="dxa"/>
          </w:tcPr>
          <w:p w14:paraId="6DFB20C3">
            <w:pPr>
              <w:snapToGrid w:val="0"/>
              <w:spacing w:line="560" w:lineRule="exact"/>
              <w:rPr>
                <w:rFonts w:ascii="仿宋_GB2312" w:hAnsi="宋体" w:eastAsia="仿宋_GB2312"/>
                <w:kern w:val="0"/>
                <w:sz w:val="24"/>
                <w:szCs w:val="24"/>
              </w:rPr>
            </w:pPr>
          </w:p>
        </w:tc>
      </w:tr>
      <w:tr w14:paraId="6067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tcPr>
          <w:p w14:paraId="3D5C8FBB">
            <w:pPr>
              <w:snapToGrid w:val="0"/>
              <w:spacing w:line="560" w:lineRule="exact"/>
              <w:rPr>
                <w:rFonts w:ascii="仿宋_GB2312" w:hAnsi="宋体" w:eastAsia="仿宋_GB2312"/>
                <w:kern w:val="0"/>
                <w:sz w:val="24"/>
                <w:szCs w:val="24"/>
              </w:rPr>
            </w:pPr>
          </w:p>
        </w:tc>
        <w:tc>
          <w:tcPr>
            <w:tcW w:w="1671" w:type="dxa"/>
          </w:tcPr>
          <w:p w14:paraId="09646BA7">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w:t>
            </w:r>
          </w:p>
        </w:tc>
        <w:tc>
          <w:tcPr>
            <w:tcW w:w="1436" w:type="dxa"/>
          </w:tcPr>
          <w:p w14:paraId="02FCB6E4">
            <w:pPr>
              <w:snapToGrid w:val="0"/>
              <w:spacing w:line="560" w:lineRule="exact"/>
              <w:rPr>
                <w:rFonts w:ascii="仿宋_GB2312" w:hAnsi="宋体" w:eastAsia="仿宋_GB2312"/>
                <w:kern w:val="0"/>
                <w:sz w:val="24"/>
                <w:szCs w:val="24"/>
              </w:rPr>
            </w:pPr>
          </w:p>
        </w:tc>
        <w:tc>
          <w:tcPr>
            <w:tcW w:w="1716" w:type="dxa"/>
          </w:tcPr>
          <w:p w14:paraId="2B25B221">
            <w:pPr>
              <w:snapToGrid w:val="0"/>
              <w:spacing w:line="560" w:lineRule="exact"/>
              <w:rPr>
                <w:rFonts w:ascii="仿宋_GB2312" w:hAnsi="宋体" w:eastAsia="仿宋_GB2312"/>
                <w:kern w:val="0"/>
                <w:sz w:val="24"/>
                <w:szCs w:val="24"/>
              </w:rPr>
            </w:pPr>
          </w:p>
        </w:tc>
        <w:tc>
          <w:tcPr>
            <w:tcW w:w="1705" w:type="dxa"/>
          </w:tcPr>
          <w:p w14:paraId="2852CF09">
            <w:pPr>
              <w:snapToGrid w:val="0"/>
              <w:spacing w:line="560" w:lineRule="exact"/>
              <w:rPr>
                <w:rFonts w:ascii="仿宋_GB2312" w:hAnsi="宋体" w:eastAsia="仿宋_GB2312"/>
                <w:kern w:val="0"/>
                <w:sz w:val="24"/>
                <w:szCs w:val="24"/>
              </w:rPr>
            </w:pPr>
          </w:p>
        </w:tc>
      </w:tr>
      <w:tr w14:paraId="685F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tcPr>
          <w:p w14:paraId="090CE8AC">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小计</w:t>
            </w:r>
          </w:p>
        </w:tc>
        <w:tc>
          <w:tcPr>
            <w:tcW w:w="1671" w:type="dxa"/>
          </w:tcPr>
          <w:p w14:paraId="652449FB">
            <w:pPr>
              <w:snapToGrid w:val="0"/>
              <w:spacing w:line="560" w:lineRule="exact"/>
              <w:rPr>
                <w:rFonts w:ascii="仿宋_GB2312" w:hAnsi="宋体" w:eastAsia="仿宋_GB2312"/>
                <w:kern w:val="0"/>
                <w:sz w:val="24"/>
                <w:szCs w:val="24"/>
              </w:rPr>
            </w:pPr>
          </w:p>
        </w:tc>
        <w:tc>
          <w:tcPr>
            <w:tcW w:w="1436" w:type="dxa"/>
          </w:tcPr>
          <w:p w14:paraId="4F88D8ED">
            <w:pPr>
              <w:snapToGrid w:val="0"/>
              <w:spacing w:line="560" w:lineRule="exact"/>
              <w:rPr>
                <w:rFonts w:ascii="仿宋_GB2312" w:hAnsi="宋体" w:eastAsia="仿宋_GB2312"/>
                <w:kern w:val="0"/>
                <w:sz w:val="24"/>
                <w:szCs w:val="24"/>
              </w:rPr>
            </w:pPr>
          </w:p>
        </w:tc>
        <w:tc>
          <w:tcPr>
            <w:tcW w:w="1716" w:type="dxa"/>
          </w:tcPr>
          <w:p w14:paraId="12B66422">
            <w:pPr>
              <w:snapToGrid w:val="0"/>
              <w:spacing w:line="560" w:lineRule="exact"/>
              <w:rPr>
                <w:rFonts w:ascii="仿宋_GB2312" w:hAnsi="宋体" w:eastAsia="仿宋_GB2312"/>
                <w:kern w:val="0"/>
                <w:sz w:val="24"/>
                <w:szCs w:val="24"/>
              </w:rPr>
            </w:pPr>
          </w:p>
        </w:tc>
        <w:tc>
          <w:tcPr>
            <w:tcW w:w="1705" w:type="dxa"/>
          </w:tcPr>
          <w:p w14:paraId="6EBD4D7A">
            <w:pPr>
              <w:snapToGrid w:val="0"/>
              <w:spacing w:line="560" w:lineRule="exact"/>
              <w:rPr>
                <w:rFonts w:ascii="仿宋_GB2312" w:hAnsi="宋体" w:eastAsia="仿宋_GB2312"/>
                <w:kern w:val="0"/>
                <w:sz w:val="24"/>
                <w:szCs w:val="24"/>
              </w:rPr>
            </w:pPr>
          </w:p>
        </w:tc>
      </w:tr>
      <w:tr w14:paraId="3BA6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tcPr>
          <w:p w14:paraId="3E752E1C">
            <w:pPr>
              <w:snapToGrid w:val="0"/>
              <w:spacing w:line="560" w:lineRule="exact"/>
              <w:rPr>
                <w:rFonts w:ascii="仿宋_GB2312" w:hAnsi="宋体" w:eastAsia="仿宋_GB2312"/>
                <w:kern w:val="0"/>
                <w:sz w:val="24"/>
                <w:szCs w:val="24"/>
              </w:rPr>
            </w:pPr>
            <w:r>
              <w:rPr>
                <w:rFonts w:hint="eastAsia" w:ascii="仿宋_GB2312" w:hAnsi="宋体" w:eastAsia="仿宋_GB2312"/>
                <w:kern w:val="0"/>
                <w:sz w:val="24"/>
                <w:szCs w:val="24"/>
              </w:rPr>
              <w:t>其他激励对象</w:t>
            </w:r>
          </w:p>
        </w:tc>
        <w:tc>
          <w:tcPr>
            <w:tcW w:w="1671" w:type="dxa"/>
          </w:tcPr>
          <w:p w14:paraId="60B9C905">
            <w:pPr>
              <w:snapToGrid w:val="0"/>
              <w:spacing w:line="560" w:lineRule="exact"/>
              <w:rPr>
                <w:rFonts w:ascii="仿宋_GB2312" w:hAnsi="宋体" w:eastAsia="仿宋_GB2312"/>
                <w:kern w:val="0"/>
                <w:sz w:val="24"/>
                <w:szCs w:val="24"/>
              </w:rPr>
            </w:pPr>
          </w:p>
        </w:tc>
        <w:tc>
          <w:tcPr>
            <w:tcW w:w="1436" w:type="dxa"/>
          </w:tcPr>
          <w:p w14:paraId="14AF4F60">
            <w:pPr>
              <w:snapToGrid w:val="0"/>
              <w:spacing w:line="560" w:lineRule="exact"/>
              <w:rPr>
                <w:rFonts w:ascii="仿宋_GB2312" w:hAnsi="宋体" w:eastAsia="仿宋_GB2312"/>
                <w:kern w:val="0"/>
                <w:sz w:val="24"/>
                <w:szCs w:val="24"/>
              </w:rPr>
            </w:pPr>
          </w:p>
        </w:tc>
        <w:tc>
          <w:tcPr>
            <w:tcW w:w="1716" w:type="dxa"/>
          </w:tcPr>
          <w:p w14:paraId="065BB176">
            <w:pPr>
              <w:snapToGrid w:val="0"/>
              <w:spacing w:line="560" w:lineRule="exact"/>
              <w:rPr>
                <w:rFonts w:ascii="仿宋_GB2312" w:hAnsi="宋体" w:eastAsia="仿宋_GB2312"/>
                <w:kern w:val="0"/>
                <w:sz w:val="24"/>
                <w:szCs w:val="24"/>
              </w:rPr>
            </w:pPr>
          </w:p>
        </w:tc>
        <w:tc>
          <w:tcPr>
            <w:tcW w:w="1705" w:type="dxa"/>
          </w:tcPr>
          <w:p w14:paraId="37FCD062">
            <w:pPr>
              <w:snapToGrid w:val="0"/>
              <w:spacing w:line="560" w:lineRule="exact"/>
              <w:rPr>
                <w:rFonts w:ascii="仿宋_GB2312" w:hAnsi="宋体" w:eastAsia="仿宋_GB2312"/>
                <w:kern w:val="0"/>
                <w:sz w:val="24"/>
                <w:szCs w:val="24"/>
              </w:rPr>
            </w:pPr>
          </w:p>
        </w:tc>
      </w:tr>
      <w:tr w14:paraId="575C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tcPr>
          <w:p w14:paraId="5EBB288A">
            <w:pPr>
              <w:pBdr>
                <w:bottom w:val="single" w:color="auto" w:sz="6" w:space="1"/>
              </w:pBdr>
              <w:tabs>
                <w:tab w:val="center" w:pos="4153"/>
                <w:tab w:val="right" w:pos="8306"/>
              </w:tabs>
              <w:snapToGrid w:val="0"/>
              <w:spacing w:line="560" w:lineRule="exact"/>
              <w:jc w:val="center"/>
              <w:rPr>
                <w:rFonts w:ascii="仿宋_GB2312" w:hAnsi="宋体" w:eastAsia="仿宋_GB2312"/>
                <w:kern w:val="0"/>
                <w:sz w:val="24"/>
                <w:szCs w:val="24"/>
              </w:rPr>
            </w:pPr>
            <w:r>
              <w:rPr>
                <w:rFonts w:hint="eastAsia" w:ascii="仿宋_GB2312" w:hAnsi="宋体" w:eastAsia="仿宋_GB2312"/>
                <w:kern w:val="0"/>
                <w:sz w:val="24"/>
                <w:szCs w:val="24"/>
              </w:rPr>
              <w:t>总计</w:t>
            </w:r>
          </w:p>
        </w:tc>
        <w:tc>
          <w:tcPr>
            <w:tcW w:w="1671" w:type="dxa"/>
          </w:tcPr>
          <w:p w14:paraId="28B0A213">
            <w:pPr>
              <w:snapToGrid w:val="0"/>
              <w:spacing w:line="560" w:lineRule="exact"/>
              <w:rPr>
                <w:rFonts w:ascii="仿宋_GB2312" w:hAnsi="宋体" w:eastAsia="仿宋_GB2312"/>
                <w:kern w:val="0"/>
                <w:sz w:val="24"/>
                <w:szCs w:val="24"/>
              </w:rPr>
            </w:pPr>
          </w:p>
        </w:tc>
        <w:tc>
          <w:tcPr>
            <w:tcW w:w="1436" w:type="dxa"/>
          </w:tcPr>
          <w:p w14:paraId="372E2AE8">
            <w:pPr>
              <w:snapToGrid w:val="0"/>
              <w:spacing w:line="560" w:lineRule="exact"/>
              <w:rPr>
                <w:rFonts w:ascii="仿宋_GB2312" w:hAnsi="宋体" w:eastAsia="仿宋_GB2312"/>
                <w:kern w:val="0"/>
                <w:sz w:val="24"/>
                <w:szCs w:val="24"/>
              </w:rPr>
            </w:pPr>
          </w:p>
        </w:tc>
        <w:tc>
          <w:tcPr>
            <w:tcW w:w="1716" w:type="dxa"/>
          </w:tcPr>
          <w:p w14:paraId="0A785CA2">
            <w:pPr>
              <w:snapToGrid w:val="0"/>
              <w:spacing w:line="560" w:lineRule="exact"/>
              <w:rPr>
                <w:rFonts w:ascii="仿宋_GB2312" w:hAnsi="宋体" w:eastAsia="仿宋_GB2312"/>
                <w:kern w:val="0"/>
                <w:sz w:val="24"/>
                <w:szCs w:val="24"/>
              </w:rPr>
            </w:pPr>
          </w:p>
        </w:tc>
        <w:tc>
          <w:tcPr>
            <w:tcW w:w="1705" w:type="dxa"/>
          </w:tcPr>
          <w:p w14:paraId="73AA545B">
            <w:pPr>
              <w:snapToGrid w:val="0"/>
              <w:spacing w:line="560" w:lineRule="exact"/>
              <w:rPr>
                <w:rFonts w:ascii="仿宋_GB2312" w:hAnsi="宋体" w:eastAsia="仿宋_GB2312"/>
                <w:kern w:val="0"/>
                <w:sz w:val="24"/>
                <w:szCs w:val="24"/>
              </w:rPr>
            </w:pPr>
          </w:p>
        </w:tc>
      </w:tr>
    </w:tbl>
    <w:p w14:paraId="2EB62D35">
      <w:pPr>
        <w:snapToGrid w:val="0"/>
        <w:spacing w:line="560" w:lineRule="exact"/>
        <w:rPr>
          <w:rFonts w:ascii="仿宋_GB2312" w:hAnsi="宋体" w:eastAsia="仿宋_GB2312"/>
          <w:sz w:val="30"/>
          <w:szCs w:val="30"/>
        </w:rPr>
      </w:pPr>
    </w:p>
    <w:p w14:paraId="458C7B41">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四、董事会薪酬与考核委员会对激励对象名单的核实情况</w:t>
      </w:r>
    </w:p>
    <w:p w14:paraId="325AE9C8">
      <w:pPr>
        <w:widowControl/>
        <w:spacing w:line="560" w:lineRule="exact"/>
        <w:ind w:firstLine="602" w:firstLineChars="200"/>
        <w:rPr>
          <w:rFonts w:ascii="黑体" w:hAnsi="黑体" w:eastAsia="黑体" w:cs="Times New Roman"/>
          <w:b/>
          <w:sz w:val="30"/>
          <w:szCs w:val="30"/>
        </w:rPr>
      </w:pPr>
    </w:p>
    <w:p w14:paraId="76197793">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五、行权日及买卖公司股票情况的说明（批量行权方式适用）</w:t>
      </w:r>
    </w:p>
    <w:p w14:paraId="0AF165D4">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本次董事会确定的行权日，激励对象为董事、高级管理人员的，此前6个月内买卖公司股票的情况说明。</w:t>
      </w:r>
    </w:p>
    <w:p w14:paraId="1CA5257D">
      <w:pPr>
        <w:snapToGrid w:val="0"/>
        <w:spacing w:line="560" w:lineRule="exact"/>
        <w:ind w:firstLine="600" w:firstLineChars="200"/>
        <w:rPr>
          <w:rFonts w:ascii="仿宋_GB2312" w:hAnsi="宋体" w:eastAsia="仿宋_GB2312"/>
          <w:sz w:val="30"/>
          <w:szCs w:val="30"/>
        </w:rPr>
      </w:pPr>
    </w:p>
    <w:p w14:paraId="08A2DFD4">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六、股权激励股票期权费用的核算及说明</w:t>
      </w:r>
    </w:p>
    <w:p w14:paraId="547A8303">
      <w:pPr>
        <w:snapToGrid w:val="0"/>
        <w:spacing w:line="560" w:lineRule="exact"/>
        <w:ind w:firstLine="600" w:firstLineChars="200"/>
        <w:rPr>
          <w:rFonts w:ascii="仿宋_GB2312" w:hAnsi="宋体" w:eastAsia="仿宋_GB2312"/>
          <w:b/>
          <w:sz w:val="30"/>
          <w:szCs w:val="30"/>
        </w:rPr>
      </w:pPr>
      <w:r>
        <w:rPr>
          <w:rFonts w:hint="eastAsia" w:ascii="仿宋_GB2312" w:hAnsi="宋体" w:eastAsia="仿宋_GB2312"/>
          <w:sz w:val="30"/>
          <w:szCs w:val="30"/>
        </w:rPr>
        <w:t>上市公司</w:t>
      </w:r>
      <w:r>
        <w:rPr>
          <w:rFonts w:ascii="仿宋_GB2312" w:hAnsi="宋体" w:eastAsia="仿宋_GB2312"/>
          <w:sz w:val="30"/>
          <w:szCs w:val="30"/>
        </w:rPr>
        <w:t>应当</w:t>
      </w:r>
      <w:r>
        <w:rPr>
          <w:rFonts w:hint="eastAsia" w:ascii="仿宋_GB2312" w:hAnsi="宋体" w:eastAsia="仿宋_GB2312"/>
          <w:sz w:val="30"/>
          <w:szCs w:val="30"/>
        </w:rPr>
        <w:t>对股权激励股票期权定价及会计核算影响变化情况作出说明。上市公司董事会或本所认为必要的，上市公司还</w:t>
      </w:r>
      <w:r>
        <w:rPr>
          <w:rFonts w:ascii="仿宋_GB2312" w:hAnsi="宋体" w:eastAsia="仿宋_GB2312"/>
          <w:sz w:val="30"/>
          <w:szCs w:val="30"/>
        </w:rPr>
        <w:t>应当</w:t>
      </w:r>
      <w:r>
        <w:rPr>
          <w:rFonts w:hint="eastAsia" w:ascii="仿宋_GB2312" w:hAnsi="宋体" w:eastAsia="仿宋_GB2312"/>
          <w:sz w:val="30"/>
          <w:szCs w:val="30"/>
        </w:rPr>
        <w:t>提交会计师事务所的专项说明。</w:t>
      </w:r>
    </w:p>
    <w:p w14:paraId="17608066">
      <w:pPr>
        <w:snapToGrid w:val="0"/>
        <w:spacing w:line="560" w:lineRule="exact"/>
        <w:ind w:firstLine="602" w:firstLineChars="200"/>
        <w:rPr>
          <w:rFonts w:ascii="仿宋_GB2312" w:hAnsi="宋体" w:eastAsia="仿宋_GB2312"/>
          <w:b/>
          <w:sz w:val="30"/>
          <w:szCs w:val="30"/>
        </w:rPr>
      </w:pPr>
    </w:p>
    <w:p w14:paraId="35271F05">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七、法律意见书的结论性意见</w:t>
      </w:r>
    </w:p>
    <w:p w14:paraId="0DEB0558">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律师事务所就本次股权激励计划行权出具的法律意见书的结论性意见。</w:t>
      </w:r>
    </w:p>
    <w:p w14:paraId="044F7435">
      <w:pPr>
        <w:snapToGrid w:val="0"/>
        <w:spacing w:line="560" w:lineRule="exact"/>
        <w:ind w:firstLine="600" w:firstLineChars="200"/>
        <w:rPr>
          <w:rFonts w:ascii="仿宋_GB2312" w:hAnsi="宋体" w:eastAsia="仿宋_GB2312"/>
          <w:sz w:val="30"/>
          <w:szCs w:val="30"/>
        </w:rPr>
      </w:pPr>
    </w:p>
    <w:p w14:paraId="7B083F55">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特此公告。</w:t>
      </w:r>
    </w:p>
    <w:p w14:paraId="42755AE3">
      <w:pPr>
        <w:spacing w:line="560" w:lineRule="exact"/>
        <w:rPr>
          <w:rFonts w:ascii="仿宋_GB2312" w:hAnsi="宋体" w:eastAsia="仿宋_GB2312"/>
          <w:sz w:val="30"/>
          <w:szCs w:val="30"/>
        </w:rPr>
      </w:pPr>
    </w:p>
    <w:p w14:paraId="4264B8C9">
      <w:pPr>
        <w:adjustRightInd w:val="0"/>
        <w:snapToGrid w:val="0"/>
        <w:spacing w:line="560" w:lineRule="exact"/>
        <w:ind w:firstLine="600" w:firstLineChars="200"/>
        <w:jc w:val="right"/>
        <w:rPr>
          <w:rFonts w:ascii="仿宋_GB2312" w:hAnsi="宋体" w:eastAsia="仿宋_GB2312"/>
          <w:color w:val="000000"/>
          <w:sz w:val="30"/>
          <w:szCs w:val="30"/>
        </w:rPr>
      </w:pPr>
      <w:r>
        <w:rPr>
          <w:rFonts w:hint="eastAsia" w:ascii="仿宋_GB2312" w:hAnsi="宋体" w:eastAsia="仿宋_GB2312"/>
          <w:color w:val="000000"/>
          <w:sz w:val="30"/>
          <w:szCs w:val="30"/>
        </w:rPr>
        <w:t>XXXX股份有限公司董事会</w:t>
      </w:r>
    </w:p>
    <w:p w14:paraId="276BE72D">
      <w:pPr>
        <w:adjustRightInd w:val="0"/>
        <w:snapToGrid w:val="0"/>
        <w:spacing w:line="560" w:lineRule="exact"/>
        <w:ind w:firstLine="600" w:firstLineChars="200"/>
        <w:jc w:val="right"/>
        <w:rPr>
          <w:rFonts w:ascii="仿宋_GB2312" w:hAnsi="宋体" w:eastAsia="仿宋_GB2312"/>
          <w:color w:val="000000"/>
          <w:sz w:val="30"/>
          <w:szCs w:val="30"/>
        </w:rPr>
      </w:pPr>
      <w:r>
        <w:rPr>
          <w:rFonts w:hint="eastAsia" w:ascii="仿宋_GB2312" w:hAnsi="宋体" w:eastAsia="仿宋_GB2312"/>
          <w:color w:val="000000"/>
          <w:sz w:val="30"/>
          <w:szCs w:val="30"/>
        </w:rPr>
        <w:t>年  月  日</w:t>
      </w:r>
    </w:p>
    <w:p w14:paraId="19FEDCD5">
      <w:pPr>
        <w:adjustRightInd w:val="0"/>
        <w:snapToGrid w:val="0"/>
        <w:spacing w:line="560" w:lineRule="exact"/>
        <w:ind w:firstLine="600" w:firstLineChars="200"/>
        <w:jc w:val="right"/>
        <w:rPr>
          <w:rFonts w:ascii="仿宋_GB2312" w:hAnsi="宋体" w:eastAsia="仿宋_GB2312"/>
          <w:color w:val="000000"/>
          <w:sz w:val="30"/>
          <w:szCs w:val="30"/>
        </w:rPr>
      </w:pPr>
    </w:p>
    <w:p w14:paraId="611EC5F2">
      <w:pPr>
        <w:numPr>
          <w:ilvl w:val="0"/>
          <w:numId w:val="4"/>
        </w:numPr>
        <w:adjustRightInd w:val="0"/>
        <w:snapToGrid w:val="0"/>
        <w:spacing w:line="560" w:lineRule="exact"/>
        <w:rPr>
          <w:rFonts w:ascii="仿宋_GB2312" w:hAnsi="宋体" w:eastAsia="仿宋_GB2312"/>
          <w:b/>
          <w:bCs/>
          <w:color w:val="000000"/>
          <w:sz w:val="30"/>
          <w:szCs w:val="30"/>
        </w:rPr>
      </w:pPr>
      <w:r>
        <w:rPr>
          <w:rFonts w:hint="eastAsia" w:ascii="仿宋_GB2312" w:hAnsi="宋体" w:eastAsia="仿宋_GB2312"/>
          <w:b/>
          <w:bCs/>
          <w:color w:val="000000"/>
          <w:sz w:val="30"/>
          <w:szCs w:val="30"/>
        </w:rPr>
        <w:t>上网公告文件</w:t>
      </w:r>
    </w:p>
    <w:p w14:paraId="42162F1C">
      <w:pPr>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法律意见书</w:t>
      </w:r>
    </w:p>
    <w:p w14:paraId="60294E3F">
      <w:pPr>
        <w:snapToGrid w:val="0"/>
        <w:spacing w:line="560" w:lineRule="exact"/>
        <w:ind w:firstLine="600" w:firstLineChars="200"/>
        <w:rPr>
          <w:rFonts w:ascii="仿宋_GB2312" w:hAnsi="宋体" w:eastAsia="仿宋_GB2312"/>
          <w:color w:val="000000"/>
          <w:sz w:val="30"/>
          <w:szCs w:val="30"/>
        </w:rPr>
      </w:pPr>
    </w:p>
    <w:p w14:paraId="7759D84A">
      <w:pPr>
        <w:numPr>
          <w:ilvl w:val="0"/>
          <w:numId w:val="4"/>
        </w:numPr>
        <w:adjustRightInd w:val="0"/>
        <w:snapToGrid w:val="0"/>
        <w:spacing w:line="560" w:lineRule="exact"/>
        <w:rPr>
          <w:rFonts w:ascii="仿宋_GB2312" w:hAnsi="宋体" w:eastAsia="仿宋_GB2312"/>
          <w:b/>
          <w:bCs/>
          <w:color w:val="000000"/>
          <w:sz w:val="30"/>
          <w:szCs w:val="30"/>
        </w:rPr>
      </w:pPr>
      <w:r>
        <w:rPr>
          <w:rFonts w:hint="eastAsia" w:ascii="仿宋_GB2312" w:hAnsi="宋体" w:eastAsia="仿宋_GB2312"/>
          <w:b/>
          <w:bCs/>
          <w:color w:val="000000"/>
          <w:sz w:val="30"/>
          <w:szCs w:val="30"/>
        </w:rPr>
        <w:t>报备文件</w:t>
      </w:r>
    </w:p>
    <w:p w14:paraId="1BF82D36">
      <w:pPr>
        <w:spacing w:line="560" w:lineRule="exact"/>
        <w:ind w:left="480"/>
        <w:rPr>
          <w:rFonts w:ascii="仿宋_GB2312" w:eastAsia="仿宋_GB2312"/>
          <w:sz w:val="30"/>
          <w:szCs w:val="30"/>
        </w:rPr>
      </w:pPr>
      <w:r>
        <w:rPr>
          <w:rFonts w:hint="eastAsia" w:ascii="仿宋_GB2312" w:eastAsia="仿宋_GB2312"/>
          <w:sz w:val="30"/>
          <w:szCs w:val="30"/>
        </w:rPr>
        <w:t>公司20XX年度股权激励计划第X期股权期权行权申请表或自主行权业务通知单</w:t>
      </w:r>
    </w:p>
    <w:p w14:paraId="59B477FC">
      <w:pPr>
        <w:spacing w:line="560" w:lineRule="exact"/>
        <w:ind w:left="480"/>
        <w:rPr>
          <w:rFonts w:ascii="仿宋_GB2312" w:eastAsia="仿宋_GB2312"/>
          <w:sz w:val="30"/>
          <w:szCs w:val="30"/>
        </w:rPr>
      </w:pPr>
    </w:p>
    <w:p w14:paraId="6E90B322">
      <w:pPr>
        <w:widowControl/>
        <w:jc w:val="left"/>
        <w:rPr>
          <w:rFonts w:ascii="仿宋_GB2312" w:eastAsia="仿宋_GB2312"/>
          <w:sz w:val="30"/>
          <w:szCs w:val="30"/>
        </w:rPr>
      </w:pPr>
      <w:r>
        <w:rPr>
          <w:rFonts w:ascii="仿宋_GB2312" w:eastAsia="仿宋_GB2312"/>
          <w:sz w:val="30"/>
          <w:szCs w:val="30"/>
        </w:rPr>
        <w:br w:type="page"/>
      </w:r>
    </w:p>
    <w:p w14:paraId="0B41A8D9">
      <w:pPr>
        <w:pStyle w:val="3"/>
        <w:spacing w:line="560" w:lineRule="exact"/>
        <w:rPr>
          <w:rFonts w:ascii="黑体" w:hAnsi="黑体"/>
        </w:rPr>
      </w:pPr>
      <w:bookmarkStart w:id="44" w:name="_Toc356840113"/>
      <w:bookmarkStart w:id="45" w:name="_Toc57800066"/>
      <w:bookmarkStart w:id="46" w:name="_Toc352226126"/>
      <w:bookmarkStart w:id="47" w:name="_Toc101449325"/>
      <w:r>
        <w:rPr>
          <w:rFonts w:ascii="黑体" w:hAnsi="黑体"/>
        </w:rPr>
        <w:t>6.</w:t>
      </w:r>
      <w:r>
        <w:rPr>
          <w:rFonts w:hint="eastAsia" w:ascii="黑体" w:hAnsi="黑体"/>
        </w:rPr>
        <w:t>上市公司股权激励计划行权结果</w:t>
      </w:r>
      <w:bookmarkEnd w:id="44"/>
      <w:bookmarkStart w:id="48" w:name="_Toc356834967"/>
      <w:bookmarkStart w:id="49" w:name="_Toc356840114"/>
      <w:r>
        <w:rPr>
          <w:rFonts w:hint="eastAsia" w:ascii="黑体" w:hAnsi="黑体"/>
        </w:rPr>
        <w:t>暨股份上市公告</w:t>
      </w:r>
      <w:bookmarkEnd w:id="45"/>
      <w:bookmarkEnd w:id="46"/>
      <w:bookmarkEnd w:id="47"/>
      <w:bookmarkEnd w:id="48"/>
      <w:bookmarkEnd w:id="49"/>
    </w:p>
    <w:p w14:paraId="0CA56CEB">
      <w:pPr>
        <w:snapToGrid w:val="0"/>
        <w:spacing w:line="560" w:lineRule="exact"/>
        <w:ind w:firstLine="602" w:firstLineChars="200"/>
        <w:rPr>
          <w:rFonts w:ascii="仿宋_GB2312" w:hAnsi="宋体" w:eastAsia="仿宋_GB2312"/>
          <w:b/>
          <w:sz w:val="30"/>
          <w:szCs w:val="30"/>
        </w:rPr>
      </w:pPr>
    </w:p>
    <w:p w14:paraId="52E31028">
      <w:pPr>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6FAE3713">
      <w:pPr>
        <w:snapToGrid w:val="0"/>
        <w:spacing w:line="56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本公告格式适用于上市公司股权激励计划行权结果以及相</w:t>
      </w:r>
      <w:r>
        <w:rPr>
          <w:rFonts w:ascii="仿宋_GB2312" w:hAnsi="Arial" w:eastAsia="仿宋_GB2312" w:cs="Arial"/>
          <w:color w:val="000000"/>
          <w:kern w:val="0"/>
          <w:sz w:val="30"/>
          <w:szCs w:val="30"/>
        </w:rPr>
        <w:t>应当</w:t>
      </w:r>
      <w:r>
        <w:rPr>
          <w:rFonts w:hint="eastAsia" w:ascii="仿宋_GB2312" w:hAnsi="Arial" w:eastAsia="仿宋_GB2312" w:cs="Arial"/>
          <w:color w:val="000000"/>
          <w:kern w:val="0"/>
          <w:sz w:val="30"/>
          <w:szCs w:val="30"/>
        </w:rPr>
        <w:t>股份上市事宜。</w:t>
      </w:r>
    </w:p>
    <w:p w14:paraId="3FCB2012">
      <w:pPr>
        <w:widowControl/>
        <w:adjustRightInd w:val="0"/>
        <w:snapToGrid w:val="0"/>
        <w:spacing w:line="560" w:lineRule="exact"/>
        <w:jc w:val="left"/>
        <w:rPr>
          <w:rFonts w:ascii="仿宋" w:hAnsi="仿宋" w:eastAsia="仿宋_GB2312" w:cs="Arial"/>
          <w:color w:val="000000"/>
          <w:kern w:val="0"/>
          <w:sz w:val="30"/>
          <w:szCs w:val="30"/>
        </w:rPr>
      </w:pPr>
    </w:p>
    <w:p w14:paraId="38828FB6">
      <w:pPr>
        <w:widowControl/>
        <w:adjustRightInd w:val="0"/>
        <w:snapToGrid w:val="0"/>
        <w:spacing w:line="560" w:lineRule="exact"/>
        <w:jc w:val="left"/>
        <w:rPr>
          <w:rFonts w:ascii="仿宋" w:hAnsi="仿宋" w:eastAsia="仿宋_GB2312" w:cs="Arial"/>
          <w:color w:val="000000"/>
          <w:kern w:val="0"/>
          <w:sz w:val="30"/>
          <w:szCs w:val="30"/>
        </w:rPr>
      </w:pPr>
      <w:r>
        <w:rPr>
          <w:rFonts w:hint="eastAsia" w:ascii="仿宋" w:hAnsi="仿宋" w:eastAsia="仿宋_GB2312" w:cs="Arial"/>
          <w:color w:val="000000"/>
          <w:kern w:val="0"/>
          <w:sz w:val="30"/>
          <w:szCs w:val="30"/>
        </w:rPr>
        <w:t>证券代码：</w:t>
      </w:r>
      <w:r>
        <w:rPr>
          <w:rFonts w:ascii="仿宋" w:hAnsi="仿宋" w:eastAsia="仿宋_GB2312" w:cs="Arial"/>
          <w:color w:val="000000"/>
          <w:kern w:val="0"/>
          <w:sz w:val="30"/>
          <w:szCs w:val="30"/>
        </w:rPr>
        <w:t xml:space="preserve">             </w:t>
      </w:r>
      <w:r>
        <w:rPr>
          <w:rFonts w:hint="eastAsia" w:ascii="仿宋" w:hAnsi="仿宋" w:eastAsia="仿宋_GB2312" w:cs="Arial"/>
          <w:color w:val="000000"/>
          <w:kern w:val="0"/>
          <w:sz w:val="30"/>
          <w:szCs w:val="30"/>
        </w:rPr>
        <w:t>证券简称：</w:t>
      </w:r>
      <w:r>
        <w:rPr>
          <w:rFonts w:ascii="仿宋" w:hAnsi="仿宋" w:eastAsia="仿宋_GB2312" w:cs="Arial"/>
          <w:color w:val="000000"/>
          <w:kern w:val="0"/>
          <w:sz w:val="30"/>
          <w:szCs w:val="30"/>
        </w:rPr>
        <w:t xml:space="preserve">            </w:t>
      </w:r>
      <w:r>
        <w:rPr>
          <w:rFonts w:hint="eastAsia" w:ascii="仿宋" w:hAnsi="仿宋" w:eastAsia="仿宋_GB2312" w:cs="Arial"/>
          <w:color w:val="000000"/>
          <w:kern w:val="0"/>
          <w:sz w:val="30"/>
          <w:szCs w:val="30"/>
        </w:rPr>
        <w:t>公告编号：</w:t>
      </w:r>
    </w:p>
    <w:p w14:paraId="6FDCB8D3">
      <w:pPr>
        <w:widowControl/>
        <w:adjustRightInd w:val="0"/>
        <w:snapToGrid w:val="0"/>
        <w:spacing w:line="560" w:lineRule="exact"/>
        <w:jc w:val="left"/>
        <w:rPr>
          <w:rFonts w:ascii="仿宋" w:hAnsi="仿宋" w:eastAsia="仿宋_GB2312" w:cs="Arial"/>
          <w:color w:val="000000"/>
          <w:kern w:val="0"/>
          <w:sz w:val="30"/>
          <w:szCs w:val="30"/>
        </w:rPr>
      </w:pPr>
    </w:p>
    <w:p w14:paraId="322AB92D">
      <w:pPr>
        <w:adjustRightInd w:val="0"/>
        <w:snapToGrid w:val="0"/>
        <w:spacing w:line="560" w:lineRule="exact"/>
        <w:jc w:val="center"/>
        <w:rPr>
          <w:rFonts w:ascii="仿宋" w:hAnsi="仿宋" w:eastAsia="仿宋_GB2312"/>
          <w:color w:val="000000"/>
          <w:sz w:val="30"/>
          <w:szCs w:val="30"/>
        </w:rPr>
      </w:pPr>
      <w:r>
        <w:rPr>
          <w:rFonts w:ascii="仿宋" w:hAnsi="仿宋" w:eastAsia="仿宋_GB2312"/>
          <w:color w:val="000000"/>
          <w:sz w:val="30"/>
          <w:szCs w:val="30"/>
        </w:rPr>
        <w:t>XXXX</w:t>
      </w:r>
      <w:r>
        <w:rPr>
          <w:rFonts w:hint="eastAsia" w:ascii="仿宋" w:hAnsi="仿宋" w:eastAsia="仿宋_GB2312"/>
          <w:color w:val="000000"/>
          <w:sz w:val="30"/>
          <w:szCs w:val="30"/>
        </w:rPr>
        <w:t>股份有限公司股权激励计划行权结果暨股份上市公告</w:t>
      </w:r>
    </w:p>
    <w:p w14:paraId="2FC9139E">
      <w:pPr>
        <w:adjustRightInd w:val="0"/>
        <w:snapToGrid w:val="0"/>
        <w:spacing w:line="560" w:lineRule="exact"/>
        <w:jc w:val="center"/>
        <w:rPr>
          <w:rFonts w:ascii="仿宋" w:hAnsi="仿宋" w:eastAsia="仿宋_GB2312"/>
          <w:color w:val="000000"/>
          <w:sz w:val="30"/>
          <w:szCs w:val="30"/>
        </w:rPr>
      </w:pPr>
    </w:p>
    <w:p w14:paraId="018A4232">
      <w:pPr>
        <w:pBdr>
          <w:top w:val="single" w:color="auto" w:sz="4" w:space="1"/>
          <w:left w:val="single" w:color="auto" w:sz="4" w:space="4"/>
          <w:bottom w:val="single" w:color="auto" w:sz="4" w:space="2"/>
          <w:right w:val="single" w:color="auto" w:sz="4" w:space="4"/>
        </w:pBdr>
        <w:adjustRightIn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本公司董事会及全体董事保证本公告内容不存在任何虚假记载、误导性陈述或者重大遗漏，并对其内容的真实性、准确性和完整性承担法律责任。</w:t>
      </w:r>
    </w:p>
    <w:p w14:paraId="3CCECE72">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w:t>
      </w:r>
      <w:r>
        <w:rPr>
          <w:rFonts w:ascii="仿宋_GB2312" w:hAnsi="宋体" w:eastAsia="仿宋_GB2312"/>
          <w:color w:val="000000"/>
          <w:sz w:val="30"/>
          <w:szCs w:val="30"/>
        </w:rPr>
        <w:t>应当</w:t>
      </w:r>
      <w:r>
        <w:rPr>
          <w:rFonts w:hint="eastAsia" w:ascii="仿宋_GB2312" w:hAnsi="宋体" w:eastAsia="仿宋_GB2312"/>
          <w:color w:val="000000"/>
          <w:sz w:val="30"/>
          <w:szCs w:val="30"/>
        </w:rPr>
        <w:t>在公告中作特别提示。</w:t>
      </w:r>
    </w:p>
    <w:p w14:paraId="55AEA856">
      <w:pPr>
        <w:snapToGrid w:val="0"/>
        <w:spacing w:line="560" w:lineRule="exact"/>
        <w:rPr>
          <w:rFonts w:ascii="仿宋_GB2312" w:hAnsi="宋体" w:eastAsia="仿宋_GB2312"/>
          <w:sz w:val="30"/>
          <w:szCs w:val="30"/>
        </w:rPr>
      </w:pPr>
    </w:p>
    <w:p w14:paraId="3CB09821">
      <w:pPr>
        <w:spacing w:line="560" w:lineRule="exact"/>
        <w:ind w:firstLine="452" w:firstLineChars="150"/>
        <w:rPr>
          <w:rFonts w:ascii="仿宋_GB2312" w:hAnsi="宋体" w:eastAsia="仿宋_GB2312"/>
          <w:b/>
          <w:sz w:val="30"/>
          <w:szCs w:val="30"/>
        </w:rPr>
      </w:pPr>
      <w:r>
        <w:rPr>
          <w:rFonts w:hint="eastAsia" w:ascii="仿宋_GB2312" w:hAnsi="宋体" w:eastAsia="仿宋_GB2312"/>
          <w:b/>
          <w:sz w:val="30"/>
          <w:szCs w:val="30"/>
        </w:rPr>
        <w:t>重要内容提示：</w:t>
      </w:r>
    </w:p>
    <w:p w14:paraId="693C8559">
      <w:pPr>
        <w:widowControl/>
        <w:numPr>
          <w:ilvl w:val="0"/>
          <w:numId w:val="7"/>
        </w:numPr>
        <w:spacing w:line="560" w:lineRule="exact"/>
        <w:ind w:left="0" w:firstLine="420"/>
        <w:jc w:val="left"/>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本次行权股票数量</w:t>
      </w:r>
    </w:p>
    <w:p w14:paraId="6B73AB87">
      <w:pPr>
        <w:widowControl/>
        <w:numPr>
          <w:ilvl w:val="0"/>
          <w:numId w:val="7"/>
        </w:numPr>
        <w:spacing w:line="560" w:lineRule="exact"/>
        <w:ind w:left="0" w:firstLine="420"/>
        <w:jc w:val="left"/>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本次行权股票上市流通时间</w:t>
      </w:r>
    </w:p>
    <w:p w14:paraId="2C628973">
      <w:pPr>
        <w:widowControl/>
        <w:tabs>
          <w:tab w:val="left" w:pos="420"/>
        </w:tabs>
        <w:spacing w:line="560" w:lineRule="exact"/>
        <w:ind w:left="420"/>
        <w:jc w:val="left"/>
        <w:rPr>
          <w:rFonts w:ascii="仿宋_GB2312" w:hAnsi="Arial" w:eastAsia="仿宋_GB2312" w:cs="Arial"/>
          <w:color w:val="000000"/>
          <w:kern w:val="0"/>
          <w:sz w:val="30"/>
          <w:szCs w:val="30"/>
        </w:rPr>
      </w:pPr>
    </w:p>
    <w:p w14:paraId="658D7775">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一、本次股票期权行权的决策程序及相关信息披露</w:t>
      </w:r>
    </w:p>
    <w:p w14:paraId="3C0AFB8A">
      <w:pPr>
        <w:widowControl/>
        <w:spacing w:line="560" w:lineRule="exact"/>
        <w:ind w:firstLine="602" w:firstLineChars="200"/>
        <w:rPr>
          <w:rFonts w:ascii="黑体" w:hAnsi="黑体" w:eastAsia="黑体" w:cs="Times New Roman"/>
          <w:b/>
          <w:sz w:val="30"/>
          <w:szCs w:val="30"/>
        </w:rPr>
      </w:pPr>
    </w:p>
    <w:p w14:paraId="65BC6D61">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二、本次股权激励计划行权的基本情况</w:t>
      </w:r>
    </w:p>
    <w:p w14:paraId="04729AA8">
      <w:pPr>
        <w:widowControl/>
        <w:spacing w:line="56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（一）用列表方式说明激励对象行权的股份数量</w:t>
      </w:r>
    </w:p>
    <w:p w14:paraId="66C270F2">
      <w:pPr>
        <w:widowControl/>
        <w:spacing w:line="56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包括但不限于：姓名、职务、本次行权数量、本次行权数量占已授予期权总量的百分比。董事和高级管理人员需逐个披露，其他激励对象可汇总披露。</w:t>
      </w:r>
    </w:p>
    <w:tbl>
      <w:tblPr>
        <w:tblStyle w:val="15"/>
        <w:tblW w:w="8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080"/>
        <w:gridCol w:w="1080"/>
        <w:gridCol w:w="1821"/>
        <w:gridCol w:w="2139"/>
        <w:gridCol w:w="1260"/>
      </w:tblGrid>
      <w:tr w14:paraId="3165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FFFFFF" w:themeFill="background1"/>
            <w:vAlign w:val="center"/>
          </w:tcPr>
          <w:p w14:paraId="708CD6C9">
            <w:pPr>
              <w:autoSpaceDE w:val="0"/>
              <w:autoSpaceDN w:val="0"/>
              <w:adjustRightInd w:val="0"/>
              <w:spacing w:line="560" w:lineRule="exact"/>
              <w:jc w:val="center"/>
              <w:rPr>
                <w:rFonts w:ascii="仿宋_GB2312" w:eastAsia="仿宋_GB2312" w:cs="黑体"/>
                <w:color w:val="000000"/>
                <w:kern w:val="0"/>
                <w:sz w:val="24"/>
                <w:szCs w:val="24"/>
              </w:rPr>
            </w:pPr>
            <w:r>
              <w:rPr>
                <w:rFonts w:hint="eastAsia" w:ascii="仿宋_GB2312" w:eastAsia="仿宋_GB2312" w:cs="黑体"/>
                <w:color w:val="000000"/>
                <w:kern w:val="0"/>
                <w:sz w:val="24"/>
                <w:szCs w:val="24"/>
              </w:rPr>
              <w:t>序号</w:t>
            </w:r>
          </w:p>
        </w:tc>
        <w:tc>
          <w:tcPr>
            <w:tcW w:w="1080" w:type="dxa"/>
            <w:shd w:val="clear" w:color="auto" w:fill="FFFFFF" w:themeFill="background1"/>
            <w:vAlign w:val="center"/>
          </w:tcPr>
          <w:p w14:paraId="104766B3">
            <w:pPr>
              <w:autoSpaceDE w:val="0"/>
              <w:autoSpaceDN w:val="0"/>
              <w:adjustRightInd w:val="0"/>
              <w:spacing w:line="560" w:lineRule="exact"/>
              <w:jc w:val="center"/>
              <w:rPr>
                <w:rFonts w:ascii="仿宋_GB2312" w:eastAsia="仿宋_GB2312" w:cs="黑体"/>
                <w:color w:val="000000"/>
                <w:kern w:val="0"/>
                <w:sz w:val="24"/>
                <w:szCs w:val="24"/>
              </w:rPr>
            </w:pPr>
            <w:r>
              <w:rPr>
                <w:rFonts w:hint="eastAsia" w:ascii="仿宋_GB2312" w:eastAsia="仿宋_GB2312" w:cs="黑体"/>
                <w:color w:val="000000"/>
                <w:kern w:val="0"/>
                <w:sz w:val="24"/>
                <w:szCs w:val="24"/>
              </w:rPr>
              <w:t>姓名</w:t>
            </w:r>
          </w:p>
        </w:tc>
        <w:tc>
          <w:tcPr>
            <w:tcW w:w="1080" w:type="dxa"/>
            <w:shd w:val="clear" w:color="auto" w:fill="FFFFFF" w:themeFill="background1"/>
            <w:vAlign w:val="center"/>
          </w:tcPr>
          <w:p w14:paraId="253F7C15">
            <w:pPr>
              <w:spacing w:line="560" w:lineRule="exact"/>
              <w:jc w:val="center"/>
              <w:rPr>
                <w:rFonts w:ascii="仿宋_GB2312" w:eastAsia="仿宋_GB2312"/>
                <w:color w:val="000000"/>
                <w:sz w:val="24"/>
                <w:szCs w:val="24"/>
              </w:rPr>
            </w:pPr>
            <w:r>
              <w:rPr>
                <w:rFonts w:hint="eastAsia" w:ascii="仿宋_GB2312" w:eastAsia="仿宋_GB2312" w:cs="黑体"/>
                <w:color w:val="000000"/>
                <w:kern w:val="0"/>
                <w:sz w:val="24"/>
                <w:szCs w:val="24"/>
              </w:rPr>
              <w:t>职务</w:t>
            </w:r>
          </w:p>
        </w:tc>
        <w:tc>
          <w:tcPr>
            <w:tcW w:w="1821" w:type="dxa"/>
            <w:shd w:val="clear" w:color="auto" w:fill="FFFFFF" w:themeFill="background1"/>
            <w:vAlign w:val="center"/>
          </w:tcPr>
          <w:p w14:paraId="021800D4">
            <w:pPr>
              <w:autoSpaceDE w:val="0"/>
              <w:autoSpaceDN w:val="0"/>
              <w:adjustRightInd w:val="0"/>
              <w:spacing w:line="560" w:lineRule="exact"/>
              <w:jc w:val="center"/>
              <w:rPr>
                <w:rFonts w:ascii="仿宋_GB2312" w:eastAsia="仿宋_GB2312"/>
                <w:color w:val="000000"/>
                <w:sz w:val="24"/>
                <w:szCs w:val="24"/>
              </w:rPr>
            </w:pPr>
            <w:r>
              <w:rPr>
                <w:rFonts w:hint="eastAsia" w:ascii="仿宋_GB2312" w:eastAsia="仿宋_GB2312"/>
                <w:color w:val="000000"/>
                <w:sz w:val="24"/>
                <w:szCs w:val="24"/>
              </w:rPr>
              <w:t>本次行权数量（万股）</w:t>
            </w:r>
          </w:p>
        </w:tc>
        <w:tc>
          <w:tcPr>
            <w:tcW w:w="2139" w:type="dxa"/>
            <w:shd w:val="clear" w:color="auto" w:fill="FFFFFF" w:themeFill="background1"/>
            <w:vAlign w:val="center"/>
          </w:tcPr>
          <w:p w14:paraId="6B885F26">
            <w:pPr>
              <w:autoSpaceDE w:val="0"/>
              <w:autoSpaceDN w:val="0"/>
              <w:adjustRightInd w:val="0"/>
              <w:spacing w:line="560" w:lineRule="exact"/>
              <w:jc w:val="center"/>
              <w:rPr>
                <w:rFonts w:ascii="仿宋_GB2312" w:eastAsia="仿宋_GB2312"/>
                <w:color w:val="000000"/>
                <w:sz w:val="24"/>
                <w:szCs w:val="24"/>
              </w:rPr>
            </w:pPr>
            <w:r>
              <w:rPr>
                <w:rFonts w:hint="eastAsia" w:ascii="仿宋_GB2312" w:eastAsia="仿宋_GB2312"/>
                <w:color w:val="000000"/>
                <w:sz w:val="24"/>
                <w:szCs w:val="24"/>
              </w:rPr>
              <w:t>本次行权占已授予期权总量的百分比</w:t>
            </w:r>
          </w:p>
        </w:tc>
        <w:tc>
          <w:tcPr>
            <w:tcW w:w="1260" w:type="dxa"/>
            <w:shd w:val="clear" w:color="auto" w:fill="FFFFFF" w:themeFill="background1"/>
            <w:vAlign w:val="center"/>
          </w:tcPr>
          <w:p w14:paraId="0B5081EF">
            <w:pPr>
              <w:autoSpaceDE w:val="0"/>
              <w:autoSpaceDN w:val="0"/>
              <w:adjustRightInd w:val="0"/>
              <w:spacing w:line="560" w:lineRule="exact"/>
              <w:jc w:val="center"/>
              <w:rPr>
                <w:rFonts w:ascii="仿宋_GB2312" w:eastAsia="仿宋_GB2312"/>
                <w:color w:val="000000"/>
                <w:sz w:val="24"/>
                <w:szCs w:val="24"/>
              </w:rPr>
            </w:pPr>
            <w:r>
              <w:rPr>
                <w:rFonts w:hint="eastAsia" w:ascii="仿宋_GB2312" w:eastAsia="仿宋_GB2312"/>
                <w:color w:val="000000"/>
                <w:sz w:val="24"/>
                <w:szCs w:val="24"/>
              </w:rPr>
              <w:t>附注说明</w:t>
            </w:r>
          </w:p>
        </w:tc>
      </w:tr>
      <w:tr w14:paraId="5306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3" w:type="dxa"/>
            <w:gridSpan w:val="6"/>
            <w:vAlign w:val="center"/>
          </w:tcPr>
          <w:p w14:paraId="7F4C0275">
            <w:pPr>
              <w:spacing w:line="560" w:lineRule="exact"/>
              <w:jc w:val="center"/>
              <w:rPr>
                <w:rFonts w:ascii="仿宋_GB2312" w:eastAsia="仿宋_GB2312"/>
                <w:color w:val="000000"/>
                <w:sz w:val="24"/>
                <w:szCs w:val="24"/>
              </w:rPr>
            </w:pPr>
            <w:r>
              <w:rPr>
                <w:rFonts w:hint="eastAsia" w:ascii="仿宋_GB2312" w:eastAsia="仿宋_GB2312" w:cs="宋体"/>
                <w:color w:val="000000"/>
                <w:kern w:val="0"/>
                <w:sz w:val="24"/>
                <w:szCs w:val="24"/>
              </w:rPr>
              <w:t>一、董事、高级管理人员</w:t>
            </w:r>
          </w:p>
        </w:tc>
      </w:tr>
      <w:tr w14:paraId="29AF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14:paraId="7C2FB186">
            <w:pPr>
              <w:spacing w:line="560" w:lineRule="exact"/>
              <w:jc w:val="center"/>
              <w:rPr>
                <w:rFonts w:ascii="仿宋_GB2312" w:eastAsia="仿宋_GB2312"/>
                <w:color w:val="000000"/>
                <w:sz w:val="24"/>
                <w:szCs w:val="24"/>
              </w:rPr>
            </w:pPr>
            <w:r>
              <w:rPr>
                <w:rFonts w:ascii="仿宋_GB2312" w:eastAsia="仿宋_GB2312"/>
                <w:color w:val="000000"/>
                <w:sz w:val="24"/>
                <w:szCs w:val="24"/>
              </w:rPr>
              <w:t>1</w:t>
            </w:r>
          </w:p>
        </w:tc>
        <w:tc>
          <w:tcPr>
            <w:tcW w:w="1080" w:type="dxa"/>
            <w:vAlign w:val="center"/>
          </w:tcPr>
          <w:p w14:paraId="4D0C11F9">
            <w:pPr>
              <w:autoSpaceDE w:val="0"/>
              <w:autoSpaceDN w:val="0"/>
              <w:adjustRightInd w:val="0"/>
              <w:spacing w:line="560" w:lineRule="exact"/>
              <w:jc w:val="center"/>
              <w:rPr>
                <w:rFonts w:ascii="仿宋_GB2312" w:eastAsia="仿宋_GB2312"/>
                <w:color w:val="000000"/>
                <w:kern w:val="0"/>
                <w:sz w:val="24"/>
                <w:szCs w:val="24"/>
              </w:rPr>
            </w:pPr>
          </w:p>
        </w:tc>
        <w:tc>
          <w:tcPr>
            <w:tcW w:w="1080" w:type="dxa"/>
            <w:vAlign w:val="center"/>
          </w:tcPr>
          <w:p w14:paraId="04DFA25D">
            <w:pPr>
              <w:autoSpaceDE w:val="0"/>
              <w:autoSpaceDN w:val="0"/>
              <w:adjustRightInd w:val="0"/>
              <w:spacing w:line="560" w:lineRule="exact"/>
              <w:ind w:right="-107" w:rightChars="-51"/>
              <w:jc w:val="center"/>
              <w:rPr>
                <w:rFonts w:ascii="仿宋_GB2312" w:eastAsia="仿宋_GB2312"/>
                <w:color w:val="000000"/>
                <w:kern w:val="0"/>
                <w:sz w:val="24"/>
                <w:szCs w:val="24"/>
              </w:rPr>
            </w:pPr>
          </w:p>
        </w:tc>
        <w:tc>
          <w:tcPr>
            <w:tcW w:w="1821" w:type="dxa"/>
            <w:vAlign w:val="center"/>
          </w:tcPr>
          <w:p w14:paraId="5F7433F7">
            <w:pPr>
              <w:spacing w:line="560" w:lineRule="exact"/>
              <w:jc w:val="center"/>
              <w:rPr>
                <w:rFonts w:ascii="仿宋_GB2312" w:eastAsia="仿宋_GB2312"/>
                <w:color w:val="000000"/>
                <w:sz w:val="24"/>
                <w:szCs w:val="24"/>
              </w:rPr>
            </w:pPr>
          </w:p>
        </w:tc>
        <w:tc>
          <w:tcPr>
            <w:tcW w:w="2139" w:type="dxa"/>
            <w:vAlign w:val="center"/>
          </w:tcPr>
          <w:p w14:paraId="6FA27131">
            <w:pPr>
              <w:spacing w:line="560" w:lineRule="exact"/>
              <w:jc w:val="center"/>
              <w:rPr>
                <w:rFonts w:ascii="仿宋_GB2312" w:eastAsia="仿宋_GB2312"/>
                <w:color w:val="000000"/>
                <w:sz w:val="24"/>
                <w:szCs w:val="24"/>
              </w:rPr>
            </w:pPr>
          </w:p>
        </w:tc>
        <w:tc>
          <w:tcPr>
            <w:tcW w:w="1260" w:type="dxa"/>
            <w:vAlign w:val="center"/>
          </w:tcPr>
          <w:p w14:paraId="43CAA26B">
            <w:pPr>
              <w:spacing w:line="560" w:lineRule="exact"/>
              <w:jc w:val="center"/>
              <w:rPr>
                <w:rFonts w:ascii="仿宋_GB2312" w:eastAsia="仿宋_GB2312"/>
                <w:color w:val="000000"/>
                <w:sz w:val="24"/>
                <w:szCs w:val="24"/>
              </w:rPr>
            </w:pPr>
          </w:p>
        </w:tc>
      </w:tr>
      <w:tr w14:paraId="5111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3" w:type="dxa"/>
            <w:vAlign w:val="center"/>
          </w:tcPr>
          <w:p w14:paraId="2109A0EA">
            <w:pPr>
              <w:spacing w:line="560" w:lineRule="exact"/>
              <w:jc w:val="center"/>
              <w:rPr>
                <w:rFonts w:ascii="仿宋_GB2312" w:eastAsia="仿宋_GB2312"/>
                <w:color w:val="000000"/>
                <w:sz w:val="24"/>
                <w:szCs w:val="24"/>
              </w:rPr>
            </w:pPr>
            <w:r>
              <w:rPr>
                <w:rFonts w:ascii="仿宋_GB2312" w:eastAsia="仿宋_GB2312"/>
                <w:color w:val="000000"/>
                <w:sz w:val="24"/>
                <w:szCs w:val="24"/>
              </w:rPr>
              <w:t>2</w:t>
            </w:r>
          </w:p>
        </w:tc>
        <w:tc>
          <w:tcPr>
            <w:tcW w:w="1080" w:type="dxa"/>
            <w:vAlign w:val="center"/>
          </w:tcPr>
          <w:p w14:paraId="40A4865F">
            <w:pPr>
              <w:autoSpaceDE w:val="0"/>
              <w:autoSpaceDN w:val="0"/>
              <w:adjustRightInd w:val="0"/>
              <w:spacing w:line="560" w:lineRule="exact"/>
              <w:jc w:val="center"/>
              <w:rPr>
                <w:rFonts w:ascii="仿宋_GB2312" w:eastAsia="仿宋_GB2312"/>
                <w:color w:val="000000"/>
                <w:kern w:val="0"/>
                <w:sz w:val="24"/>
                <w:szCs w:val="24"/>
              </w:rPr>
            </w:pPr>
          </w:p>
        </w:tc>
        <w:tc>
          <w:tcPr>
            <w:tcW w:w="1080" w:type="dxa"/>
            <w:vAlign w:val="center"/>
          </w:tcPr>
          <w:p w14:paraId="5E553AAA">
            <w:pPr>
              <w:autoSpaceDE w:val="0"/>
              <w:autoSpaceDN w:val="0"/>
              <w:adjustRightInd w:val="0"/>
              <w:spacing w:line="560" w:lineRule="exact"/>
              <w:ind w:right="-107" w:rightChars="-51"/>
              <w:jc w:val="center"/>
              <w:rPr>
                <w:rFonts w:ascii="仿宋_GB2312" w:eastAsia="仿宋_GB2312"/>
                <w:color w:val="000000"/>
                <w:kern w:val="0"/>
                <w:sz w:val="24"/>
                <w:szCs w:val="24"/>
              </w:rPr>
            </w:pPr>
          </w:p>
        </w:tc>
        <w:tc>
          <w:tcPr>
            <w:tcW w:w="1821" w:type="dxa"/>
            <w:vAlign w:val="center"/>
          </w:tcPr>
          <w:p w14:paraId="4D43BEFE">
            <w:pPr>
              <w:spacing w:line="560" w:lineRule="exact"/>
              <w:jc w:val="center"/>
              <w:rPr>
                <w:rFonts w:ascii="仿宋_GB2312" w:eastAsia="仿宋_GB2312"/>
                <w:color w:val="000000"/>
                <w:sz w:val="24"/>
                <w:szCs w:val="24"/>
              </w:rPr>
            </w:pPr>
          </w:p>
        </w:tc>
        <w:tc>
          <w:tcPr>
            <w:tcW w:w="2139" w:type="dxa"/>
            <w:vAlign w:val="center"/>
          </w:tcPr>
          <w:p w14:paraId="7A5A9EB2">
            <w:pPr>
              <w:spacing w:line="560" w:lineRule="exact"/>
              <w:jc w:val="center"/>
              <w:rPr>
                <w:rFonts w:ascii="仿宋_GB2312" w:eastAsia="仿宋_GB2312"/>
                <w:color w:val="000000"/>
                <w:sz w:val="24"/>
                <w:szCs w:val="24"/>
              </w:rPr>
            </w:pPr>
          </w:p>
        </w:tc>
        <w:tc>
          <w:tcPr>
            <w:tcW w:w="1260" w:type="dxa"/>
            <w:vAlign w:val="center"/>
          </w:tcPr>
          <w:p w14:paraId="32592276">
            <w:pPr>
              <w:spacing w:line="560" w:lineRule="exact"/>
              <w:jc w:val="center"/>
              <w:rPr>
                <w:rFonts w:ascii="仿宋_GB2312" w:eastAsia="仿宋_GB2312"/>
                <w:color w:val="000000"/>
                <w:sz w:val="24"/>
                <w:szCs w:val="24"/>
              </w:rPr>
            </w:pPr>
          </w:p>
        </w:tc>
      </w:tr>
      <w:tr w14:paraId="006A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14:paraId="7513D41D">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1080" w:type="dxa"/>
            <w:vAlign w:val="center"/>
          </w:tcPr>
          <w:p w14:paraId="16E03664">
            <w:pPr>
              <w:autoSpaceDE w:val="0"/>
              <w:autoSpaceDN w:val="0"/>
              <w:adjustRightInd w:val="0"/>
              <w:spacing w:line="560" w:lineRule="exact"/>
              <w:jc w:val="center"/>
              <w:rPr>
                <w:rFonts w:ascii="仿宋_GB2312" w:eastAsia="仿宋_GB2312"/>
                <w:color w:val="000000"/>
                <w:kern w:val="0"/>
                <w:sz w:val="24"/>
                <w:szCs w:val="24"/>
              </w:rPr>
            </w:pPr>
          </w:p>
        </w:tc>
        <w:tc>
          <w:tcPr>
            <w:tcW w:w="1080" w:type="dxa"/>
            <w:vAlign w:val="center"/>
          </w:tcPr>
          <w:p w14:paraId="23BBB0C1">
            <w:pPr>
              <w:spacing w:line="560" w:lineRule="exact"/>
              <w:jc w:val="center"/>
              <w:rPr>
                <w:rFonts w:ascii="仿宋_GB2312" w:eastAsia="仿宋_GB2312"/>
                <w:color w:val="000000"/>
                <w:sz w:val="24"/>
                <w:szCs w:val="24"/>
              </w:rPr>
            </w:pPr>
          </w:p>
        </w:tc>
        <w:tc>
          <w:tcPr>
            <w:tcW w:w="1821" w:type="dxa"/>
            <w:vAlign w:val="center"/>
          </w:tcPr>
          <w:p w14:paraId="419A7553">
            <w:pPr>
              <w:spacing w:line="560" w:lineRule="exact"/>
              <w:jc w:val="center"/>
              <w:rPr>
                <w:rFonts w:ascii="仿宋_GB2312" w:eastAsia="仿宋_GB2312"/>
                <w:color w:val="000000"/>
                <w:sz w:val="24"/>
                <w:szCs w:val="24"/>
              </w:rPr>
            </w:pPr>
          </w:p>
        </w:tc>
        <w:tc>
          <w:tcPr>
            <w:tcW w:w="2139" w:type="dxa"/>
            <w:vAlign w:val="center"/>
          </w:tcPr>
          <w:p w14:paraId="4268AD66">
            <w:pPr>
              <w:spacing w:line="560" w:lineRule="exact"/>
              <w:jc w:val="center"/>
              <w:rPr>
                <w:rFonts w:ascii="仿宋_GB2312" w:eastAsia="仿宋_GB2312"/>
                <w:color w:val="000000"/>
                <w:sz w:val="24"/>
                <w:szCs w:val="24"/>
              </w:rPr>
            </w:pPr>
          </w:p>
        </w:tc>
        <w:tc>
          <w:tcPr>
            <w:tcW w:w="1260" w:type="dxa"/>
            <w:vAlign w:val="center"/>
          </w:tcPr>
          <w:p w14:paraId="753C78B6">
            <w:pPr>
              <w:spacing w:line="560" w:lineRule="exact"/>
              <w:jc w:val="center"/>
              <w:rPr>
                <w:rFonts w:ascii="仿宋_GB2312" w:eastAsia="仿宋_GB2312"/>
                <w:color w:val="000000"/>
                <w:sz w:val="24"/>
                <w:szCs w:val="24"/>
              </w:rPr>
            </w:pPr>
          </w:p>
        </w:tc>
      </w:tr>
      <w:tr w14:paraId="0890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gridSpan w:val="3"/>
            <w:vAlign w:val="center"/>
          </w:tcPr>
          <w:p w14:paraId="7E516FE4">
            <w:pPr>
              <w:autoSpaceDE w:val="0"/>
              <w:autoSpaceDN w:val="0"/>
              <w:adjustRightInd w:val="0"/>
              <w:spacing w:line="560" w:lineRule="exac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董事、高级管理人员小计</w:t>
            </w:r>
          </w:p>
        </w:tc>
        <w:tc>
          <w:tcPr>
            <w:tcW w:w="1821" w:type="dxa"/>
            <w:vAlign w:val="center"/>
          </w:tcPr>
          <w:p w14:paraId="5320387E">
            <w:pPr>
              <w:spacing w:line="560" w:lineRule="exact"/>
              <w:jc w:val="center"/>
              <w:rPr>
                <w:rFonts w:ascii="仿宋_GB2312" w:eastAsia="仿宋_GB2312"/>
                <w:color w:val="000000"/>
                <w:sz w:val="24"/>
                <w:szCs w:val="24"/>
              </w:rPr>
            </w:pPr>
          </w:p>
        </w:tc>
        <w:tc>
          <w:tcPr>
            <w:tcW w:w="2139" w:type="dxa"/>
            <w:vAlign w:val="center"/>
          </w:tcPr>
          <w:p w14:paraId="3E7922D0">
            <w:pPr>
              <w:spacing w:line="560" w:lineRule="exact"/>
              <w:jc w:val="center"/>
              <w:rPr>
                <w:rFonts w:ascii="仿宋_GB2312" w:eastAsia="仿宋_GB2312"/>
                <w:color w:val="000000"/>
                <w:sz w:val="24"/>
                <w:szCs w:val="24"/>
              </w:rPr>
            </w:pPr>
          </w:p>
        </w:tc>
        <w:tc>
          <w:tcPr>
            <w:tcW w:w="1260" w:type="dxa"/>
            <w:vAlign w:val="center"/>
          </w:tcPr>
          <w:p w14:paraId="476D814B">
            <w:pPr>
              <w:spacing w:line="560" w:lineRule="exact"/>
              <w:jc w:val="center"/>
              <w:rPr>
                <w:rFonts w:ascii="仿宋_GB2312" w:eastAsia="仿宋_GB2312"/>
                <w:color w:val="000000"/>
                <w:sz w:val="24"/>
                <w:szCs w:val="24"/>
              </w:rPr>
            </w:pPr>
          </w:p>
        </w:tc>
      </w:tr>
      <w:tr w14:paraId="46F7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3" w:type="dxa"/>
            <w:gridSpan w:val="6"/>
            <w:vAlign w:val="center"/>
          </w:tcPr>
          <w:p w14:paraId="4D57F262">
            <w:pPr>
              <w:spacing w:line="560" w:lineRule="exact"/>
              <w:jc w:val="center"/>
              <w:rPr>
                <w:rFonts w:ascii="仿宋_GB2312" w:eastAsia="仿宋_GB2312"/>
                <w:color w:val="000000"/>
                <w:sz w:val="24"/>
                <w:szCs w:val="24"/>
              </w:rPr>
            </w:pPr>
            <w:r>
              <w:rPr>
                <w:rFonts w:hint="eastAsia" w:ascii="仿宋_GB2312" w:eastAsia="仿宋_GB2312" w:cs="宋体"/>
                <w:color w:val="000000"/>
                <w:kern w:val="0"/>
                <w:sz w:val="24"/>
                <w:szCs w:val="24"/>
              </w:rPr>
              <w:t>二、其他激励对象</w:t>
            </w:r>
          </w:p>
        </w:tc>
      </w:tr>
      <w:tr w14:paraId="49D2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83" w:type="dxa"/>
            <w:gridSpan w:val="3"/>
            <w:vAlign w:val="center"/>
          </w:tcPr>
          <w:p w14:paraId="59D09162">
            <w:pPr>
              <w:autoSpaceDE w:val="0"/>
              <w:autoSpaceDN w:val="0"/>
              <w:adjustRightInd w:val="0"/>
              <w:spacing w:line="560" w:lineRule="exact"/>
              <w:jc w:val="center"/>
              <w:rPr>
                <w:rFonts w:ascii="仿宋_GB2312" w:eastAsia="仿宋_GB2312" w:cs="宋体,Bold"/>
                <w:color w:val="000000"/>
                <w:kern w:val="0"/>
                <w:sz w:val="24"/>
                <w:szCs w:val="24"/>
              </w:rPr>
            </w:pPr>
            <w:r>
              <w:rPr>
                <w:rFonts w:hint="eastAsia" w:ascii="仿宋_GB2312" w:eastAsia="仿宋_GB2312" w:cs="宋体,Bold"/>
                <w:color w:val="000000"/>
                <w:kern w:val="0"/>
                <w:sz w:val="24"/>
                <w:szCs w:val="24"/>
              </w:rPr>
              <w:t>其他激励对象小计</w:t>
            </w:r>
          </w:p>
        </w:tc>
        <w:tc>
          <w:tcPr>
            <w:tcW w:w="1821" w:type="dxa"/>
            <w:vAlign w:val="center"/>
          </w:tcPr>
          <w:p w14:paraId="185636DE">
            <w:pPr>
              <w:spacing w:line="560" w:lineRule="exact"/>
              <w:jc w:val="center"/>
              <w:rPr>
                <w:rFonts w:ascii="仿宋_GB2312" w:eastAsia="仿宋_GB2312"/>
                <w:color w:val="000000"/>
                <w:sz w:val="24"/>
                <w:szCs w:val="24"/>
              </w:rPr>
            </w:pPr>
          </w:p>
        </w:tc>
        <w:tc>
          <w:tcPr>
            <w:tcW w:w="2139" w:type="dxa"/>
            <w:vAlign w:val="center"/>
          </w:tcPr>
          <w:p w14:paraId="3A0859AC">
            <w:pPr>
              <w:spacing w:line="560" w:lineRule="exact"/>
              <w:jc w:val="center"/>
              <w:rPr>
                <w:rFonts w:ascii="仿宋_GB2312" w:eastAsia="仿宋_GB2312"/>
                <w:color w:val="000000"/>
                <w:sz w:val="24"/>
                <w:szCs w:val="24"/>
              </w:rPr>
            </w:pPr>
          </w:p>
        </w:tc>
        <w:tc>
          <w:tcPr>
            <w:tcW w:w="1260" w:type="dxa"/>
            <w:vAlign w:val="center"/>
          </w:tcPr>
          <w:p w14:paraId="1AFD6084">
            <w:pPr>
              <w:spacing w:line="560" w:lineRule="exact"/>
              <w:jc w:val="center"/>
              <w:rPr>
                <w:rFonts w:ascii="仿宋_GB2312" w:eastAsia="仿宋_GB2312"/>
                <w:color w:val="000000"/>
                <w:sz w:val="24"/>
                <w:szCs w:val="24"/>
              </w:rPr>
            </w:pPr>
          </w:p>
        </w:tc>
      </w:tr>
      <w:tr w14:paraId="08E1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gridSpan w:val="3"/>
            <w:vAlign w:val="center"/>
          </w:tcPr>
          <w:p w14:paraId="4075B73A">
            <w:pPr>
              <w:autoSpaceDE w:val="0"/>
              <w:autoSpaceDN w:val="0"/>
              <w:adjustRightInd w:val="0"/>
              <w:spacing w:line="560" w:lineRule="exact"/>
              <w:jc w:val="center"/>
              <w:rPr>
                <w:rFonts w:ascii="仿宋_GB2312" w:eastAsia="仿宋_GB2312" w:cs="宋体,Bold"/>
                <w:color w:val="000000"/>
                <w:kern w:val="0"/>
                <w:sz w:val="24"/>
                <w:szCs w:val="24"/>
              </w:rPr>
            </w:pPr>
            <w:r>
              <w:rPr>
                <w:rFonts w:hint="eastAsia" w:ascii="仿宋_GB2312" w:eastAsia="仿宋_GB2312" w:cs="宋体"/>
                <w:color w:val="000000"/>
                <w:kern w:val="0"/>
                <w:sz w:val="24"/>
                <w:szCs w:val="24"/>
              </w:rPr>
              <w:t>合</w:t>
            </w:r>
            <w:r>
              <w:rPr>
                <w:rFonts w:ascii="仿宋_GB2312" w:eastAsia="仿宋_GB2312" w:cs="宋体"/>
                <w:color w:val="000000"/>
                <w:kern w:val="0"/>
                <w:sz w:val="24"/>
                <w:szCs w:val="24"/>
              </w:rPr>
              <w:t xml:space="preserve">    </w:t>
            </w:r>
            <w:r>
              <w:rPr>
                <w:rFonts w:hint="eastAsia" w:ascii="仿宋_GB2312" w:eastAsia="仿宋_GB2312" w:cs="宋体"/>
                <w:color w:val="000000"/>
                <w:kern w:val="0"/>
                <w:sz w:val="24"/>
                <w:szCs w:val="24"/>
              </w:rPr>
              <w:t>计</w:t>
            </w:r>
          </w:p>
        </w:tc>
        <w:tc>
          <w:tcPr>
            <w:tcW w:w="1821" w:type="dxa"/>
            <w:vAlign w:val="center"/>
          </w:tcPr>
          <w:p w14:paraId="34EF24F0">
            <w:pPr>
              <w:spacing w:line="560" w:lineRule="exact"/>
              <w:jc w:val="center"/>
              <w:rPr>
                <w:rFonts w:ascii="仿宋_GB2312" w:eastAsia="仿宋_GB2312"/>
                <w:color w:val="000000"/>
                <w:sz w:val="24"/>
                <w:szCs w:val="24"/>
              </w:rPr>
            </w:pPr>
          </w:p>
        </w:tc>
        <w:tc>
          <w:tcPr>
            <w:tcW w:w="2139" w:type="dxa"/>
            <w:vAlign w:val="center"/>
          </w:tcPr>
          <w:p w14:paraId="30A75392">
            <w:pPr>
              <w:spacing w:line="560" w:lineRule="exact"/>
              <w:jc w:val="center"/>
              <w:rPr>
                <w:rFonts w:ascii="仿宋_GB2312" w:eastAsia="仿宋_GB2312"/>
                <w:color w:val="000000"/>
                <w:sz w:val="24"/>
                <w:szCs w:val="24"/>
              </w:rPr>
            </w:pPr>
          </w:p>
        </w:tc>
        <w:tc>
          <w:tcPr>
            <w:tcW w:w="1260" w:type="dxa"/>
            <w:vAlign w:val="center"/>
          </w:tcPr>
          <w:p w14:paraId="0C5440CE">
            <w:pPr>
              <w:spacing w:line="560" w:lineRule="exact"/>
              <w:jc w:val="center"/>
              <w:rPr>
                <w:rFonts w:ascii="仿宋_GB2312" w:eastAsia="仿宋_GB2312"/>
                <w:color w:val="000000"/>
                <w:sz w:val="24"/>
                <w:szCs w:val="24"/>
              </w:rPr>
            </w:pPr>
          </w:p>
        </w:tc>
      </w:tr>
    </w:tbl>
    <w:p w14:paraId="10740181">
      <w:pPr>
        <w:widowControl/>
        <w:adjustRightInd w:val="0"/>
        <w:snapToGrid w:val="0"/>
        <w:spacing w:line="560" w:lineRule="exact"/>
        <w:ind w:firstLine="600" w:firstLineChars="200"/>
        <w:jc w:val="left"/>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（二）本次行权股票来源情况</w:t>
      </w:r>
    </w:p>
    <w:p w14:paraId="4BA7BB12">
      <w:pPr>
        <w:widowControl/>
        <w:adjustRightInd w:val="0"/>
        <w:snapToGrid w:val="0"/>
        <w:spacing w:line="560" w:lineRule="exact"/>
        <w:ind w:firstLine="600" w:firstLineChars="200"/>
        <w:jc w:val="left"/>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公司</w:t>
      </w:r>
      <w:r>
        <w:rPr>
          <w:rFonts w:ascii="仿宋_GB2312" w:hAnsi="Arial" w:eastAsia="仿宋_GB2312" w:cs="Arial"/>
          <w:color w:val="000000"/>
          <w:kern w:val="0"/>
          <w:sz w:val="30"/>
          <w:szCs w:val="30"/>
        </w:rPr>
        <w:t>应当</w:t>
      </w:r>
      <w:r>
        <w:rPr>
          <w:rFonts w:hint="eastAsia" w:ascii="仿宋_GB2312" w:hAnsi="Arial" w:eastAsia="仿宋_GB2312" w:cs="Arial"/>
          <w:color w:val="000000"/>
          <w:kern w:val="0"/>
          <w:sz w:val="30"/>
          <w:szCs w:val="30"/>
        </w:rPr>
        <w:t>说明本次行权股票来源情况。</w:t>
      </w:r>
    </w:p>
    <w:p w14:paraId="584B8E77">
      <w:pPr>
        <w:widowControl/>
        <w:adjustRightInd w:val="0"/>
        <w:snapToGrid w:val="0"/>
        <w:spacing w:line="560" w:lineRule="exact"/>
        <w:ind w:firstLine="600" w:firstLineChars="200"/>
        <w:jc w:val="left"/>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（三）行权人数</w:t>
      </w:r>
    </w:p>
    <w:p w14:paraId="209360C8">
      <w:pPr>
        <w:widowControl/>
        <w:adjustRightInd w:val="0"/>
        <w:snapToGrid w:val="0"/>
        <w:spacing w:line="560" w:lineRule="exact"/>
        <w:ind w:firstLine="600" w:firstLineChars="200"/>
        <w:jc w:val="left"/>
        <w:rPr>
          <w:rFonts w:ascii="仿宋_GB2312" w:hAnsi="Arial" w:eastAsia="仿宋_GB2312" w:cs="Arial"/>
          <w:color w:val="000000"/>
          <w:kern w:val="0"/>
          <w:sz w:val="30"/>
          <w:szCs w:val="30"/>
        </w:rPr>
      </w:pPr>
    </w:p>
    <w:p w14:paraId="373749FD">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三、本次股权激励计划行权股票的上市流通安排及股本结构变动情况</w:t>
      </w:r>
    </w:p>
    <w:p w14:paraId="4907C9BD">
      <w:pPr>
        <w:widowControl/>
        <w:adjustRightInd w:val="0"/>
        <w:snapToGrid w:val="0"/>
        <w:spacing w:line="560" w:lineRule="exact"/>
        <w:ind w:firstLine="600" w:firstLineChars="200"/>
        <w:jc w:val="left"/>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（一）</w:t>
      </w:r>
      <w:r>
        <w:rPr>
          <w:rFonts w:ascii="仿宋_GB2312" w:hAnsi="Arial" w:eastAsia="仿宋_GB2312" w:cs="Arial"/>
          <w:color w:val="000000"/>
          <w:kern w:val="0"/>
          <w:sz w:val="30"/>
          <w:szCs w:val="30"/>
        </w:rPr>
        <w:t>应当</w:t>
      </w:r>
      <w:r>
        <w:rPr>
          <w:rFonts w:hint="eastAsia" w:ascii="仿宋_GB2312" w:hAnsi="Arial" w:eastAsia="仿宋_GB2312" w:cs="Arial"/>
          <w:color w:val="000000"/>
          <w:kern w:val="0"/>
          <w:sz w:val="30"/>
          <w:szCs w:val="30"/>
        </w:rPr>
        <w:t>说明本次行权股票的上市流通日。</w:t>
      </w:r>
    </w:p>
    <w:p w14:paraId="62294767">
      <w:pPr>
        <w:widowControl/>
        <w:adjustRightInd w:val="0"/>
        <w:snapToGrid w:val="0"/>
        <w:spacing w:line="560" w:lineRule="exact"/>
        <w:ind w:firstLine="600" w:firstLineChars="200"/>
        <w:jc w:val="left"/>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（二）</w:t>
      </w:r>
      <w:r>
        <w:rPr>
          <w:rFonts w:ascii="仿宋_GB2312" w:hAnsi="Arial" w:eastAsia="仿宋_GB2312" w:cs="Arial"/>
          <w:color w:val="000000"/>
          <w:kern w:val="0"/>
          <w:sz w:val="30"/>
          <w:szCs w:val="30"/>
        </w:rPr>
        <w:t>应当</w:t>
      </w:r>
      <w:r>
        <w:rPr>
          <w:rFonts w:hint="eastAsia" w:ascii="仿宋_GB2312" w:hAnsi="Arial" w:eastAsia="仿宋_GB2312" w:cs="Arial"/>
          <w:color w:val="000000"/>
          <w:kern w:val="0"/>
          <w:sz w:val="30"/>
          <w:szCs w:val="30"/>
        </w:rPr>
        <w:t>说明本次行权股票的上市流通数量。</w:t>
      </w:r>
    </w:p>
    <w:p w14:paraId="202500B3">
      <w:pPr>
        <w:widowControl/>
        <w:adjustRightInd w:val="0"/>
        <w:snapToGrid w:val="0"/>
        <w:spacing w:line="560" w:lineRule="exact"/>
        <w:ind w:firstLine="600" w:firstLineChars="200"/>
        <w:jc w:val="left"/>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（三）</w:t>
      </w:r>
      <w:r>
        <w:rPr>
          <w:rFonts w:ascii="仿宋_GB2312" w:hAnsi="Arial" w:eastAsia="仿宋_GB2312" w:cs="Arial"/>
          <w:color w:val="000000"/>
          <w:kern w:val="0"/>
          <w:sz w:val="30"/>
          <w:szCs w:val="30"/>
        </w:rPr>
        <w:t>应当</w:t>
      </w:r>
      <w:r>
        <w:rPr>
          <w:rFonts w:hint="eastAsia" w:ascii="仿宋_GB2312" w:hAnsi="Arial" w:eastAsia="仿宋_GB2312" w:cs="Arial"/>
          <w:color w:val="000000"/>
          <w:kern w:val="0"/>
          <w:sz w:val="30"/>
          <w:szCs w:val="30"/>
        </w:rPr>
        <w:t>说明董事和高级管理人员本次行权股票的锁定和转让限制。</w:t>
      </w:r>
    </w:p>
    <w:p w14:paraId="50530CBD">
      <w:pPr>
        <w:widowControl/>
        <w:adjustRightInd w:val="0"/>
        <w:snapToGrid w:val="0"/>
        <w:spacing w:line="560" w:lineRule="exact"/>
        <w:ind w:firstLine="600" w:firstLineChars="200"/>
        <w:jc w:val="left"/>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（四）本次股本结构变动情况</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98D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79CD47E">
            <w:pPr>
              <w:widowControl/>
              <w:spacing w:line="5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类别</w:t>
            </w:r>
          </w:p>
        </w:tc>
        <w:tc>
          <w:tcPr>
            <w:tcW w:w="2130" w:type="dxa"/>
          </w:tcPr>
          <w:p w14:paraId="3EF175F2">
            <w:pPr>
              <w:widowControl/>
              <w:spacing w:line="5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本次变动前</w:t>
            </w:r>
          </w:p>
        </w:tc>
        <w:tc>
          <w:tcPr>
            <w:tcW w:w="2131" w:type="dxa"/>
          </w:tcPr>
          <w:p w14:paraId="16FD211C">
            <w:pPr>
              <w:widowControl/>
              <w:spacing w:line="5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本次变动数</w:t>
            </w:r>
          </w:p>
        </w:tc>
        <w:tc>
          <w:tcPr>
            <w:tcW w:w="2131" w:type="dxa"/>
          </w:tcPr>
          <w:p w14:paraId="01124614">
            <w:pPr>
              <w:widowControl/>
              <w:spacing w:line="560" w:lineRule="exact"/>
              <w:jc w:val="center"/>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本次变动后</w:t>
            </w:r>
          </w:p>
        </w:tc>
      </w:tr>
      <w:tr w14:paraId="5B1C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B871BA8">
            <w:pPr>
              <w:widowControl/>
              <w:spacing w:line="560" w:lineRule="exac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有限售条件股份</w:t>
            </w:r>
          </w:p>
        </w:tc>
        <w:tc>
          <w:tcPr>
            <w:tcW w:w="2130" w:type="dxa"/>
          </w:tcPr>
          <w:p w14:paraId="335700E2">
            <w:pPr>
              <w:widowControl/>
              <w:spacing w:line="560" w:lineRule="exact"/>
              <w:rPr>
                <w:rFonts w:ascii="仿宋_GB2312" w:hAnsi="Arial" w:eastAsia="仿宋_GB2312" w:cs="Arial"/>
                <w:color w:val="000000"/>
                <w:kern w:val="0"/>
                <w:sz w:val="24"/>
                <w:szCs w:val="24"/>
              </w:rPr>
            </w:pPr>
          </w:p>
        </w:tc>
        <w:tc>
          <w:tcPr>
            <w:tcW w:w="2131" w:type="dxa"/>
          </w:tcPr>
          <w:p w14:paraId="06C96393">
            <w:pPr>
              <w:widowControl/>
              <w:spacing w:line="560" w:lineRule="exact"/>
              <w:rPr>
                <w:rFonts w:ascii="仿宋_GB2312" w:hAnsi="Arial" w:eastAsia="仿宋_GB2312" w:cs="Arial"/>
                <w:color w:val="000000"/>
                <w:kern w:val="0"/>
                <w:sz w:val="24"/>
                <w:szCs w:val="24"/>
              </w:rPr>
            </w:pPr>
          </w:p>
        </w:tc>
        <w:tc>
          <w:tcPr>
            <w:tcW w:w="2131" w:type="dxa"/>
          </w:tcPr>
          <w:p w14:paraId="28A900B7">
            <w:pPr>
              <w:widowControl/>
              <w:spacing w:line="560" w:lineRule="exact"/>
              <w:rPr>
                <w:rFonts w:ascii="仿宋_GB2312" w:hAnsi="Arial" w:eastAsia="仿宋_GB2312" w:cs="Arial"/>
                <w:color w:val="000000"/>
                <w:kern w:val="0"/>
                <w:sz w:val="24"/>
                <w:szCs w:val="24"/>
              </w:rPr>
            </w:pPr>
          </w:p>
        </w:tc>
      </w:tr>
      <w:tr w14:paraId="0228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1A2F608">
            <w:pPr>
              <w:widowControl/>
              <w:spacing w:line="560" w:lineRule="exac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无限售条件股份</w:t>
            </w:r>
          </w:p>
        </w:tc>
        <w:tc>
          <w:tcPr>
            <w:tcW w:w="2130" w:type="dxa"/>
          </w:tcPr>
          <w:p w14:paraId="122C4BFD">
            <w:pPr>
              <w:widowControl/>
              <w:spacing w:line="560" w:lineRule="exact"/>
              <w:rPr>
                <w:rFonts w:ascii="仿宋_GB2312" w:hAnsi="Arial" w:eastAsia="仿宋_GB2312" w:cs="Arial"/>
                <w:color w:val="000000"/>
                <w:kern w:val="0"/>
                <w:sz w:val="24"/>
                <w:szCs w:val="24"/>
              </w:rPr>
            </w:pPr>
          </w:p>
        </w:tc>
        <w:tc>
          <w:tcPr>
            <w:tcW w:w="2131" w:type="dxa"/>
          </w:tcPr>
          <w:p w14:paraId="2FF59ED4">
            <w:pPr>
              <w:widowControl/>
              <w:spacing w:line="560" w:lineRule="exact"/>
              <w:rPr>
                <w:rFonts w:ascii="仿宋_GB2312" w:hAnsi="Arial" w:eastAsia="仿宋_GB2312" w:cs="Arial"/>
                <w:color w:val="000000"/>
                <w:kern w:val="0"/>
                <w:sz w:val="24"/>
                <w:szCs w:val="24"/>
              </w:rPr>
            </w:pPr>
          </w:p>
        </w:tc>
        <w:tc>
          <w:tcPr>
            <w:tcW w:w="2131" w:type="dxa"/>
          </w:tcPr>
          <w:p w14:paraId="31377B5F">
            <w:pPr>
              <w:widowControl/>
              <w:spacing w:line="560" w:lineRule="exact"/>
              <w:rPr>
                <w:rFonts w:ascii="仿宋_GB2312" w:hAnsi="Arial" w:eastAsia="仿宋_GB2312" w:cs="Arial"/>
                <w:color w:val="000000"/>
                <w:kern w:val="0"/>
                <w:sz w:val="24"/>
                <w:szCs w:val="24"/>
              </w:rPr>
            </w:pPr>
          </w:p>
        </w:tc>
      </w:tr>
      <w:tr w14:paraId="4503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14:paraId="791BCF09">
            <w:pPr>
              <w:widowControl/>
              <w:spacing w:line="560" w:lineRule="exac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总计</w:t>
            </w:r>
          </w:p>
        </w:tc>
        <w:tc>
          <w:tcPr>
            <w:tcW w:w="2130" w:type="dxa"/>
          </w:tcPr>
          <w:p w14:paraId="75F6D505">
            <w:pPr>
              <w:widowControl/>
              <w:spacing w:line="560" w:lineRule="exact"/>
              <w:rPr>
                <w:rFonts w:ascii="仿宋_GB2312" w:hAnsi="Arial" w:eastAsia="仿宋_GB2312" w:cs="Arial"/>
                <w:color w:val="000000"/>
                <w:kern w:val="0"/>
                <w:sz w:val="24"/>
                <w:szCs w:val="24"/>
              </w:rPr>
            </w:pPr>
          </w:p>
        </w:tc>
        <w:tc>
          <w:tcPr>
            <w:tcW w:w="2131" w:type="dxa"/>
          </w:tcPr>
          <w:p w14:paraId="76BA36F8">
            <w:pPr>
              <w:widowControl/>
              <w:spacing w:line="560" w:lineRule="exact"/>
              <w:rPr>
                <w:rFonts w:ascii="仿宋_GB2312" w:hAnsi="Arial" w:eastAsia="仿宋_GB2312" w:cs="Arial"/>
                <w:color w:val="000000"/>
                <w:kern w:val="0"/>
                <w:sz w:val="24"/>
                <w:szCs w:val="24"/>
              </w:rPr>
            </w:pPr>
          </w:p>
        </w:tc>
        <w:tc>
          <w:tcPr>
            <w:tcW w:w="2131" w:type="dxa"/>
          </w:tcPr>
          <w:p w14:paraId="2C78A51F">
            <w:pPr>
              <w:widowControl/>
              <w:spacing w:line="560" w:lineRule="exact"/>
              <w:rPr>
                <w:rFonts w:ascii="仿宋_GB2312" w:hAnsi="Arial" w:eastAsia="仿宋_GB2312" w:cs="Arial"/>
                <w:color w:val="000000"/>
                <w:kern w:val="0"/>
                <w:sz w:val="24"/>
                <w:szCs w:val="24"/>
              </w:rPr>
            </w:pPr>
          </w:p>
        </w:tc>
      </w:tr>
    </w:tbl>
    <w:p w14:paraId="14AB8A56">
      <w:pPr>
        <w:widowControl/>
        <w:adjustRightInd w:val="0"/>
        <w:snapToGrid w:val="0"/>
        <w:spacing w:line="560" w:lineRule="exact"/>
        <w:ind w:firstLine="600" w:firstLineChars="200"/>
        <w:jc w:val="left"/>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公司需说明本次股份变动后实际控制人是否发生变化。</w:t>
      </w:r>
    </w:p>
    <w:p w14:paraId="07B5C13E">
      <w:pPr>
        <w:widowControl/>
        <w:adjustRightInd w:val="0"/>
        <w:snapToGrid w:val="0"/>
        <w:spacing w:line="560" w:lineRule="exact"/>
        <w:ind w:firstLine="600" w:firstLineChars="200"/>
        <w:jc w:val="left"/>
        <w:rPr>
          <w:rFonts w:ascii="仿宋_GB2312" w:hAnsi="Arial" w:eastAsia="仿宋_GB2312" w:cs="Arial"/>
          <w:color w:val="000000"/>
          <w:kern w:val="0"/>
          <w:sz w:val="30"/>
          <w:szCs w:val="30"/>
        </w:rPr>
      </w:pPr>
    </w:p>
    <w:p w14:paraId="7E319028">
      <w:pPr>
        <w:snapToGrid w:val="0"/>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四、行权前后公司相关股东持股变化（如适用）</w:t>
      </w:r>
    </w:p>
    <w:p w14:paraId="7DF61C13">
      <w:pPr>
        <w:adjustRightInd w:val="0"/>
        <w:snapToGrid w:val="0"/>
        <w:spacing w:line="560" w:lineRule="exact"/>
        <w:ind w:firstLine="600" w:firstLineChars="200"/>
        <w:rPr>
          <w:rFonts w:ascii="仿宋" w:hAnsi="仿宋" w:eastAsia="仿宋_GB2312"/>
          <w:bCs/>
          <w:sz w:val="30"/>
          <w:szCs w:val="30"/>
        </w:rPr>
      </w:pPr>
      <w:r>
        <w:rPr>
          <w:rFonts w:hint="eastAsia" w:eastAsia="仿宋_GB2312" w:cs="Times New Roman"/>
          <w:color w:val="000000"/>
          <w:sz w:val="30"/>
          <w:szCs w:val="30"/>
        </w:rPr>
        <w:t>行权股票来源为上市公司向激励对象定向发行的，上市公司股本变动可能导致</w:t>
      </w:r>
      <w:r>
        <w:rPr>
          <w:rFonts w:hint="eastAsia" w:ascii="Times New Roman" w:hAnsi="Times New Roman" w:eastAsia="仿宋_GB2312" w:cs="Times New Roman"/>
          <w:color w:val="000000"/>
          <w:sz w:val="30"/>
          <w:szCs w:val="30"/>
        </w:rPr>
        <w:t>股东及其一致行动人拥有权益的股份比例触及或者跨越</w:t>
      </w:r>
      <w:r>
        <w:rPr>
          <w:rFonts w:ascii="Times New Roman" w:hAnsi="Times New Roman" w:eastAsia="仿宋_GB2312" w:cs="Times New Roman"/>
          <w:color w:val="000000"/>
          <w:sz w:val="30"/>
          <w:szCs w:val="30"/>
        </w:rPr>
        <w:t>5%</w:t>
      </w:r>
      <w:r>
        <w:rPr>
          <w:rFonts w:hint="eastAsia" w:ascii="Times New Roman" w:hAnsi="Times New Roman" w:eastAsia="仿宋_GB2312" w:cs="Times New Roman"/>
          <w:color w:val="000000"/>
          <w:sz w:val="30"/>
          <w:szCs w:val="30"/>
        </w:rPr>
        <w:t>及</w:t>
      </w:r>
      <w:r>
        <w:rPr>
          <w:rFonts w:ascii="Times New Roman" w:hAnsi="Times New Roman" w:eastAsia="仿宋_GB2312" w:cs="Times New Roman"/>
          <w:color w:val="000000"/>
          <w:sz w:val="30"/>
          <w:szCs w:val="30"/>
        </w:rPr>
        <w:t>5%</w:t>
      </w:r>
      <w:r>
        <w:rPr>
          <w:rFonts w:hint="eastAsia" w:ascii="Times New Roman" w:hAnsi="Times New Roman" w:eastAsia="仿宋_GB2312" w:cs="Times New Roman"/>
          <w:color w:val="000000"/>
          <w:sz w:val="30"/>
          <w:szCs w:val="30"/>
        </w:rPr>
        <w:t>的整数倍，或者导致持股</w:t>
      </w:r>
      <w:r>
        <w:rPr>
          <w:rFonts w:ascii="Times New Roman" w:hAnsi="Times New Roman" w:eastAsia="仿宋_GB2312" w:cs="Times New Roman"/>
          <w:color w:val="000000"/>
          <w:sz w:val="30"/>
          <w:szCs w:val="30"/>
        </w:rPr>
        <w:t>5%</w:t>
      </w:r>
      <w:r>
        <w:rPr>
          <w:rFonts w:hint="eastAsia" w:ascii="Times New Roman" w:hAnsi="Times New Roman" w:eastAsia="仿宋_GB2312" w:cs="Times New Roman"/>
          <w:color w:val="000000"/>
          <w:sz w:val="30"/>
          <w:szCs w:val="30"/>
        </w:rPr>
        <w:t>以上的</w:t>
      </w:r>
      <w:r>
        <w:rPr>
          <w:rFonts w:hint="eastAsia" w:eastAsia="仿宋_GB2312" w:cs="Times New Roman"/>
          <w:color w:val="000000"/>
          <w:sz w:val="30"/>
          <w:szCs w:val="30"/>
        </w:rPr>
        <w:t>股东</w:t>
      </w:r>
      <w:r>
        <w:rPr>
          <w:rFonts w:hint="eastAsia" w:ascii="Times New Roman" w:hAnsi="Times New Roman" w:eastAsia="仿宋_GB2312" w:cs="Times New Roman"/>
          <w:color w:val="000000"/>
          <w:sz w:val="30"/>
          <w:szCs w:val="30"/>
        </w:rPr>
        <w:t>及其一致行动人拥有权益的股份比例触及</w:t>
      </w:r>
      <w:r>
        <w:rPr>
          <w:rFonts w:ascii="Times New Roman" w:hAnsi="Times New Roman" w:eastAsia="仿宋_GB2312" w:cs="Times New Roman"/>
          <w:color w:val="000000"/>
          <w:sz w:val="30"/>
          <w:szCs w:val="30"/>
        </w:rPr>
        <w:t>1%</w:t>
      </w:r>
      <w:r>
        <w:rPr>
          <w:rFonts w:hint="eastAsia" w:ascii="Times New Roman" w:hAnsi="Times New Roman" w:eastAsia="仿宋_GB2312" w:cs="Times New Roman"/>
          <w:color w:val="000000"/>
          <w:sz w:val="30"/>
          <w:szCs w:val="30"/>
        </w:rPr>
        <w:t>的整数倍。存在前述情况的，上市公司</w:t>
      </w:r>
      <w:r>
        <w:rPr>
          <w:rFonts w:hint="eastAsia" w:eastAsia="仿宋_GB2312" w:cs="Times New Roman"/>
          <w:color w:val="000000"/>
          <w:sz w:val="30"/>
          <w:szCs w:val="30"/>
        </w:rPr>
        <w:t>应当列示股本变动前后</w:t>
      </w:r>
      <w:r>
        <w:rPr>
          <w:rFonts w:hint="eastAsia" w:ascii="仿宋" w:hAnsi="仿宋" w:eastAsia="仿宋_GB2312"/>
          <w:bCs/>
          <w:sz w:val="30"/>
          <w:szCs w:val="30"/>
        </w:rPr>
        <w:t>，上述股东及其一致行动人的</w:t>
      </w:r>
      <w:r>
        <w:rPr>
          <w:rFonts w:hint="eastAsia" w:ascii="仿宋" w:hAnsi="仿宋" w:eastAsia="仿宋_GB2312" w:cs="Times New Roman"/>
          <w:sz w:val="30"/>
          <w:szCs w:val="30"/>
        </w:rPr>
        <w:t>持股数量和持股比例变动</w:t>
      </w:r>
      <w:r>
        <w:rPr>
          <w:rFonts w:hint="eastAsia" w:ascii="仿宋" w:hAnsi="仿宋" w:eastAsia="仿宋_GB2312"/>
          <w:bCs/>
          <w:sz w:val="30"/>
          <w:szCs w:val="30"/>
        </w:rPr>
        <w:t>情况。</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830"/>
        <w:gridCol w:w="1418"/>
        <w:gridCol w:w="1417"/>
        <w:gridCol w:w="1248"/>
        <w:gridCol w:w="1438"/>
      </w:tblGrid>
      <w:tr w14:paraId="1280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6CF9EB6F">
            <w:pPr>
              <w:adjustRightInd w:val="0"/>
              <w:snapToGrid w:val="0"/>
              <w:spacing w:line="360" w:lineRule="auto"/>
              <w:jc w:val="center"/>
              <w:rPr>
                <w:rFonts w:ascii="仿宋_GB2312" w:hAnsi="仿宋" w:eastAsia="仿宋_GB2312"/>
                <w:sz w:val="24"/>
                <w:szCs w:val="24"/>
              </w:rPr>
            </w:pPr>
            <w:r>
              <w:rPr>
                <w:rFonts w:hint="eastAsia" w:ascii="仿宋_GB2312" w:hAnsi="仿宋" w:eastAsia="仿宋_GB2312"/>
                <w:szCs w:val="21"/>
              </w:rPr>
              <w:t>股东名称</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2C7984BC">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变动前持股数量（股）</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215EED84">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变动前持股比例（%）</w:t>
            </w: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566C426B">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变动后持股数量（股）</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34EE8BB5">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变动后持股比例（%）</w:t>
            </w:r>
          </w:p>
        </w:tc>
      </w:tr>
      <w:tr w14:paraId="64B4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571E015A">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股东A及其一致行动人（合并计算）</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1500DB1D">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0555C137">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64DA5112">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04E1E95A">
            <w:pPr>
              <w:adjustRightInd w:val="0"/>
              <w:snapToGrid w:val="0"/>
              <w:spacing w:line="360" w:lineRule="auto"/>
              <w:jc w:val="center"/>
              <w:rPr>
                <w:rFonts w:ascii="仿宋_GB2312" w:hAnsi="楷体" w:eastAsia="仿宋_GB2312" w:cs="楷体"/>
                <w:szCs w:val="20"/>
              </w:rPr>
            </w:pPr>
          </w:p>
        </w:tc>
      </w:tr>
      <w:tr w14:paraId="4FD0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4CE7FA63">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股东A</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6331D767">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1B970DCA">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33F2D368">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1F320A7A">
            <w:pPr>
              <w:adjustRightInd w:val="0"/>
              <w:snapToGrid w:val="0"/>
              <w:spacing w:line="360" w:lineRule="auto"/>
              <w:jc w:val="center"/>
              <w:rPr>
                <w:rFonts w:ascii="仿宋_GB2312" w:hAnsi="楷体" w:eastAsia="仿宋_GB2312" w:cs="楷体"/>
                <w:szCs w:val="20"/>
              </w:rPr>
            </w:pPr>
          </w:p>
        </w:tc>
      </w:tr>
      <w:tr w14:paraId="7993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0E499C32">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一致行动人1</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1B5A4106">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0CDF2FC7">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097251B6">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35801CDE">
            <w:pPr>
              <w:adjustRightInd w:val="0"/>
              <w:snapToGrid w:val="0"/>
              <w:spacing w:line="360" w:lineRule="auto"/>
              <w:jc w:val="center"/>
              <w:rPr>
                <w:rFonts w:ascii="仿宋_GB2312" w:hAnsi="楷体" w:eastAsia="仿宋_GB2312" w:cs="楷体"/>
                <w:szCs w:val="20"/>
              </w:rPr>
            </w:pPr>
          </w:p>
        </w:tc>
      </w:tr>
      <w:tr w14:paraId="7E85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1C19B750">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一致行动人2</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1E4AE39A">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21720354">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530E5E47">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13D80120">
            <w:pPr>
              <w:adjustRightInd w:val="0"/>
              <w:snapToGrid w:val="0"/>
              <w:spacing w:line="360" w:lineRule="auto"/>
              <w:jc w:val="center"/>
              <w:rPr>
                <w:rFonts w:ascii="仿宋_GB2312" w:hAnsi="楷体" w:eastAsia="仿宋_GB2312" w:cs="楷体"/>
                <w:szCs w:val="20"/>
              </w:rPr>
            </w:pPr>
          </w:p>
        </w:tc>
      </w:tr>
      <w:tr w14:paraId="1474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1FFDA566">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股东B</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157503E4">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1F3C642F">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5C8F93F2">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34B20DC0">
            <w:pPr>
              <w:adjustRightInd w:val="0"/>
              <w:snapToGrid w:val="0"/>
              <w:spacing w:line="360" w:lineRule="auto"/>
              <w:jc w:val="center"/>
              <w:rPr>
                <w:rFonts w:ascii="仿宋_GB2312" w:hAnsi="楷体" w:eastAsia="仿宋_GB2312" w:cs="楷体"/>
                <w:szCs w:val="20"/>
              </w:rPr>
            </w:pPr>
          </w:p>
        </w:tc>
      </w:tr>
    </w:tbl>
    <w:p w14:paraId="015B6894">
      <w:pPr>
        <w:widowControl/>
        <w:ind w:firstLine="420" w:firstLineChars="200"/>
        <w:rPr>
          <w:rFonts w:ascii="仿宋_GB2312" w:hAnsi="宋体" w:eastAsia="仿宋_GB2312" w:cs="宋体"/>
          <w:color w:val="000000"/>
          <w:kern w:val="0"/>
          <w:sz w:val="24"/>
        </w:rPr>
      </w:pPr>
      <w:r>
        <w:rPr>
          <w:rFonts w:hint="eastAsia" w:ascii="仿宋_GB2312" w:hAnsi="楷体" w:eastAsia="仿宋_GB2312" w:cs="楷体"/>
          <w:szCs w:val="20"/>
        </w:rPr>
        <w:t>注：</w:t>
      </w:r>
      <w:r>
        <w:rPr>
          <w:rFonts w:hint="eastAsia" w:ascii="仿宋_GB2312" w:hAnsi="楷体" w:eastAsia="仿宋_GB2312" w:cs="楷体"/>
        </w:rPr>
        <w:t>股东如有一致行动人参照股东A进行披露，先合并计算持股列示，后单独列示；股东如无一致行动人参照股东B进行披露</w:t>
      </w:r>
      <w:r>
        <w:rPr>
          <w:rFonts w:hint="eastAsia" w:ascii="仿宋_GB2312" w:hAnsi="宋体" w:eastAsia="仿宋_GB2312" w:cs="宋体"/>
          <w:color w:val="000000"/>
          <w:kern w:val="0"/>
          <w:sz w:val="24"/>
        </w:rPr>
        <w:t>。</w:t>
      </w:r>
    </w:p>
    <w:p w14:paraId="06B060F5">
      <w:pPr>
        <w:adjustRightInd w:val="0"/>
        <w:snapToGrid w:val="0"/>
        <w:spacing w:line="560" w:lineRule="exact"/>
        <w:rPr>
          <w:rFonts w:ascii="仿宋" w:hAnsi="仿宋" w:eastAsia="仿宋_GB2312"/>
          <w:bCs/>
          <w:sz w:val="30"/>
          <w:szCs w:val="30"/>
        </w:rPr>
      </w:pPr>
    </w:p>
    <w:p w14:paraId="406DC89A">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五、验资及股份登记情况</w:t>
      </w:r>
    </w:p>
    <w:p w14:paraId="322D3AC7">
      <w:pPr>
        <w:widowControl/>
        <w:adjustRightInd w:val="0"/>
        <w:snapToGrid w:val="0"/>
        <w:spacing w:line="560" w:lineRule="exact"/>
        <w:ind w:firstLine="600" w:firstLineChars="200"/>
        <w:jc w:val="left"/>
        <w:rPr>
          <w:rFonts w:ascii="仿宋_GB2312" w:hAnsi="Arial" w:eastAsia="仿宋_GB2312" w:cs="Arial"/>
          <w:color w:val="000000"/>
          <w:kern w:val="0"/>
          <w:sz w:val="30"/>
          <w:szCs w:val="30"/>
        </w:rPr>
      </w:pPr>
      <w:r>
        <w:rPr>
          <w:rFonts w:ascii="仿宋_GB2312" w:hAnsi="Arial" w:eastAsia="仿宋_GB2312" w:cs="Arial"/>
          <w:color w:val="000000"/>
          <w:kern w:val="0"/>
          <w:sz w:val="30"/>
          <w:szCs w:val="30"/>
        </w:rPr>
        <w:t>应当</w:t>
      </w:r>
      <w:r>
        <w:rPr>
          <w:rFonts w:hint="eastAsia" w:ascii="仿宋_GB2312" w:hAnsi="Arial" w:eastAsia="仿宋_GB2312" w:cs="Arial"/>
          <w:color w:val="000000"/>
          <w:kern w:val="0"/>
          <w:sz w:val="30"/>
          <w:szCs w:val="30"/>
        </w:rPr>
        <w:t>说明会计师事务所对本次行权事项的验资情况以及相关股票在中国证券登记结算有限责任公司上海分公司办理登记手续情况。</w:t>
      </w:r>
    </w:p>
    <w:p w14:paraId="734B9DC4">
      <w:pPr>
        <w:widowControl/>
        <w:adjustRightInd w:val="0"/>
        <w:snapToGrid w:val="0"/>
        <w:spacing w:line="560" w:lineRule="exact"/>
        <w:ind w:firstLine="600" w:firstLineChars="200"/>
        <w:jc w:val="left"/>
        <w:rPr>
          <w:rFonts w:ascii="仿宋_GB2312" w:hAnsi="Arial" w:eastAsia="仿宋_GB2312" w:cs="Arial"/>
          <w:color w:val="000000"/>
          <w:kern w:val="0"/>
          <w:sz w:val="30"/>
          <w:szCs w:val="30"/>
        </w:rPr>
      </w:pPr>
    </w:p>
    <w:p w14:paraId="7C822549">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六、本次募集资金使用计划（如有）</w:t>
      </w:r>
    </w:p>
    <w:p w14:paraId="137BA6A8">
      <w:pPr>
        <w:widowControl/>
        <w:adjustRightInd w:val="0"/>
        <w:snapToGrid w:val="0"/>
        <w:spacing w:line="560" w:lineRule="exact"/>
        <w:ind w:firstLine="600" w:firstLineChars="200"/>
        <w:jc w:val="left"/>
        <w:rPr>
          <w:rFonts w:ascii="仿宋_GB2312" w:hAnsi="Arial" w:eastAsia="仿宋_GB2312" w:cs="Arial"/>
          <w:color w:val="000000"/>
          <w:kern w:val="0"/>
          <w:sz w:val="30"/>
          <w:szCs w:val="30"/>
        </w:rPr>
      </w:pPr>
      <w:r>
        <w:rPr>
          <w:rFonts w:ascii="仿宋_GB2312" w:hAnsi="Arial" w:eastAsia="仿宋_GB2312" w:cs="Arial"/>
          <w:color w:val="000000"/>
          <w:kern w:val="0"/>
          <w:sz w:val="30"/>
          <w:szCs w:val="30"/>
        </w:rPr>
        <w:t>应当</w:t>
      </w:r>
      <w:r>
        <w:rPr>
          <w:rFonts w:hint="eastAsia" w:ascii="仿宋_GB2312" w:hAnsi="Arial" w:eastAsia="仿宋_GB2312" w:cs="Arial"/>
          <w:color w:val="000000"/>
          <w:kern w:val="0"/>
          <w:sz w:val="30"/>
          <w:szCs w:val="30"/>
        </w:rPr>
        <w:t>说明本次股权激励计划行权募集资金总额及使用计划。</w:t>
      </w:r>
    </w:p>
    <w:p w14:paraId="6E2390E6">
      <w:pPr>
        <w:widowControl/>
        <w:adjustRightInd w:val="0"/>
        <w:snapToGrid w:val="0"/>
        <w:spacing w:line="560" w:lineRule="exact"/>
        <w:ind w:firstLine="600" w:firstLineChars="200"/>
        <w:jc w:val="left"/>
        <w:rPr>
          <w:rFonts w:ascii="仿宋_GB2312" w:hAnsi="Arial" w:eastAsia="仿宋_GB2312" w:cs="Arial"/>
          <w:color w:val="000000"/>
          <w:kern w:val="0"/>
          <w:sz w:val="30"/>
          <w:szCs w:val="30"/>
        </w:rPr>
      </w:pPr>
    </w:p>
    <w:p w14:paraId="33C89E87">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七、本次行权后新增股份对最近一期财务报告的影响</w:t>
      </w:r>
    </w:p>
    <w:p w14:paraId="57717386">
      <w:pPr>
        <w:widowControl/>
        <w:adjustRightInd w:val="0"/>
        <w:snapToGrid w:val="0"/>
        <w:spacing w:line="560" w:lineRule="exact"/>
        <w:ind w:firstLine="600" w:firstLineChars="200"/>
        <w:jc w:val="left"/>
        <w:rPr>
          <w:rFonts w:ascii="仿宋_GB2312" w:hAnsi="Arial" w:eastAsia="仿宋_GB2312" w:cs="Arial"/>
          <w:color w:val="000000"/>
          <w:kern w:val="0"/>
          <w:sz w:val="30"/>
          <w:szCs w:val="30"/>
        </w:rPr>
      </w:pPr>
    </w:p>
    <w:p w14:paraId="3DA3A815">
      <w:pPr>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color w:val="000000"/>
          <w:sz w:val="30"/>
          <w:szCs w:val="30"/>
        </w:rPr>
        <w:t>特此公告。</w:t>
      </w:r>
    </w:p>
    <w:p w14:paraId="74AD091B">
      <w:pPr>
        <w:adjustRightInd w:val="0"/>
        <w:snapToGrid w:val="0"/>
        <w:spacing w:line="560" w:lineRule="exact"/>
        <w:jc w:val="right"/>
        <w:rPr>
          <w:rFonts w:ascii="仿宋_GB2312" w:hAnsi="宋体" w:eastAsia="仿宋_GB2312"/>
          <w:color w:val="000000"/>
          <w:sz w:val="30"/>
          <w:szCs w:val="30"/>
        </w:rPr>
      </w:pPr>
    </w:p>
    <w:p w14:paraId="49C68ED5">
      <w:pPr>
        <w:adjustRightInd w:val="0"/>
        <w:snapToGrid w:val="0"/>
        <w:spacing w:line="560" w:lineRule="exact"/>
        <w:ind w:firstLine="600" w:firstLineChars="200"/>
        <w:jc w:val="right"/>
        <w:rPr>
          <w:rFonts w:ascii="仿宋_GB2312" w:hAnsi="宋体" w:eastAsia="仿宋_GB2312"/>
          <w:color w:val="000000"/>
          <w:sz w:val="30"/>
          <w:szCs w:val="30"/>
        </w:rPr>
      </w:pPr>
      <w:r>
        <w:rPr>
          <w:rFonts w:hint="eastAsia" w:ascii="仿宋_GB2312" w:hAnsi="宋体" w:eastAsia="仿宋_GB2312"/>
          <w:color w:val="000000"/>
          <w:sz w:val="30"/>
          <w:szCs w:val="30"/>
        </w:rPr>
        <w:t>XXXX股份有限公司董事会</w:t>
      </w:r>
    </w:p>
    <w:p w14:paraId="4F8C9AD2">
      <w:pPr>
        <w:adjustRightInd w:val="0"/>
        <w:snapToGrid w:val="0"/>
        <w:spacing w:line="560" w:lineRule="exact"/>
        <w:ind w:firstLine="600" w:firstLineChars="200"/>
        <w:jc w:val="right"/>
        <w:rPr>
          <w:rFonts w:ascii="仿宋_GB2312" w:hAnsi="宋体" w:eastAsia="仿宋_GB2312"/>
          <w:color w:val="000000"/>
          <w:sz w:val="30"/>
          <w:szCs w:val="30"/>
        </w:rPr>
      </w:pPr>
      <w:r>
        <w:rPr>
          <w:rFonts w:hint="eastAsia" w:ascii="仿宋_GB2312" w:hAnsi="宋体" w:eastAsia="仿宋_GB2312"/>
          <w:color w:val="000000"/>
          <w:sz w:val="30"/>
          <w:szCs w:val="30"/>
        </w:rPr>
        <w:t>年  月  日</w:t>
      </w:r>
    </w:p>
    <w:p w14:paraId="59471881">
      <w:pPr>
        <w:adjustRightInd w:val="0"/>
        <w:snapToGrid w:val="0"/>
        <w:spacing w:line="560" w:lineRule="exact"/>
        <w:rPr>
          <w:rFonts w:ascii="仿宋_GB2312" w:hAnsi="宋体" w:eastAsia="仿宋_GB2312"/>
          <w:b/>
          <w:color w:val="000000"/>
          <w:sz w:val="30"/>
          <w:szCs w:val="30"/>
        </w:rPr>
      </w:pPr>
    </w:p>
    <w:p w14:paraId="42E7FB60">
      <w:pPr>
        <w:numPr>
          <w:ilvl w:val="0"/>
          <w:numId w:val="8"/>
        </w:numPr>
        <w:adjustRightInd w:val="0"/>
        <w:snapToGrid w:val="0"/>
        <w:spacing w:line="560" w:lineRule="exact"/>
        <w:ind w:left="0" w:firstLine="602" w:firstLineChars="200"/>
        <w:rPr>
          <w:rFonts w:ascii="仿宋_GB2312" w:hAnsi="宋体" w:eastAsia="仿宋_GB2312"/>
          <w:b/>
          <w:color w:val="000000"/>
          <w:sz w:val="30"/>
          <w:szCs w:val="30"/>
        </w:rPr>
      </w:pPr>
      <w:r>
        <w:rPr>
          <w:rFonts w:hint="eastAsia" w:ascii="仿宋_GB2312" w:hAnsi="宋体" w:eastAsia="仿宋_GB2312"/>
          <w:b/>
          <w:color w:val="000000"/>
          <w:sz w:val="30"/>
          <w:szCs w:val="30"/>
        </w:rPr>
        <w:t>报备文件</w:t>
      </w:r>
    </w:p>
    <w:p w14:paraId="79769E58">
      <w:pPr>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中国证券登记结算有限责任公司上海分公司出具的《证券变更登记证明》</w:t>
      </w:r>
    </w:p>
    <w:p w14:paraId="4A0A52CA">
      <w:pPr>
        <w:pStyle w:val="2"/>
        <w:spacing w:before="0" w:after="0" w:line="560" w:lineRule="exact"/>
        <w:ind w:firstLine="723" w:firstLineChars="200"/>
        <w:jc w:val="left"/>
        <w:rPr>
          <w:rFonts w:ascii="黑体" w:hAnsi="黑体" w:cs="Times New Roman"/>
          <w:sz w:val="32"/>
          <w:szCs w:val="32"/>
        </w:rPr>
      </w:pPr>
      <w:bookmarkStart w:id="50" w:name="_Toc1770768500"/>
      <w:bookmarkStart w:id="51" w:name="_Toc57800067"/>
      <w:bookmarkStart w:id="52" w:name="_Toc1394627800"/>
      <w:r>
        <w:br w:type="page"/>
      </w:r>
      <w:bookmarkStart w:id="53" w:name="_Toc101449326"/>
      <w:r>
        <w:rPr>
          <w:rFonts w:hint="eastAsia" w:ascii="黑体" w:hAnsi="黑体" w:cs="Times New Roman"/>
          <w:sz w:val="32"/>
          <w:szCs w:val="32"/>
        </w:rPr>
        <w:t>四、回购注销</w:t>
      </w:r>
      <w:bookmarkEnd w:id="50"/>
      <w:bookmarkEnd w:id="51"/>
      <w:bookmarkEnd w:id="52"/>
      <w:bookmarkEnd w:id="53"/>
    </w:p>
    <w:p w14:paraId="5BE50C95">
      <w:pPr>
        <w:pStyle w:val="3"/>
        <w:spacing w:line="560" w:lineRule="exact"/>
        <w:rPr>
          <w:rFonts w:ascii="黑体" w:hAnsi="黑体"/>
        </w:rPr>
      </w:pPr>
      <w:bookmarkStart w:id="54" w:name="_Toc101449327"/>
      <w:bookmarkStart w:id="55" w:name="_Toc57800068"/>
      <w:r>
        <w:rPr>
          <w:rFonts w:ascii="黑体" w:hAnsi="黑体"/>
        </w:rPr>
        <w:t>7.</w:t>
      </w:r>
      <w:r>
        <w:rPr>
          <w:rFonts w:hint="eastAsia" w:ascii="黑体" w:hAnsi="黑体"/>
        </w:rPr>
        <w:t>上市公司股权激励限制性股票回购注销实施公告</w:t>
      </w:r>
      <w:bookmarkEnd w:id="54"/>
      <w:bookmarkEnd w:id="55"/>
    </w:p>
    <w:p w14:paraId="16617CBA">
      <w:pPr>
        <w:spacing w:line="560" w:lineRule="exact"/>
        <w:rPr>
          <w:rFonts w:ascii="仿宋_GB2312" w:eastAsia="仿宋_GB2312"/>
          <w:sz w:val="30"/>
          <w:szCs w:val="30"/>
        </w:rPr>
      </w:pPr>
    </w:p>
    <w:p w14:paraId="45453A86">
      <w:pPr>
        <w:tabs>
          <w:tab w:val="left" w:pos="720"/>
        </w:tabs>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14:paraId="74D51EF5">
      <w:pPr>
        <w:snapToGrid w:val="0"/>
        <w:spacing w:line="56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本公告格式适用于上市公司股权激励限制性股票授予后，需向部分或全部激励对象回购已获授的限制性股票并注销情形的信息披露。</w:t>
      </w:r>
    </w:p>
    <w:p w14:paraId="7F7E7842">
      <w:pPr>
        <w:adjustRightInd w:val="0"/>
        <w:snapToGrid w:val="0"/>
        <w:spacing w:line="560" w:lineRule="exact"/>
        <w:ind w:firstLine="1050" w:firstLineChars="350"/>
        <w:rPr>
          <w:rFonts w:ascii="仿宋_GB2312" w:hAnsi="宋体" w:eastAsia="仿宋_GB2312"/>
          <w:sz w:val="30"/>
          <w:szCs w:val="30"/>
        </w:rPr>
      </w:pPr>
    </w:p>
    <w:p w14:paraId="22BA6E1E">
      <w:pPr>
        <w:widowControl/>
        <w:adjustRightInd w:val="0"/>
        <w:snapToGrid w:val="0"/>
        <w:spacing w:line="560" w:lineRule="exact"/>
        <w:rPr>
          <w:rFonts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证券代码：</w:t>
      </w:r>
      <w:r>
        <w:rPr>
          <w:rFonts w:ascii="仿宋_GB2312" w:hAnsi="仿宋" w:eastAsia="仿宋_GB2312" w:cs="宋体"/>
          <w:color w:val="000000"/>
          <w:kern w:val="0"/>
          <w:sz w:val="30"/>
          <w:szCs w:val="30"/>
        </w:rPr>
        <w:t xml:space="preserve">             </w:t>
      </w:r>
      <w:r>
        <w:rPr>
          <w:rFonts w:hint="eastAsia" w:ascii="仿宋_GB2312" w:hAnsi="仿宋" w:eastAsia="仿宋_GB2312" w:cs="宋体"/>
          <w:color w:val="000000"/>
          <w:kern w:val="0"/>
          <w:sz w:val="30"/>
          <w:szCs w:val="30"/>
        </w:rPr>
        <w:t>证券简称：</w:t>
      </w:r>
      <w:r>
        <w:rPr>
          <w:rFonts w:ascii="仿宋_GB2312" w:hAnsi="仿宋" w:eastAsia="仿宋_GB2312" w:cs="宋体"/>
          <w:color w:val="000000"/>
          <w:kern w:val="0"/>
          <w:sz w:val="30"/>
          <w:szCs w:val="30"/>
        </w:rPr>
        <w:t xml:space="preserve">            </w:t>
      </w:r>
      <w:r>
        <w:rPr>
          <w:rFonts w:hint="eastAsia" w:ascii="仿宋_GB2312" w:hAnsi="仿宋" w:eastAsia="仿宋_GB2312" w:cs="宋体"/>
          <w:color w:val="000000"/>
          <w:kern w:val="0"/>
          <w:sz w:val="30"/>
          <w:szCs w:val="30"/>
        </w:rPr>
        <w:t>公告编号：</w:t>
      </w:r>
    </w:p>
    <w:p w14:paraId="26F13222">
      <w:pPr>
        <w:adjustRightInd w:val="0"/>
        <w:snapToGrid w:val="0"/>
        <w:spacing w:line="560" w:lineRule="exact"/>
        <w:jc w:val="center"/>
        <w:rPr>
          <w:rFonts w:ascii="仿宋_GB2312" w:hAnsi="宋体" w:eastAsia="仿宋_GB2312"/>
          <w:sz w:val="30"/>
          <w:szCs w:val="30"/>
        </w:rPr>
      </w:pPr>
    </w:p>
    <w:p w14:paraId="0E5C20A7">
      <w:pPr>
        <w:adjustRightInd w:val="0"/>
        <w:snapToGrid w:val="0"/>
        <w:spacing w:line="560" w:lineRule="exact"/>
        <w:jc w:val="center"/>
        <w:rPr>
          <w:rFonts w:ascii="仿宋_GB2312" w:hAnsi="宋体" w:eastAsia="仿宋_GB2312"/>
          <w:bCs/>
          <w:sz w:val="30"/>
          <w:szCs w:val="30"/>
        </w:rPr>
      </w:pPr>
      <w:r>
        <w:rPr>
          <w:rFonts w:hint="eastAsia" w:ascii="仿宋_GB2312" w:hAnsi="宋体" w:eastAsia="仿宋_GB2312"/>
          <w:bCs/>
          <w:sz w:val="30"/>
          <w:szCs w:val="30"/>
        </w:rPr>
        <w:t>XXXX股份有限公司股权激励限制性股票回购注销实施公告</w:t>
      </w:r>
    </w:p>
    <w:p w14:paraId="44F397FA">
      <w:pPr>
        <w:adjustRightInd w:val="0"/>
        <w:snapToGrid w:val="0"/>
        <w:spacing w:line="560" w:lineRule="exact"/>
        <w:jc w:val="center"/>
        <w:rPr>
          <w:rFonts w:ascii="仿宋_GB2312" w:hAnsi="宋体" w:eastAsia="仿宋_GB2312"/>
          <w:b/>
          <w:sz w:val="30"/>
          <w:szCs w:val="30"/>
        </w:rPr>
      </w:pPr>
    </w:p>
    <w:p w14:paraId="364B94D5">
      <w:pPr>
        <w:pBdr>
          <w:top w:val="single" w:color="auto" w:sz="4" w:space="1"/>
          <w:left w:val="single" w:color="auto" w:sz="4" w:space="4"/>
          <w:bottom w:val="single" w:color="auto" w:sz="4" w:space="2"/>
          <w:right w:val="single" w:color="auto" w:sz="4" w:space="4"/>
        </w:pBdr>
        <w:adjustRightIn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本公司董事会及全体董事保证本公告内容不存在任何虚假记载、误导性陈述或者重大遗漏，并对其内容的真实性、准确性和完整性承担法律责任。</w:t>
      </w:r>
    </w:p>
    <w:p w14:paraId="30E989E0">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w:t>
      </w:r>
      <w:r>
        <w:rPr>
          <w:rFonts w:ascii="仿宋_GB2312" w:hAnsi="宋体" w:eastAsia="仿宋_GB2312"/>
          <w:color w:val="000000"/>
          <w:sz w:val="30"/>
          <w:szCs w:val="30"/>
        </w:rPr>
        <w:t>应当</w:t>
      </w:r>
      <w:r>
        <w:rPr>
          <w:rFonts w:hint="eastAsia" w:ascii="仿宋_GB2312" w:hAnsi="宋体" w:eastAsia="仿宋_GB2312"/>
          <w:color w:val="000000"/>
          <w:sz w:val="30"/>
          <w:szCs w:val="30"/>
        </w:rPr>
        <w:t>在公告中作特别提示。</w:t>
      </w:r>
    </w:p>
    <w:p w14:paraId="63F0119A">
      <w:pPr>
        <w:adjustRightInd w:val="0"/>
        <w:snapToGrid w:val="0"/>
        <w:spacing w:line="560" w:lineRule="exact"/>
        <w:jc w:val="center"/>
        <w:rPr>
          <w:rFonts w:ascii="仿宋_GB2312" w:hAnsi="宋体" w:eastAsia="仿宋_GB2312"/>
          <w:b/>
          <w:sz w:val="30"/>
          <w:szCs w:val="30"/>
        </w:rPr>
      </w:pPr>
    </w:p>
    <w:p w14:paraId="608E9242">
      <w:pPr>
        <w:adjustRightInd w:val="0"/>
        <w:snapToGrid w:val="0"/>
        <w:spacing w:line="560" w:lineRule="exact"/>
        <w:rPr>
          <w:rFonts w:ascii="仿宋_GB2312" w:hAnsi="宋体" w:eastAsia="仿宋_GB2312"/>
          <w:b/>
          <w:bCs/>
          <w:sz w:val="30"/>
          <w:szCs w:val="30"/>
        </w:rPr>
      </w:pPr>
      <w:r>
        <w:rPr>
          <w:rFonts w:ascii="仿宋_GB2312" w:hAnsi="宋体" w:eastAsia="仿宋_GB2312"/>
          <w:sz w:val="30"/>
          <w:szCs w:val="30"/>
        </w:rPr>
        <w:t xml:space="preserve">    </w:t>
      </w:r>
      <w:r>
        <w:rPr>
          <w:rFonts w:hint="eastAsia" w:ascii="仿宋_GB2312" w:hAnsi="宋体" w:eastAsia="仿宋_GB2312"/>
          <w:b/>
          <w:bCs/>
          <w:sz w:val="30"/>
          <w:szCs w:val="30"/>
        </w:rPr>
        <w:t>重要内容提示：</w:t>
      </w:r>
    </w:p>
    <w:p w14:paraId="443BA79A">
      <w:pPr>
        <w:pStyle w:val="27"/>
        <w:widowControl/>
        <w:numPr>
          <w:ilvl w:val="0"/>
          <w:numId w:val="9"/>
        </w:numPr>
        <w:adjustRightInd w:val="0"/>
        <w:snapToGrid w:val="0"/>
        <w:spacing w:line="560" w:lineRule="exact"/>
        <w:ind w:firstLine="600"/>
        <w:rPr>
          <w:rFonts w:ascii="仿宋_GB2312" w:hAnsi="宋体" w:eastAsia="仿宋_GB2312"/>
          <w:sz w:val="30"/>
          <w:szCs w:val="30"/>
        </w:rPr>
      </w:pPr>
      <w:r>
        <w:rPr>
          <w:rFonts w:hint="eastAsia" w:ascii="仿宋_GB2312" w:hAnsi="Times New Roman" w:eastAsia="仿宋_GB2312"/>
          <w:sz w:val="30"/>
          <w:szCs w:val="30"/>
        </w:rPr>
        <w:t>回购注销原因：回购股权激励限制性股票并注销/其他（自行填写）</w:t>
      </w:r>
    </w:p>
    <w:p w14:paraId="0C97549A">
      <w:pPr>
        <w:pStyle w:val="27"/>
        <w:widowControl/>
        <w:numPr>
          <w:ilvl w:val="0"/>
          <w:numId w:val="9"/>
        </w:numPr>
        <w:adjustRightInd w:val="0"/>
        <w:snapToGrid w:val="0"/>
        <w:spacing w:line="560" w:lineRule="exact"/>
        <w:ind w:firstLine="600"/>
        <w:rPr>
          <w:rFonts w:ascii="仿宋_GB2312" w:hAnsi="宋体" w:eastAsia="仿宋_GB2312"/>
          <w:sz w:val="30"/>
          <w:szCs w:val="30"/>
        </w:rPr>
      </w:pPr>
      <w:r>
        <w:rPr>
          <w:rFonts w:hint="eastAsia" w:ascii="仿宋_GB2312" w:hAnsi="宋体" w:eastAsia="仿宋_GB2312"/>
          <w:sz w:val="30"/>
          <w:szCs w:val="30"/>
        </w:rPr>
        <w:t>本次注销股份的有关情况</w:t>
      </w:r>
    </w:p>
    <w:tbl>
      <w:tblPr>
        <w:tblStyle w:val="16"/>
        <w:tblW w:w="0" w:type="auto"/>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55"/>
        <w:gridCol w:w="2265"/>
        <w:gridCol w:w="3260"/>
      </w:tblGrid>
      <w:tr w14:paraId="43F986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5" w:type="dxa"/>
            <w:vAlign w:val="center"/>
          </w:tcPr>
          <w:p w14:paraId="389219DB">
            <w:pPr>
              <w:snapToGrid w:val="0"/>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回购股份数量</w:t>
            </w:r>
          </w:p>
        </w:tc>
        <w:tc>
          <w:tcPr>
            <w:tcW w:w="2265" w:type="dxa"/>
            <w:vAlign w:val="center"/>
          </w:tcPr>
          <w:p w14:paraId="29492E95">
            <w:pPr>
              <w:snapToGrid w:val="0"/>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注销股份数量</w:t>
            </w:r>
          </w:p>
        </w:tc>
        <w:tc>
          <w:tcPr>
            <w:tcW w:w="3260" w:type="dxa"/>
            <w:vAlign w:val="center"/>
          </w:tcPr>
          <w:p w14:paraId="7AD0814E">
            <w:pPr>
              <w:snapToGrid w:val="0"/>
              <w:spacing w:line="560" w:lineRule="exact"/>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注销日期</w:t>
            </w:r>
          </w:p>
        </w:tc>
      </w:tr>
      <w:tr w14:paraId="3EF902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5" w:type="dxa"/>
          </w:tcPr>
          <w:p w14:paraId="5305A9D0">
            <w:pPr>
              <w:snapToGrid w:val="0"/>
              <w:spacing w:line="560" w:lineRule="exact"/>
              <w:jc w:val="center"/>
              <w:rPr>
                <w:rFonts w:ascii="仿宋_GB2312" w:hAnsi="宋体" w:eastAsia="仿宋_GB2312" w:cs="Times New Roman"/>
                <w:kern w:val="0"/>
                <w:sz w:val="24"/>
                <w:szCs w:val="24"/>
              </w:rPr>
            </w:pPr>
          </w:p>
        </w:tc>
        <w:tc>
          <w:tcPr>
            <w:tcW w:w="2265" w:type="dxa"/>
          </w:tcPr>
          <w:p w14:paraId="7884BC12">
            <w:pPr>
              <w:snapToGrid w:val="0"/>
              <w:spacing w:line="560" w:lineRule="exact"/>
              <w:jc w:val="center"/>
              <w:rPr>
                <w:rFonts w:ascii="仿宋_GB2312" w:hAnsi="宋体" w:eastAsia="仿宋_GB2312" w:cs="Times New Roman"/>
                <w:kern w:val="0"/>
                <w:sz w:val="24"/>
                <w:szCs w:val="24"/>
              </w:rPr>
            </w:pPr>
          </w:p>
        </w:tc>
        <w:tc>
          <w:tcPr>
            <w:tcW w:w="3260" w:type="dxa"/>
          </w:tcPr>
          <w:p w14:paraId="4C064780">
            <w:pPr>
              <w:snapToGrid w:val="0"/>
              <w:spacing w:line="560" w:lineRule="exact"/>
              <w:jc w:val="center"/>
              <w:rPr>
                <w:rFonts w:ascii="仿宋_GB2312" w:hAnsi="宋体" w:eastAsia="仿宋_GB2312" w:cs="Times New Roman"/>
                <w:kern w:val="0"/>
                <w:sz w:val="24"/>
                <w:szCs w:val="24"/>
              </w:rPr>
            </w:pPr>
          </w:p>
        </w:tc>
      </w:tr>
    </w:tbl>
    <w:p w14:paraId="08C704A7">
      <w:pPr>
        <w:adjustRightInd w:val="0"/>
        <w:snapToGrid w:val="0"/>
        <w:spacing w:line="560" w:lineRule="exact"/>
        <w:ind w:left="480"/>
        <w:rPr>
          <w:rFonts w:ascii="仿宋_GB2312" w:hAnsi="宋体" w:eastAsia="仿宋_GB2312"/>
          <w:sz w:val="30"/>
          <w:szCs w:val="30"/>
        </w:rPr>
      </w:pPr>
    </w:p>
    <w:p w14:paraId="3C599407">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一、本次限制性股票回购注销的决策与信息披露</w:t>
      </w:r>
    </w:p>
    <w:p w14:paraId="0A3C2476">
      <w:pPr>
        <w:spacing w:line="560" w:lineRule="exact"/>
        <w:ind w:firstLine="600" w:firstLineChars="200"/>
        <w:rPr>
          <w:rFonts w:ascii="仿宋_GB2312" w:eastAsia="仿宋_GB2312" w:hAnsiTheme="majorEastAsia"/>
          <w:kern w:val="0"/>
          <w:sz w:val="30"/>
          <w:szCs w:val="30"/>
        </w:rPr>
      </w:pPr>
      <w:r>
        <w:rPr>
          <w:rFonts w:hint="eastAsia" w:ascii="仿宋_GB2312" w:eastAsia="仿宋_GB2312" w:hAnsiTheme="majorEastAsia"/>
          <w:kern w:val="0"/>
          <w:sz w:val="30"/>
          <w:szCs w:val="30"/>
        </w:rPr>
        <w:t>说明本次股权激励限制性股票回购注销事项的决策程序及相</w:t>
      </w:r>
      <w:r>
        <w:rPr>
          <w:rFonts w:ascii="仿宋_GB2312" w:eastAsia="仿宋_GB2312" w:hAnsiTheme="majorEastAsia"/>
          <w:kern w:val="0"/>
          <w:sz w:val="30"/>
          <w:szCs w:val="30"/>
        </w:rPr>
        <w:t>应当</w:t>
      </w:r>
      <w:r>
        <w:rPr>
          <w:rFonts w:hint="eastAsia" w:ascii="仿宋_GB2312" w:eastAsia="仿宋_GB2312" w:hAnsiTheme="majorEastAsia"/>
          <w:kern w:val="0"/>
          <w:sz w:val="30"/>
          <w:szCs w:val="30"/>
        </w:rPr>
        <w:t>信息披露日期。说明公司已根据法律规定就本次股份回购注销事项履行通知债权人程序，并披露债权人要求提前清偿或提供担保的情况及公司相</w:t>
      </w:r>
      <w:r>
        <w:rPr>
          <w:rFonts w:ascii="仿宋_GB2312" w:eastAsia="仿宋_GB2312" w:hAnsiTheme="majorEastAsia"/>
          <w:kern w:val="0"/>
          <w:sz w:val="30"/>
          <w:szCs w:val="30"/>
        </w:rPr>
        <w:t>应</w:t>
      </w:r>
      <w:r>
        <w:rPr>
          <w:rFonts w:hint="eastAsia" w:ascii="仿宋_GB2312" w:eastAsia="仿宋_GB2312" w:hAnsiTheme="majorEastAsia"/>
          <w:kern w:val="0"/>
          <w:sz w:val="30"/>
          <w:szCs w:val="30"/>
        </w:rPr>
        <w:t>处理情况。</w:t>
      </w:r>
    </w:p>
    <w:p w14:paraId="6C60F5C5">
      <w:pPr>
        <w:spacing w:line="560" w:lineRule="exact"/>
        <w:ind w:firstLine="600" w:firstLineChars="200"/>
        <w:rPr>
          <w:rFonts w:ascii="仿宋_GB2312" w:eastAsia="仿宋_GB2312" w:hAnsiTheme="majorEastAsia"/>
          <w:kern w:val="0"/>
          <w:sz w:val="30"/>
          <w:szCs w:val="30"/>
        </w:rPr>
      </w:pPr>
    </w:p>
    <w:p w14:paraId="6C5D0E51">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二、本次限制性股票回购注销情况</w:t>
      </w:r>
    </w:p>
    <w:p w14:paraId="1144763B">
      <w:pPr>
        <w:adjustRightInd w:val="0"/>
        <w:spacing w:line="560" w:lineRule="exact"/>
        <w:ind w:firstLine="600" w:firstLineChars="200"/>
        <w:rPr>
          <w:rFonts w:ascii="仿宋_GB2312" w:eastAsia="仿宋_GB2312"/>
          <w:kern w:val="0"/>
          <w:sz w:val="30"/>
          <w:szCs w:val="30"/>
        </w:rPr>
      </w:pPr>
      <w:r>
        <w:rPr>
          <w:rFonts w:hint="eastAsia" w:ascii="仿宋_GB2312" w:eastAsia="仿宋_GB2312"/>
          <w:kern w:val="0"/>
          <w:sz w:val="30"/>
          <w:szCs w:val="30"/>
        </w:rPr>
        <w:t>（一）本次回购注销限制性股票的原因及依据</w:t>
      </w:r>
    </w:p>
    <w:p w14:paraId="17211352">
      <w:pPr>
        <w:adjustRightInd w:val="0"/>
        <w:spacing w:line="560" w:lineRule="exact"/>
        <w:ind w:firstLine="600" w:firstLineChars="200"/>
        <w:rPr>
          <w:rFonts w:ascii="仿宋_GB2312" w:eastAsia="仿宋_GB2312"/>
          <w:kern w:val="0"/>
          <w:sz w:val="30"/>
          <w:szCs w:val="30"/>
        </w:rPr>
      </w:pPr>
      <w:r>
        <w:rPr>
          <w:rFonts w:hint="eastAsia" w:ascii="仿宋_GB2312" w:eastAsia="仿宋_GB2312"/>
          <w:kern w:val="0"/>
          <w:sz w:val="30"/>
          <w:szCs w:val="30"/>
        </w:rPr>
        <w:t>披露本次回购注销限制性股票的原因及依据；说明根据</w:t>
      </w:r>
      <w:r>
        <w:rPr>
          <w:rFonts w:hint="eastAsia" w:ascii="仿宋_GB2312" w:eastAsia="仿宋_GB2312" w:cs="华文中宋" w:hAnsiTheme="minorEastAsia"/>
          <w:kern w:val="0"/>
          <w:sz w:val="30"/>
          <w:szCs w:val="30"/>
        </w:rPr>
        <w:t>《上市公司股权激励管理办法》</w:t>
      </w:r>
      <w:r>
        <w:rPr>
          <w:rFonts w:hint="eastAsia" w:ascii="仿宋_GB2312" w:eastAsia="仿宋_GB2312"/>
          <w:kern w:val="0"/>
          <w:sz w:val="30"/>
          <w:szCs w:val="30"/>
        </w:rPr>
        <w:t>等相关法律规定，以及公司股权激励计划、限制性股票授予协议，公司有权单方面回购注销本次股权激励授予的限制性股票。</w:t>
      </w:r>
    </w:p>
    <w:p w14:paraId="4522AD3D">
      <w:pPr>
        <w:adjustRightInd w:val="0"/>
        <w:spacing w:line="560" w:lineRule="exact"/>
        <w:ind w:firstLine="600" w:firstLineChars="200"/>
        <w:rPr>
          <w:rFonts w:ascii="仿宋_GB2312" w:eastAsia="仿宋_GB2312"/>
          <w:kern w:val="0"/>
          <w:sz w:val="30"/>
          <w:szCs w:val="30"/>
        </w:rPr>
      </w:pPr>
      <w:r>
        <w:rPr>
          <w:rFonts w:hint="eastAsia" w:ascii="仿宋_GB2312" w:eastAsia="仿宋_GB2312"/>
          <w:kern w:val="0"/>
          <w:sz w:val="30"/>
          <w:szCs w:val="30"/>
        </w:rPr>
        <w:t>（二）本次回购注销的相关人员、数量</w:t>
      </w:r>
    </w:p>
    <w:p w14:paraId="6960EE5F">
      <w:pPr>
        <w:adjustRightInd w:val="0"/>
        <w:spacing w:line="560" w:lineRule="exact"/>
        <w:ind w:firstLine="600" w:firstLineChars="200"/>
        <w:rPr>
          <w:rFonts w:ascii="仿宋_GB2312" w:eastAsia="仿宋_GB2312"/>
          <w:kern w:val="0"/>
          <w:sz w:val="30"/>
          <w:szCs w:val="30"/>
        </w:rPr>
      </w:pPr>
      <w:r>
        <w:rPr>
          <w:rFonts w:hint="eastAsia" w:ascii="仿宋_GB2312" w:eastAsia="仿宋_GB2312"/>
          <w:kern w:val="0"/>
          <w:sz w:val="30"/>
          <w:szCs w:val="30"/>
        </w:rPr>
        <w:t>本次回购注销限制性股票涉及***（职务、姓名）等____人，合计拟回购注销限制性股票______股；本次回购注销完成后，剩余股权激励限制性股票</w:t>
      </w:r>
      <w:r>
        <w:rPr>
          <w:rFonts w:hint="eastAsia" w:ascii="仿宋_GB2312" w:eastAsia="仿宋_GB2312"/>
          <w:kern w:val="0"/>
          <w:sz w:val="30"/>
          <w:szCs w:val="30"/>
          <w:u w:val="single"/>
        </w:rPr>
        <w:t xml:space="preserve">    </w:t>
      </w:r>
      <w:r>
        <w:rPr>
          <w:rFonts w:hint="eastAsia" w:ascii="仿宋_GB2312" w:eastAsia="仿宋_GB2312"/>
          <w:kern w:val="0"/>
          <w:sz w:val="30"/>
          <w:szCs w:val="30"/>
        </w:rPr>
        <w:t>股。</w:t>
      </w:r>
    </w:p>
    <w:p w14:paraId="03184649">
      <w:pPr>
        <w:adjustRightInd w:val="0"/>
        <w:spacing w:line="560" w:lineRule="exact"/>
        <w:ind w:firstLine="600" w:firstLineChars="200"/>
        <w:rPr>
          <w:rFonts w:ascii="仿宋_GB2312" w:eastAsia="仿宋_GB2312"/>
          <w:kern w:val="0"/>
          <w:sz w:val="30"/>
          <w:szCs w:val="30"/>
        </w:rPr>
      </w:pPr>
      <w:r>
        <w:rPr>
          <w:rFonts w:hint="eastAsia" w:ascii="仿宋_GB2312" w:eastAsia="仿宋_GB2312"/>
          <w:kern w:val="0"/>
          <w:sz w:val="30"/>
          <w:szCs w:val="30"/>
        </w:rPr>
        <w:t>（三）回购注销安排</w:t>
      </w:r>
    </w:p>
    <w:p w14:paraId="4CEBB31D">
      <w:pPr>
        <w:adjustRightInd w:val="0"/>
        <w:spacing w:line="560" w:lineRule="exact"/>
        <w:ind w:firstLine="600" w:firstLineChars="200"/>
        <w:rPr>
          <w:rFonts w:ascii="仿宋_GB2312" w:eastAsia="仿宋_GB2312"/>
          <w:kern w:val="0"/>
          <w:sz w:val="30"/>
          <w:szCs w:val="30"/>
        </w:rPr>
      </w:pPr>
      <w:r>
        <w:rPr>
          <w:rFonts w:hint="eastAsia" w:ascii="仿宋_GB2312" w:eastAsia="仿宋_GB2312"/>
          <w:kern w:val="0"/>
          <w:sz w:val="30"/>
          <w:szCs w:val="30"/>
        </w:rPr>
        <w:t>说明本次回购股份专用账户开立情况。</w:t>
      </w:r>
    </w:p>
    <w:p w14:paraId="34F7F994">
      <w:pPr>
        <w:adjustRightInd w:val="0"/>
        <w:spacing w:line="560" w:lineRule="exact"/>
        <w:ind w:firstLine="600" w:firstLineChars="200"/>
        <w:rPr>
          <w:rFonts w:ascii="仿宋_GB2312" w:eastAsia="仿宋_GB2312"/>
          <w:kern w:val="0"/>
          <w:sz w:val="30"/>
          <w:szCs w:val="30"/>
        </w:rPr>
      </w:pPr>
      <w:r>
        <w:rPr>
          <w:rFonts w:hint="eastAsia" w:ascii="仿宋_GB2312" w:eastAsia="仿宋_GB2312"/>
          <w:kern w:val="0"/>
          <w:sz w:val="30"/>
          <w:szCs w:val="30"/>
        </w:rPr>
        <w:t>预计本次限制性股票于 ****年**月**日完成注销。</w:t>
      </w:r>
    </w:p>
    <w:p w14:paraId="5327E380">
      <w:pPr>
        <w:adjustRightInd w:val="0"/>
        <w:spacing w:line="560" w:lineRule="exact"/>
        <w:ind w:firstLine="600" w:firstLineChars="200"/>
        <w:rPr>
          <w:rFonts w:ascii="仿宋_GB2312" w:eastAsia="仿宋_GB2312"/>
          <w:kern w:val="0"/>
          <w:sz w:val="30"/>
          <w:szCs w:val="30"/>
        </w:rPr>
      </w:pPr>
    </w:p>
    <w:p w14:paraId="739A1B07">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三、回购注销限制性股票后公司股份结构变动情况</w:t>
      </w:r>
    </w:p>
    <w:p w14:paraId="3950ABEF">
      <w:pPr>
        <w:widowControl/>
        <w:spacing w:line="560" w:lineRule="exact"/>
        <w:ind w:firstLine="465"/>
        <w:rPr>
          <w:rFonts w:ascii="仿宋_GB2312" w:eastAsia="仿宋_GB2312"/>
          <w:kern w:val="0"/>
          <w:sz w:val="30"/>
          <w:szCs w:val="30"/>
        </w:rPr>
      </w:pPr>
      <w:r>
        <w:rPr>
          <w:rFonts w:hint="eastAsia" w:ascii="仿宋_GB2312" w:eastAsia="仿宋_GB2312"/>
          <w:kern w:val="0"/>
          <w:sz w:val="30"/>
          <w:szCs w:val="30"/>
        </w:rPr>
        <w:t>公司本次回购注销限制性股票后，公司股本结构变动情况如下：</w:t>
      </w:r>
    </w:p>
    <w:p w14:paraId="12F891F6">
      <w:pPr>
        <w:widowControl/>
        <w:spacing w:line="560" w:lineRule="exact"/>
        <w:ind w:firstLine="465"/>
        <w:rPr>
          <w:rFonts w:ascii="仿宋_GB2312" w:eastAsia="仿宋_GB2312"/>
          <w:kern w:val="0"/>
          <w:sz w:val="30"/>
          <w:szCs w:val="30"/>
        </w:rPr>
      </w:pPr>
    </w:p>
    <w:tbl>
      <w:tblPr>
        <w:tblStyle w:val="15"/>
        <w:tblW w:w="4804"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3"/>
        <w:gridCol w:w="1490"/>
        <w:gridCol w:w="2126"/>
        <w:gridCol w:w="1559"/>
      </w:tblGrid>
      <w:tr w14:paraId="1A9B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840" w:type="pct"/>
            <w:shd w:val="clear" w:color="auto" w:fill="auto"/>
            <w:noWrap/>
            <w:vAlign w:val="center"/>
          </w:tcPr>
          <w:p w14:paraId="1D64532C">
            <w:pPr>
              <w:widowControl/>
              <w:adjustRightInd w:val="0"/>
              <w:snapToGrid w:val="0"/>
              <w:spacing w:line="560" w:lineRule="exact"/>
              <w:rPr>
                <w:rFonts w:ascii="仿宋_GB2312" w:hAnsi="宋体" w:eastAsia="仿宋_GB2312"/>
                <w:sz w:val="24"/>
                <w:szCs w:val="24"/>
              </w:rPr>
            </w:pPr>
          </w:p>
        </w:tc>
        <w:tc>
          <w:tcPr>
            <w:tcW w:w="910" w:type="pct"/>
            <w:shd w:val="clear" w:color="auto" w:fill="auto"/>
            <w:noWrap/>
            <w:vAlign w:val="center"/>
          </w:tcPr>
          <w:p w14:paraId="30024E5A">
            <w:pPr>
              <w:snapToGrid w:val="0"/>
              <w:spacing w:line="560" w:lineRule="exact"/>
              <w:jc w:val="center"/>
              <w:rPr>
                <w:rFonts w:ascii="仿宋_GB2312" w:hAnsi="宋体" w:eastAsia="仿宋_GB2312"/>
                <w:b/>
                <w:kern w:val="0"/>
                <w:sz w:val="24"/>
                <w:szCs w:val="24"/>
              </w:rPr>
            </w:pPr>
            <w:r>
              <w:rPr>
                <w:rFonts w:hint="eastAsia" w:ascii="仿宋_GB2312" w:hAnsi="宋体" w:eastAsia="仿宋_GB2312"/>
                <w:b/>
                <w:kern w:val="0"/>
                <w:sz w:val="24"/>
                <w:szCs w:val="24"/>
              </w:rPr>
              <w:t>变动前</w:t>
            </w:r>
          </w:p>
        </w:tc>
        <w:tc>
          <w:tcPr>
            <w:tcW w:w="1298" w:type="pct"/>
            <w:vAlign w:val="center"/>
          </w:tcPr>
          <w:p w14:paraId="78662184">
            <w:pPr>
              <w:snapToGrid w:val="0"/>
              <w:spacing w:line="560" w:lineRule="exact"/>
              <w:jc w:val="center"/>
              <w:rPr>
                <w:rFonts w:ascii="仿宋_GB2312" w:hAnsi="宋体" w:eastAsia="仿宋_GB2312"/>
                <w:b/>
                <w:kern w:val="0"/>
                <w:sz w:val="24"/>
                <w:szCs w:val="24"/>
              </w:rPr>
            </w:pPr>
            <w:r>
              <w:rPr>
                <w:rFonts w:hint="eastAsia" w:ascii="仿宋_GB2312" w:hAnsi="宋体" w:eastAsia="仿宋_GB2312"/>
                <w:b/>
                <w:kern w:val="0"/>
                <w:sz w:val="24"/>
                <w:szCs w:val="24"/>
              </w:rPr>
              <w:t>变动数</w:t>
            </w:r>
          </w:p>
        </w:tc>
        <w:tc>
          <w:tcPr>
            <w:tcW w:w="952" w:type="pct"/>
            <w:shd w:val="clear" w:color="auto" w:fill="auto"/>
            <w:noWrap/>
            <w:vAlign w:val="center"/>
          </w:tcPr>
          <w:p w14:paraId="201CDE5A">
            <w:pPr>
              <w:snapToGrid w:val="0"/>
              <w:spacing w:line="560" w:lineRule="exact"/>
              <w:jc w:val="center"/>
              <w:rPr>
                <w:rFonts w:ascii="仿宋_GB2312" w:hAnsi="宋体" w:eastAsia="仿宋_GB2312"/>
                <w:b/>
                <w:kern w:val="0"/>
                <w:sz w:val="24"/>
                <w:szCs w:val="24"/>
              </w:rPr>
            </w:pPr>
            <w:r>
              <w:rPr>
                <w:rFonts w:hint="eastAsia" w:ascii="仿宋_GB2312" w:hAnsi="宋体" w:eastAsia="仿宋_GB2312"/>
                <w:b/>
                <w:kern w:val="0"/>
                <w:sz w:val="24"/>
                <w:szCs w:val="24"/>
              </w:rPr>
              <w:t>变动后</w:t>
            </w:r>
          </w:p>
        </w:tc>
      </w:tr>
      <w:tr w14:paraId="5334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40" w:type="pct"/>
            <w:shd w:val="clear" w:color="auto" w:fill="auto"/>
          </w:tcPr>
          <w:p w14:paraId="49AE00AE">
            <w:pPr>
              <w:spacing w:line="560" w:lineRule="exact"/>
              <w:rPr>
                <w:rFonts w:ascii="仿宋_GB2312" w:hAnsi="宋体" w:eastAsia="仿宋_GB2312"/>
                <w:sz w:val="24"/>
                <w:szCs w:val="24"/>
              </w:rPr>
            </w:pPr>
            <w:r>
              <w:rPr>
                <w:rFonts w:hint="eastAsia" w:ascii="仿宋_GB2312" w:hAnsi="宋体" w:eastAsia="仿宋_GB2312"/>
                <w:sz w:val="24"/>
                <w:szCs w:val="24"/>
              </w:rPr>
              <w:t>有限售条件的流通股</w:t>
            </w:r>
          </w:p>
        </w:tc>
        <w:tc>
          <w:tcPr>
            <w:tcW w:w="910" w:type="pct"/>
            <w:shd w:val="clear" w:color="auto" w:fill="auto"/>
            <w:noWrap/>
            <w:vAlign w:val="center"/>
          </w:tcPr>
          <w:p w14:paraId="7B4298B8">
            <w:pPr>
              <w:widowControl/>
              <w:adjustRightInd w:val="0"/>
              <w:snapToGrid w:val="0"/>
              <w:spacing w:line="560" w:lineRule="exact"/>
              <w:jc w:val="right"/>
              <w:rPr>
                <w:rFonts w:ascii="仿宋_GB2312" w:hAnsi="宋体" w:eastAsia="仿宋_GB2312"/>
                <w:sz w:val="24"/>
                <w:szCs w:val="24"/>
              </w:rPr>
            </w:pPr>
          </w:p>
        </w:tc>
        <w:tc>
          <w:tcPr>
            <w:tcW w:w="1298" w:type="pct"/>
          </w:tcPr>
          <w:p w14:paraId="41A72EB7">
            <w:pPr>
              <w:widowControl/>
              <w:adjustRightInd w:val="0"/>
              <w:snapToGrid w:val="0"/>
              <w:spacing w:line="560" w:lineRule="exact"/>
              <w:jc w:val="right"/>
              <w:rPr>
                <w:rFonts w:ascii="仿宋_GB2312" w:hAnsi="宋体" w:eastAsia="仿宋_GB2312"/>
                <w:sz w:val="24"/>
                <w:szCs w:val="24"/>
              </w:rPr>
            </w:pPr>
          </w:p>
        </w:tc>
        <w:tc>
          <w:tcPr>
            <w:tcW w:w="952" w:type="pct"/>
            <w:shd w:val="clear" w:color="auto" w:fill="auto"/>
            <w:noWrap/>
            <w:vAlign w:val="center"/>
          </w:tcPr>
          <w:p w14:paraId="2D488093">
            <w:pPr>
              <w:widowControl/>
              <w:adjustRightInd w:val="0"/>
              <w:snapToGrid w:val="0"/>
              <w:spacing w:line="560" w:lineRule="exact"/>
              <w:jc w:val="right"/>
              <w:rPr>
                <w:rFonts w:ascii="仿宋_GB2312" w:hAnsi="宋体" w:eastAsia="仿宋_GB2312"/>
                <w:sz w:val="24"/>
                <w:szCs w:val="24"/>
              </w:rPr>
            </w:pPr>
          </w:p>
        </w:tc>
      </w:tr>
      <w:tr w14:paraId="2603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40" w:type="pct"/>
            <w:shd w:val="clear" w:color="auto" w:fill="auto"/>
          </w:tcPr>
          <w:p w14:paraId="719BD30A">
            <w:pPr>
              <w:pStyle w:val="7"/>
              <w:spacing w:line="560" w:lineRule="exact"/>
              <w:rPr>
                <w:rFonts w:ascii="仿宋_GB2312" w:hAnsi="宋体" w:eastAsia="仿宋_GB2312"/>
                <w:sz w:val="24"/>
                <w:szCs w:val="24"/>
              </w:rPr>
            </w:pPr>
            <w:r>
              <w:rPr>
                <w:rFonts w:hint="eastAsia" w:ascii="仿宋_GB2312" w:hAnsi="宋体" w:eastAsia="仿宋_GB2312"/>
                <w:sz w:val="24"/>
                <w:szCs w:val="24"/>
              </w:rPr>
              <w:t>无限售条件的流通股</w:t>
            </w:r>
          </w:p>
        </w:tc>
        <w:tc>
          <w:tcPr>
            <w:tcW w:w="910" w:type="pct"/>
            <w:shd w:val="clear" w:color="auto" w:fill="auto"/>
            <w:noWrap/>
            <w:vAlign w:val="center"/>
          </w:tcPr>
          <w:p w14:paraId="6B085797">
            <w:pPr>
              <w:widowControl/>
              <w:adjustRightInd w:val="0"/>
              <w:snapToGrid w:val="0"/>
              <w:spacing w:line="560" w:lineRule="exact"/>
              <w:jc w:val="right"/>
              <w:rPr>
                <w:rFonts w:ascii="仿宋_GB2312" w:hAnsi="宋体" w:eastAsia="仿宋_GB2312"/>
                <w:sz w:val="24"/>
                <w:szCs w:val="24"/>
              </w:rPr>
            </w:pPr>
          </w:p>
        </w:tc>
        <w:tc>
          <w:tcPr>
            <w:tcW w:w="1298" w:type="pct"/>
          </w:tcPr>
          <w:p w14:paraId="735B6131">
            <w:pPr>
              <w:widowControl/>
              <w:adjustRightInd w:val="0"/>
              <w:snapToGrid w:val="0"/>
              <w:spacing w:line="560" w:lineRule="exact"/>
              <w:jc w:val="right"/>
              <w:rPr>
                <w:rFonts w:ascii="仿宋_GB2312" w:hAnsi="宋体" w:eastAsia="仿宋_GB2312"/>
                <w:sz w:val="24"/>
                <w:szCs w:val="24"/>
              </w:rPr>
            </w:pPr>
          </w:p>
        </w:tc>
        <w:tc>
          <w:tcPr>
            <w:tcW w:w="952" w:type="pct"/>
            <w:shd w:val="clear" w:color="auto" w:fill="auto"/>
            <w:noWrap/>
            <w:vAlign w:val="center"/>
          </w:tcPr>
          <w:p w14:paraId="4C3D07AB">
            <w:pPr>
              <w:widowControl/>
              <w:adjustRightInd w:val="0"/>
              <w:snapToGrid w:val="0"/>
              <w:spacing w:line="560" w:lineRule="exact"/>
              <w:jc w:val="right"/>
              <w:rPr>
                <w:rFonts w:ascii="仿宋_GB2312" w:hAnsi="宋体" w:eastAsia="仿宋_GB2312"/>
                <w:sz w:val="24"/>
                <w:szCs w:val="24"/>
              </w:rPr>
            </w:pPr>
          </w:p>
        </w:tc>
      </w:tr>
      <w:tr w14:paraId="5146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40" w:type="pct"/>
            <w:shd w:val="clear" w:color="auto" w:fill="auto"/>
          </w:tcPr>
          <w:p w14:paraId="6DFCC1C7">
            <w:pPr>
              <w:spacing w:line="560" w:lineRule="exact"/>
              <w:rPr>
                <w:rFonts w:ascii="仿宋_GB2312" w:hAnsi="宋体" w:eastAsia="仿宋_GB2312"/>
                <w:sz w:val="24"/>
                <w:szCs w:val="24"/>
              </w:rPr>
            </w:pPr>
            <w:r>
              <w:rPr>
                <w:rFonts w:ascii="仿宋_GB2312" w:hAnsi="宋体" w:eastAsia="仿宋_GB2312"/>
                <w:sz w:val="24"/>
                <w:szCs w:val="24"/>
              </w:rPr>
              <w:t>B股</w:t>
            </w:r>
          </w:p>
        </w:tc>
        <w:tc>
          <w:tcPr>
            <w:tcW w:w="910" w:type="pct"/>
            <w:shd w:val="clear" w:color="auto" w:fill="auto"/>
            <w:noWrap/>
            <w:vAlign w:val="center"/>
          </w:tcPr>
          <w:p w14:paraId="7FF9F55A">
            <w:pPr>
              <w:widowControl/>
              <w:adjustRightInd w:val="0"/>
              <w:snapToGrid w:val="0"/>
              <w:spacing w:line="560" w:lineRule="exact"/>
              <w:jc w:val="right"/>
              <w:rPr>
                <w:rFonts w:ascii="仿宋_GB2312" w:hAnsi="宋体" w:eastAsia="仿宋_GB2312"/>
                <w:sz w:val="24"/>
                <w:szCs w:val="24"/>
              </w:rPr>
            </w:pPr>
          </w:p>
        </w:tc>
        <w:tc>
          <w:tcPr>
            <w:tcW w:w="1298" w:type="pct"/>
          </w:tcPr>
          <w:p w14:paraId="5360D8BB">
            <w:pPr>
              <w:widowControl/>
              <w:adjustRightInd w:val="0"/>
              <w:snapToGrid w:val="0"/>
              <w:spacing w:line="560" w:lineRule="exact"/>
              <w:jc w:val="right"/>
              <w:rPr>
                <w:rFonts w:ascii="仿宋_GB2312" w:hAnsi="宋体" w:eastAsia="仿宋_GB2312"/>
                <w:sz w:val="24"/>
                <w:szCs w:val="24"/>
              </w:rPr>
            </w:pPr>
          </w:p>
        </w:tc>
        <w:tc>
          <w:tcPr>
            <w:tcW w:w="952" w:type="pct"/>
            <w:shd w:val="clear" w:color="auto" w:fill="auto"/>
            <w:noWrap/>
            <w:vAlign w:val="center"/>
          </w:tcPr>
          <w:p w14:paraId="02944CA1">
            <w:pPr>
              <w:widowControl/>
              <w:adjustRightInd w:val="0"/>
              <w:snapToGrid w:val="0"/>
              <w:spacing w:line="560" w:lineRule="exact"/>
              <w:jc w:val="right"/>
              <w:rPr>
                <w:rFonts w:ascii="仿宋_GB2312" w:hAnsi="宋体" w:eastAsia="仿宋_GB2312"/>
                <w:sz w:val="24"/>
                <w:szCs w:val="24"/>
              </w:rPr>
            </w:pPr>
          </w:p>
        </w:tc>
      </w:tr>
      <w:tr w14:paraId="32F6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40" w:type="pct"/>
            <w:shd w:val="clear" w:color="auto" w:fill="auto"/>
          </w:tcPr>
          <w:p w14:paraId="64E3B32E">
            <w:pPr>
              <w:spacing w:line="560" w:lineRule="exact"/>
              <w:rPr>
                <w:rFonts w:ascii="仿宋_GB2312" w:hAnsi="宋体" w:eastAsia="仿宋_GB2312"/>
                <w:sz w:val="24"/>
                <w:szCs w:val="24"/>
              </w:rPr>
            </w:pPr>
            <w:r>
              <w:rPr>
                <w:rFonts w:ascii="仿宋_GB2312" w:hAnsi="宋体" w:eastAsia="仿宋_GB2312"/>
                <w:sz w:val="24"/>
                <w:szCs w:val="24"/>
              </w:rPr>
              <w:t>H股</w:t>
            </w:r>
          </w:p>
        </w:tc>
        <w:tc>
          <w:tcPr>
            <w:tcW w:w="910" w:type="pct"/>
            <w:shd w:val="clear" w:color="auto" w:fill="auto"/>
            <w:noWrap/>
            <w:vAlign w:val="center"/>
          </w:tcPr>
          <w:p w14:paraId="5D9A0F24">
            <w:pPr>
              <w:widowControl/>
              <w:adjustRightInd w:val="0"/>
              <w:snapToGrid w:val="0"/>
              <w:spacing w:line="560" w:lineRule="exact"/>
              <w:jc w:val="right"/>
              <w:rPr>
                <w:rFonts w:ascii="仿宋_GB2312" w:hAnsi="宋体" w:eastAsia="仿宋_GB2312"/>
                <w:sz w:val="24"/>
                <w:szCs w:val="24"/>
              </w:rPr>
            </w:pPr>
          </w:p>
        </w:tc>
        <w:tc>
          <w:tcPr>
            <w:tcW w:w="1298" w:type="pct"/>
          </w:tcPr>
          <w:p w14:paraId="66E61D40">
            <w:pPr>
              <w:widowControl/>
              <w:adjustRightInd w:val="0"/>
              <w:snapToGrid w:val="0"/>
              <w:spacing w:line="560" w:lineRule="exact"/>
              <w:jc w:val="right"/>
              <w:rPr>
                <w:rFonts w:ascii="仿宋_GB2312" w:hAnsi="宋体" w:eastAsia="仿宋_GB2312"/>
                <w:sz w:val="24"/>
                <w:szCs w:val="24"/>
              </w:rPr>
            </w:pPr>
          </w:p>
        </w:tc>
        <w:tc>
          <w:tcPr>
            <w:tcW w:w="952" w:type="pct"/>
            <w:shd w:val="clear" w:color="auto" w:fill="auto"/>
            <w:noWrap/>
            <w:vAlign w:val="center"/>
          </w:tcPr>
          <w:p w14:paraId="3DC81423">
            <w:pPr>
              <w:widowControl/>
              <w:adjustRightInd w:val="0"/>
              <w:snapToGrid w:val="0"/>
              <w:spacing w:line="560" w:lineRule="exact"/>
              <w:jc w:val="right"/>
              <w:rPr>
                <w:rFonts w:ascii="仿宋_GB2312" w:hAnsi="宋体" w:eastAsia="仿宋_GB2312"/>
                <w:sz w:val="24"/>
                <w:szCs w:val="24"/>
              </w:rPr>
            </w:pPr>
          </w:p>
        </w:tc>
      </w:tr>
      <w:tr w14:paraId="7F3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40" w:type="pct"/>
            <w:shd w:val="clear" w:color="auto" w:fill="auto"/>
          </w:tcPr>
          <w:p w14:paraId="37A1FD03">
            <w:pPr>
              <w:spacing w:line="560" w:lineRule="exact"/>
              <w:rPr>
                <w:rFonts w:ascii="仿宋_GB2312" w:hAnsi="宋体" w:eastAsia="仿宋_GB2312"/>
                <w:sz w:val="24"/>
                <w:szCs w:val="24"/>
              </w:rPr>
            </w:pPr>
            <w:r>
              <w:rPr>
                <w:rFonts w:hint="eastAsia" w:ascii="仿宋_GB2312" w:hAnsi="宋体" w:eastAsia="仿宋_GB2312"/>
                <w:sz w:val="24"/>
                <w:szCs w:val="24"/>
              </w:rPr>
              <w:t>其他境外上市股份</w:t>
            </w:r>
          </w:p>
        </w:tc>
        <w:tc>
          <w:tcPr>
            <w:tcW w:w="910" w:type="pct"/>
            <w:shd w:val="clear" w:color="auto" w:fill="auto"/>
            <w:noWrap/>
            <w:vAlign w:val="center"/>
          </w:tcPr>
          <w:p w14:paraId="71FDDAF9">
            <w:pPr>
              <w:widowControl/>
              <w:adjustRightInd w:val="0"/>
              <w:snapToGrid w:val="0"/>
              <w:spacing w:line="560" w:lineRule="exact"/>
              <w:jc w:val="right"/>
              <w:rPr>
                <w:rFonts w:ascii="仿宋_GB2312" w:hAnsi="宋体" w:eastAsia="仿宋_GB2312"/>
                <w:sz w:val="24"/>
                <w:szCs w:val="24"/>
              </w:rPr>
            </w:pPr>
          </w:p>
        </w:tc>
        <w:tc>
          <w:tcPr>
            <w:tcW w:w="1298" w:type="pct"/>
          </w:tcPr>
          <w:p w14:paraId="21FF93A4">
            <w:pPr>
              <w:widowControl/>
              <w:adjustRightInd w:val="0"/>
              <w:snapToGrid w:val="0"/>
              <w:spacing w:line="560" w:lineRule="exact"/>
              <w:jc w:val="right"/>
              <w:rPr>
                <w:rFonts w:ascii="仿宋_GB2312" w:hAnsi="宋体" w:eastAsia="仿宋_GB2312"/>
                <w:sz w:val="24"/>
                <w:szCs w:val="24"/>
              </w:rPr>
            </w:pPr>
          </w:p>
        </w:tc>
        <w:tc>
          <w:tcPr>
            <w:tcW w:w="952" w:type="pct"/>
            <w:shd w:val="clear" w:color="auto" w:fill="auto"/>
            <w:noWrap/>
            <w:vAlign w:val="center"/>
          </w:tcPr>
          <w:p w14:paraId="1252301C">
            <w:pPr>
              <w:widowControl/>
              <w:adjustRightInd w:val="0"/>
              <w:snapToGrid w:val="0"/>
              <w:spacing w:line="560" w:lineRule="exact"/>
              <w:jc w:val="right"/>
              <w:rPr>
                <w:rFonts w:ascii="仿宋_GB2312" w:hAnsi="宋体" w:eastAsia="仿宋_GB2312"/>
                <w:sz w:val="24"/>
                <w:szCs w:val="24"/>
              </w:rPr>
            </w:pPr>
          </w:p>
        </w:tc>
      </w:tr>
      <w:tr w14:paraId="7C2E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40" w:type="pct"/>
            <w:shd w:val="clear" w:color="auto" w:fill="auto"/>
          </w:tcPr>
          <w:p w14:paraId="036725AA">
            <w:pPr>
              <w:spacing w:line="560" w:lineRule="exact"/>
              <w:jc w:val="center"/>
              <w:rPr>
                <w:rFonts w:ascii="仿宋_GB2312" w:hAnsi="宋体" w:eastAsia="仿宋_GB2312"/>
                <w:sz w:val="24"/>
                <w:szCs w:val="24"/>
              </w:rPr>
            </w:pPr>
            <w:r>
              <w:rPr>
                <w:rFonts w:hint="eastAsia" w:ascii="仿宋_GB2312" w:hAnsi="宋体" w:eastAsia="仿宋_GB2312"/>
                <w:sz w:val="24"/>
                <w:szCs w:val="24"/>
              </w:rPr>
              <w:t>股份合计</w:t>
            </w:r>
          </w:p>
        </w:tc>
        <w:tc>
          <w:tcPr>
            <w:tcW w:w="910" w:type="pct"/>
            <w:shd w:val="clear" w:color="auto" w:fill="auto"/>
            <w:noWrap/>
            <w:vAlign w:val="center"/>
          </w:tcPr>
          <w:p w14:paraId="3890E781">
            <w:pPr>
              <w:widowControl/>
              <w:adjustRightInd w:val="0"/>
              <w:snapToGrid w:val="0"/>
              <w:spacing w:line="560" w:lineRule="exact"/>
              <w:jc w:val="right"/>
              <w:rPr>
                <w:rFonts w:ascii="仿宋_GB2312" w:hAnsi="宋体" w:eastAsia="仿宋_GB2312"/>
                <w:sz w:val="24"/>
                <w:szCs w:val="24"/>
              </w:rPr>
            </w:pPr>
          </w:p>
        </w:tc>
        <w:tc>
          <w:tcPr>
            <w:tcW w:w="1298" w:type="pct"/>
          </w:tcPr>
          <w:p w14:paraId="0C903169">
            <w:pPr>
              <w:widowControl/>
              <w:adjustRightInd w:val="0"/>
              <w:snapToGrid w:val="0"/>
              <w:spacing w:line="560" w:lineRule="exact"/>
              <w:jc w:val="right"/>
              <w:rPr>
                <w:rFonts w:ascii="仿宋_GB2312" w:hAnsi="宋体" w:eastAsia="仿宋_GB2312"/>
                <w:sz w:val="24"/>
                <w:szCs w:val="24"/>
              </w:rPr>
            </w:pPr>
          </w:p>
        </w:tc>
        <w:tc>
          <w:tcPr>
            <w:tcW w:w="952" w:type="pct"/>
            <w:shd w:val="clear" w:color="auto" w:fill="auto"/>
            <w:noWrap/>
            <w:vAlign w:val="center"/>
          </w:tcPr>
          <w:p w14:paraId="7B77FE8E">
            <w:pPr>
              <w:widowControl/>
              <w:adjustRightInd w:val="0"/>
              <w:snapToGrid w:val="0"/>
              <w:spacing w:line="560" w:lineRule="exact"/>
              <w:jc w:val="right"/>
              <w:rPr>
                <w:rFonts w:ascii="仿宋_GB2312" w:hAnsi="宋体" w:eastAsia="仿宋_GB2312"/>
                <w:sz w:val="24"/>
                <w:szCs w:val="24"/>
              </w:rPr>
            </w:pPr>
          </w:p>
        </w:tc>
      </w:tr>
    </w:tbl>
    <w:p w14:paraId="11185C30">
      <w:pPr>
        <w:widowControl/>
        <w:spacing w:line="560" w:lineRule="exact"/>
        <w:ind w:firstLine="602" w:firstLineChars="200"/>
        <w:rPr>
          <w:rFonts w:ascii="黑体" w:hAnsi="黑体" w:eastAsia="黑体" w:cs="Times New Roman"/>
          <w:b/>
          <w:sz w:val="30"/>
          <w:szCs w:val="30"/>
        </w:rPr>
      </w:pPr>
    </w:p>
    <w:p w14:paraId="77E2E0A9">
      <w:pPr>
        <w:snapToGrid w:val="0"/>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四、回购注销后公司相关股东持股比例变化（如适用）</w:t>
      </w:r>
    </w:p>
    <w:p w14:paraId="14E180A7">
      <w:pPr>
        <w:adjustRightInd w:val="0"/>
        <w:snapToGrid w:val="0"/>
        <w:spacing w:line="560" w:lineRule="exact"/>
        <w:ind w:firstLine="600" w:firstLineChars="200"/>
        <w:rPr>
          <w:rFonts w:ascii="仿宋" w:hAnsi="仿宋" w:eastAsia="仿宋_GB2312" w:cs="Times New Roman"/>
          <w:sz w:val="30"/>
          <w:szCs w:val="30"/>
        </w:rPr>
      </w:pPr>
      <w:r>
        <w:rPr>
          <w:rFonts w:hint="eastAsia" w:ascii="Times New Roman" w:hAnsi="Times New Roman" w:eastAsia="仿宋_GB2312"/>
          <w:color w:val="000000"/>
          <w:sz w:val="30"/>
          <w:szCs w:val="30"/>
        </w:rPr>
        <w:t>上市公司回购注销股份可能导致</w:t>
      </w:r>
      <w:r>
        <w:rPr>
          <w:rFonts w:hint="eastAsia" w:ascii="Times New Roman" w:hAnsi="Times New Roman" w:eastAsia="仿宋_GB2312" w:cs="Times New Roman"/>
          <w:color w:val="000000"/>
          <w:sz w:val="30"/>
          <w:szCs w:val="30"/>
        </w:rPr>
        <w:t>股东及其一致行动人拥有权益的股份比例触及或者跨越</w:t>
      </w:r>
      <w:r>
        <w:rPr>
          <w:rFonts w:ascii="Times New Roman" w:hAnsi="Times New Roman" w:eastAsia="仿宋_GB2312" w:cs="Times New Roman"/>
          <w:color w:val="000000"/>
          <w:sz w:val="30"/>
          <w:szCs w:val="30"/>
        </w:rPr>
        <w:t>5%</w:t>
      </w:r>
      <w:r>
        <w:rPr>
          <w:rFonts w:hint="eastAsia" w:ascii="Times New Roman" w:hAnsi="Times New Roman" w:eastAsia="仿宋_GB2312" w:cs="Times New Roman"/>
          <w:color w:val="000000"/>
          <w:sz w:val="30"/>
          <w:szCs w:val="30"/>
        </w:rPr>
        <w:t>及</w:t>
      </w:r>
      <w:r>
        <w:rPr>
          <w:rFonts w:ascii="Times New Roman" w:hAnsi="Times New Roman" w:eastAsia="仿宋_GB2312" w:cs="Times New Roman"/>
          <w:color w:val="000000"/>
          <w:sz w:val="30"/>
          <w:szCs w:val="30"/>
        </w:rPr>
        <w:t>5%</w:t>
      </w:r>
      <w:r>
        <w:rPr>
          <w:rFonts w:hint="eastAsia" w:ascii="Times New Roman" w:hAnsi="Times New Roman" w:eastAsia="仿宋_GB2312" w:cs="Times New Roman"/>
          <w:color w:val="000000"/>
          <w:sz w:val="30"/>
          <w:szCs w:val="30"/>
        </w:rPr>
        <w:t>的整数倍，或者导致持股</w:t>
      </w:r>
      <w:r>
        <w:rPr>
          <w:rFonts w:ascii="Times New Roman" w:hAnsi="Times New Roman" w:eastAsia="仿宋_GB2312" w:cs="Times New Roman"/>
          <w:color w:val="000000"/>
          <w:sz w:val="30"/>
          <w:szCs w:val="30"/>
        </w:rPr>
        <w:t>5%</w:t>
      </w:r>
      <w:r>
        <w:rPr>
          <w:rFonts w:hint="eastAsia" w:ascii="Times New Roman" w:hAnsi="Times New Roman" w:eastAsia="仿宋_GB2312" w:cs="Times New Roman"/>
          <w:color w:val="000000"/>
          <w:sz w:val="30"/>
          <w:szCs w:val="30"/>
        </w:rPr>
        <w:t>以上的股东及其一致行动人拥有权益的股份比例触及</w:t>
      </w:r>
      <w:r>
        <w:rPr>
          <w:rFonts w:ascii="Times New Roman" w:hAnsi="Times New Roman" w:eastAsia="仿宋_GB2312" w:cs="Times New Roman"/>
          <w:color w:val="000000"/>
          <w:sz w:val="30"/>
          <w:szCs w:val="30"/>
        </w:rPr>
        <w:t>1%</w:t>
      </w:r>
      <w:r>
        <w:rPr>
          <w:rFonts w:hint="eastAsia" w:ascii="Times New Roman" w:hAnsi="Times New Roman" w:eastAsia="仿宋_GB2312" w:cs="Times New Roman"/>
          <w:color w:val="000000"/>
          <w:sz w:val="30"/>
          <w:szCs w:val="30"/>
        </w:rPr>
        <w:t>的整数倍。存在前述情况的，上市公司应当</w:t>
      </w:r>
      <w:r>
        <w:rPr>
          <w:rFonts w:hint="eastAsia" w:ascii="仿宋" w:hAnsi="仿宋" w:eastAsia="仿宋_GB2312" w:cs="Times New Roman"/>
          <w:bCs/>
          <w:sz w:val="30"/>
          <w:szCs w:val="30"/>
        </w:rPr>
        <w:t>列示注销前后，上述股东及其一致行动人的持股</w:t>
      </w:r>
      <w:r>
        <w:rPr>
          <w:rFonts w:hint="eastAsia" w:ascii="仿宋" w:hAnsi="仿宋" w:eastAsia="仿宋_GB2312"/>
          <w:bCs/>
          <w:sz w:val="30"/>
          <w:szCs w:val="30"/>
        </w:rPr>
        <w:t>数量和持股比例</w:t>
      </w:r>
      <w:r>
        <w:rPr>
          <w:rFonts w:hint="eastAsia" w:ascii="仿宋" w:hAnsi="仿宋" w:eastAsia="仿宋_GB2312" w:cs="Times New Roman"/>
          <w:bCs/>
          <w:sz w:val="30"/>
          <w:szCs w:val="30"/>
        </w:rPr>
        <w:t>变动情况。</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830"/>
        <w:gridCol w:w="1418"/>
        <w:gridCol w:w="1417"/>
        <w:gridCol w:w="1248"/>
        <w:gridCol w:w="1438"/>
      </w:tblGrid>
      <w:tr w14:paraId="60E6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5FB76B75">
            <w:pPr>
              <w:adjustRightInd w:val="0"/>
              <w:snapToGrid w:val="0"/>
              <w:spacing w:line="360" w:lineRule="auto"/>
              <w:jc w:val="center"/>
              <w:rPr>
                <w:rFonts w:ascii="仿宋_GB2312" w:hAnsi="仿宋" w:eastAsia="仿宋_GB2312"/>
                <w:sz w:val="24"/>
                <w:szCs w:val="24"/>
              </w:rPr>
            </w:pPr>
            <w:r>
              <w:rPr>
                <w:rFonts w:hint="eastAsia" w:ascii="仿宋_GB2312" w:hAnsi="仿宋" w:eastAsia="仿宋_GB2312"/>
                <w:szCs w:val="21"/>
              </w:rPr>
              <w:t>股东名称</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64BF9CB9">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变动前持股数量（股）</w:t>
            </w: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0006934D">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变动前持股比例（%）</w:t>
            </w: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03D26CB1">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变动后持股数量（股）</w:t>
            </w: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6786E610">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变动后持股比例（%）</w:t>
            </w:r>
          </w:p>
        </w:tc>
      </w:tr>
      <w:tr w14:paraId="08F3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37CDEB5D">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股东A及其一致行动人（合并计算）</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46794BC5">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39091659">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011E073F">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02D37F6F">
            <w:pPr>
              <w:adjustRightInd w:val="0"/>
              <w:snapToGrid w:val="0"/>
              <w:spacing w:line="360" w:lineRule="auto"/>
              <w:jc w:val="center"/>
              <w:rPr>
                <w:rFonts w:ascii="仿宋_GB2312" w:hAnsi="楷体" w:eastAsia="仿宋_GB2312" w:cs="楷体"/>
                <w:szCs w:val="20"/>
              </w:rPr>
            </w:pPr>
          </w:p>
        </w:tc>
      </w:tr>
      <w:tr w14:paraId="288A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2956E33F">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股东A</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210324E3">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0983433C">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55591F0C">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64EFE120">
            <w:pPr>
              <w:adjustRightInd w:val="0"/>
              <w:snapToGrid w:val="0"/>
              <w:spacing w:line="360" w:lineRule="auto"/>
              <w:jc w:val="center"/>
              <w:rPr>
                <w:rFonts w:ascii="仿宋_GB2312" w:hAnsi="楷体" w:eastAsia="仿宋_GB2312" w:cs="楷体"/>
                <w:szCs w:val="20"/>
              </w:rPr>
            </w:pPr>
          </w:p>
        </w:tc>
      </w:tr>
      <w:tr w14:paraId="5120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359AF16C">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一致行动人1</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435087DC">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73B50C2B">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505BDEBC">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34DD75AD">
            <w:pPr>
              <w:adjustRightInd w:val="0"/>
              <w:snapToGrid w:val="0"/>
              <w:spacing w:line="360" w:lineRule="auto"/>
              <w:jc w:val="center"/>
              <w:rPr>
                <w:rFonts w:ascii="仿宋_GB2312" w:hAnsi="楷体" w:eastAsia="仿宋_GB2312" w:cs="楷体"/>
                <w:szCs w:val="20"/>
              </w:rPr>
            </w:pPr>
          </w:p>
        </w:tc>
      </w:tr>
      <w:tr w14:paraId="60E0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0AF44E8B">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一致行动人2</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013E7AC6">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66368E6F">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1703AF5F">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35AEC826">
            <w:pPr>
              <w:adjustRightInd w:val="0"/>
              <w:snapToGrid w:val="0"/>
              <w:spacing w:line="360" w:lineRule="auto"/>
              <w:jc w:val="center"/>
              <w:rPr>
                <w:rFonts w:ascii="仿宋_GB2312" w:hAnsi="楷体" w:eastAsia="仿宋_GB2312" w:cs="楷体"/>
                <w:szCs w:val="20"/>
              </w:rPr>
            </w:pPr>
          </w:p>
        </w:tc>
      </w:tr>
      <w:tr w14:paraId="06BC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74DCFB0F">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股东B</w:t>
            </w: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7368A691">
            <w:pPr>
              <w:adjustRightInd w:val="0"/>
              <w:snapToGrid w:val="0"/>
              <w:spacing w:line="360" w:lineRule="auto"/>
              <w:jc w:val="center"/>
              <w:rPr>
                <w:rFonts w:ascii="仿宋_GB2312" w:hAnsi="楷体" w:eastAsia="仿宋_GB2312" w:cs="楷体"/>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30" w:type="dxa"/>
              <w:bottom w:w="0" w:type="dxa"/>
              <w:right w:w="30" w:type="dxa"/>
            </w:tcMar>
            <w:vAlign w:val="center"/>
          </w:tcPr>
          <w:p w14:paraId="0CFD683E">
            <w:pPr>
              <w:adjustRightInd w:val="0"/>
              <w:snapToGrid w:val="0"/>
              <w:spacing w:line="360" w:lineRule="auto"/>
              <w:jc w:val="center"/>
              <w:rPr>
                <w:rFonts w:ascii="仿宋_GB2312" w:hAnsi="楷体" w:eastAsia="仿宋_GB2312" w:cs="楷体"/>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6CF2DE0F">
            <w:pPr>
              <w:adjustRightInd w:val="0"/>
              <w:snapToGrid w:val="0"/>
              <w:spacing w:line="360" w:lineRule="auto"/>
              <w:jc w:val="center"/>
              <w:rPr>
                <w:rFonts w:ascii="仿宋_GB2312" w:hAnsi="楷体" w:eastAsia="仿宋_GB2312" w:cs="楷体"/>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15" w:type="dxa"/>
              <w:right w:w="15" w:type="dxa"/>
            </w:tcMar>
          </w:tcPr>
          <w:p w14:paraId="117147CB">
            <w:pPr>
              <w:adjustRightInd w:val="0"/>
              <w:snapToGrid w:val="0"/>
              <w:spacing w:line="360" w:lineRule="auto"/>
              <w:jc w:val="center"/>
              <w:rPr>
                <w:rFonts w:ascii="仿宋_GB2312" w:hAnsi="楷体" w:eastAsia="仿宋_GB2312" w:cs="楷体"/>
                <w:szCs w:val="20"/>
              </w:rPr>
            </w:pPr>
          </w:p>
        </w:tc>
      </w:tr>
    </w:tbl>
    <w:p w14:paraId="215FF43F">
      <w:pPr>
        <w:widowControl/>
        <w:ind w:firstLine="420" w:firstLineChars="200"/>
        <w:rPr>
          <w:rFonts w:ascii="仿宋_GB2312" w:hAnsi="宋体" w:eastAsia="仿宋_GB2312" w:cs="宋体"/>
          <w:color w:val="000000"/>
          <w:kern w:val="0"/>
          <w:sz w:val="24"/>
        </w:rPr>
      </w:pPr>
      <w:r>
        <w:rPr>
          <w:rFonts w:hint="eastAsia" w:ascii="仿宋_GB2312" w:hAnsi="楷体" w:eastAsia="仿宋_GB2312" w:cs="楷体"/>
          <w:szCs w:val="20"/>
        </w:rPr>
        <w:t>注：</w:t>
      </w:r>
      <w:r>
        <w:rPr>
          <w:rFonts w:hint="eastAsia" w:ascii="仿宋_GB2312" w:hAnsi="楷体" w:eastAsia="仿宋_GB2312" w:cs="楷体"/>
        </w:rPr>
        <w:t>股东如有一致行动人参照股东A进行披露，先合并计算持股列示，后单独列示；股东如无一致行动人参照股东B进行披露</w:t>
      </w:r>
      <w:r>
        <w:rPr>
          <w:rFonts w:hint="eastAsia" w:ascii="仿宋_GB2312" w:hAnsi="宋体" w:eastAsia="仿宋_GB2312" w:cs="宋体"/>
          <w:color w:val="000000"/>
          <w:kern w:val="0"/>
          <w:sz w:val="24"/>
        </w:rPr>
        <w:t>。</w:t>
      </w:r>
    </w:p>
    <w:p w14:paraId="5BC41487">
      <w:pPr>
        <w:widowControl/>
        <w:spacing w:line="560" w:lineRule="exact"/>
        <w:ind w:firstLine="602" w:firstLineChars="200"/>
        <w:rPr>
          <w:rFonts w:ascii="黑体" w:hAnsi="黑体" w:eastAsia="黑体" w:cs="Times New Roman"/>
          <w:b/>
          <w:sz w:val="30"/>
          <w:szCs w:val="30"/>
        </w:rPr>
      </w:pPr>
    </w:p>
    <w:p w14:paraId="1006BE72">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五、说明及承诺</w:t>
      </w:r>
    </w:p>
    <w:p w14:paraId="15441F80">
      <w:pPr>
        <w:adjustRightInd w:val="0"/>
        <w:spacing w:line="560" w:lineRule="exact"/>
        <w:ind w:firstLine="600" w:firstLineChars="200"/>
        <w:rPr>
          <w:rFonts w:ascii="仿宋_GB2312" w:eastAsia="仿宋_GB2312" w:hAnsiTheme="minorEastAsia"/>
          <w:kern w:val="0"/>
          <w:sz w:val="30"/>
          <w:szCs w:val="30"/>
        </w:rPr>
      </w:pPr>
      <w:r>
        <w:rPr>
          <w:rFonts w:hint="eastAsia" w:ascii="仿宋_GB2312" w:eastAsia="仿宋_GB2312" w:hAnsiTheme="minorEastAsia"/>
          <w:kern w:val="0"/>
          <w:sz w:val="30"/>
          <w:szCs w:val="30"/>
        </w:rPr>
        <w:t>公司董事会说明，本次回购注销限制性股票事项涉及的决策程序、信息披露是否符合</w:t>
      </w:r>
      <w:r>
        <w:rPr>
          <w:rFonts w:hint="eastAsia" w:ascii="仿宋_GB2312" w:eastAsia="仿宋_GB2312" w:cs="华文中宋" w:hAnsiTheme="minorEastAsia"/>
          <w:kern w:val="0"/>
          <w:sz w:val="30"/>
          <w:szCs w:val="30"/>
        </w:rPr>
        <w:t>法律、法规、《上市公司股权激励管理办法》的规定和</w:t>
      </w:r>
      <w:r>
        <w:rPr>
          <w:rFonts w:hint="eastAsia" w:ascii="仿宋_GB2312" w:eastAsia="仿宋_GB2312"/>
          <w:kern w:val="0"/>
          <w:sz w:val="30"/>
          <w:szCs w:val="30"/>
        </w:rPr>
        <w:t>公司股权激励计划、限制性股票授予协议的安排，是否存在</w:t>
      </w:r>
      <w:r>
        <w:rPr>
          <w:rFonts w:hint="eastAsia" w:ascii="仿宋_GB2312" w:eastAsia="仿宋_GB2312" w:hAnsiTheme="minorEastAsia"/>
          <w:kern w:val="0"/>
          <w:sz w:val="30"/>
          <w:szCs w:val="30"/>
        </w:rPr>
        <w:t>损害激励对象合法权益及债权人利益的情形。</w:t>
      </w:r>
    </w:p>
    <w:p w14:paraId="344831FB">
      <w:pPr>
        <w:adjustRightInd w:val="0"/>
        <w:spacing w:line="560" w:lineRule="exact"/>
        <w:ind w:firstLine="600" w:firstLineChars="200"/>
        <w:rPr>
          <w:rFonts w:ascii="仿宋_GB2312" w:eastAsia="仿宋_GB2312" w:hAnsiTheme="minorEastAsia"/>
          <w:kern w:val="0"/>
          <w:sz w:val="30"/>
          <w:szCs w:val="30"/>
        </w:rPr>
      </w:pPr>
      <w:r>
        <w:rPr>
          <w:rFonts w:hint="eastAsia" w:ascii="仿宋_GB2312" w:eastAsia="仿宋_GB2312" w:hAnsiTheme="minorEastAsia"/>
          <w:kern w:val="0"/>
          <w:sz w:val="30"/>
          <w:szCs w:val="30"/>
        </w:rPr>
        <w:t>公司承诺：已核实并保证本次回购注销限制性股票涉及的对象、股份数量、注销日期等信息真实、准确、完整，已充分告知相关激励对象本次回购注销事宜，且相关激励对象未就回购注销事宜表示异议。如因本次回购注销与有关激励对象产生纠纷，公司将自行承担由此产生的相关法律责任。</w:t>
      </w:r>
    </w:p>
    <w:p w14:paraId="0214E89F">
      <w:pPr>
        <w:adjustRightInd w:val="0"/>
        <w:spacing w:line="560" w:lineRule="exact"/>
        <w:ind w:firstLine="600" w:firstLineChars="200"/>
        <w:rPr>
          <w:rFonts w:ascii="仿宋_GB2312" w:eastAsia="仿宋_GB2312" w:hAnsiTheme="minorEastAsia"/>
          <w:kern w:val="0"/>
          <w:sz w:val="30"/>
          <w:szCs w:val="30"/>
        </w:rPr>
      </w:pPr>
    </w:p>
    <w:p w14:paraId="058B0A5E">
      <w:pPr>
        <w:widowControl/>
        <w:spacing w:line="560" w:lineRule="exact"/>
        <w:ind w:firstLine="602" w:firstLineChars="200"/>
        <w:rPr>
          <w:rFonts w:ascii="黑体" w:hAnsi="黑体" w:eastAsia="黑体" w:cs="Times New Roman"/>
          <w:b/>
          <w:sz w:val="30"/>
          <w:szCs w:val="30"/>
        </w:rPr>
      </w:pPr>
      <w:r>
        <w:rPr>
          <w:rFonts w:hint="eastAsia" w:ascii="黑体" w:hAnsi="黑体" w:eastAsia="黑体" w:cs="Times New Roman"/>
          <w:b/>
          <w:sz w:val="30"/>
          <w:szCs w:val="30"/>
        </w:rPr>
        <w:t>六、法律意见书的结论性意见</w:t>
      </w:r>
    </w:p>
    <w:p w14:paraId="67C184EC">
      <w:pPr>
        <w:autoSpaceDE w:val="0"/>
        <w:autoSpaceDN w:val="0"/>
        <w:adjustRightInd w:val="0"/>
        <w:spacing w:line="560" w:lineRule="exact"/>
        <w:ind w:firstLine="600" w:firstLineChars="200"/>
        <w:jc w:val="left"/>
        <w:rPr>
          <w:rFonts w:ascii="仿宋_GB2312" w:eastAsia="仿宋_GB2312" w:cs="仿宋_GB2312" w:hAnsiTheme="minorEastAsia"/>
          <w:kern w:val="0"/>
          <w:sz w:val="30"/>
          <w:szCs w:val="30"/>
        </w:rPr>
      </w:pPr>
      <w:r>
        <w:rPr>
          <w:rFonts w:hint="eastAsia" w:ascii="仿宋_GB2312" w:eastAsia="仿宋_GB2312" w:cs="仿宋_GB2312" w:hAnsiTheme="minorEastAsia"/>
          <w:kern w:val="0"/>
          <w:sz w:val="30"/>
          <w:szCs w:val="30"/>
        </w:rPr>
        <w:t>律师事务所</w:t>
      </w:r>
      <w:r>
        <w:rPr>
          <w:rFonts w:ascii="仿宋_GB2312" w:eastAsia="仿宋_GB2312" w:cs="仿宋_GB2312" w:hAnsiTheme="minorEastAsia"/>
          <w:kern w:val="0"/>
          <w:sz w:val="30"/>
          <w:szCs w:val="30"/>
        </w:rPr>
        <w:t>应当</w:t>
      </w:r>
      <w:r>
        <w:rPr>
          <w:rFonts w:hint="eastAsia" w:ascii="仿宋_GB2312" w:eastAsia="仿宋_GB2312" w:cs="仿宋_GB2312" w:hAnsiTheme="minorEastAsia"/>
          <w:kern w:val="0"/>
          <w:sz w:val="30"/>
          <w:szCs w:val="30"/>
        </w:rPr>
        <w:t>就本次回购注销限制性股票是否符合注销条件，涉及的对象、股份数量、注销日期，以及决策程序、信息披露等是否符合法律、法规、</w:t>
      </w:r>
      <w:r>
        <w:rPr>
          <w:rFonts w:hint="eastAsia" w:ascii="仿宋_GB2312" w:eastAsia="仿宋_GB2312" w:cs="华文中宋" w:hAnsiTheme="minorEastAsia"/>
          <w:kern w:val="0"/>
          <w:sz w:val="30"/>
          <w:szCs w:val="30"/>
        </w:rPr>
        <w:t>《上市公司股权激励管理办法》的</w:t>
      </w:r>
      <w:r>
        <w:rPr>
          <w:rFonts w:hint="eastAsia" w:ascii="仿宋_GB2312" w:eastAsia="仿宋_GB2312" w:cs="仿宋_GB2312" w:hAnsiTheme="minorEastAsia"/>
          <w:kern w:val="0"/>
          <w:sz w:val="30"/>
          <w:szCs w:val="30"/>
        </w:rPr>
        <w:t>规定和公司股权激励计划、限制性股票授予协议的安排出具专业意见。</w:t>
      </w:r>
    </w:p>
    <w:p w14:paraId="625C2B27">
      <w:pPr>
        <w:widowControl/>
        <w:spacing w:line="560" w:lineRule="exact"/>
        <w:ind w:firstLine="465"/>
        <w:rPr>
          <w:rFonts w:ascii="仿宋_GB2312" w:eastAsia="仿宋_GB2312"/>
          <w:kern w:val="0"/>
          <w:sz w:val="30"/>
          <w:szCs w:val="30"/>
        </w:rPr>
      </w:pPr>
    </w:p>
    <w:p w14:paraId="219BB8F6">
      <w:pPr>
        <w:adjustRightInd w:val="0"/>
        <w:snapToGrid w:val="0"/>
        <w:spacing w:line="560" w:lineRule="exact"/>
        <w:ind w:left="480"/>
        <w:rPr>
          <w:rFonts w:ascii="仿宋_GB2312" w:hAnsi="宋体" w:eastAsia="仿宋_GB2312"/>
          <w:sz w:val="30"/>
          <w:szCs w:val="30"/>
        </w:rPr>
      </w:pPr>
      <w:r>
        <w:rPr>
          <w:rFonts w:hint="eastAsia" w:ascii="仿宋_GB2312" w:eastAsia="仿宋_GB2312"/>
          <w:kern w:val="0"/>
          <w:sz w:val="30"/>
          <w:szCs w:val="30"/>
        </w:rPr>
        <w:t>特此公告。</w:t>
      </w:r>
    </w:p>
    <w:p w14:paraId="7746532C">
      <w:pPr>
        <w:adjustRightInd w:val="0"/>
        <w:snapToGrid w:val="0"/>
        <w:spacing w:line="560" w:lineRule="exact"/>
        <w:ind w:right="120" w:firstLine="600" w:firstLineChars="200"/>
        <w:jc w:val="right"/>
        <w:rPr>
          <w:rFonts w:ascii="仿宋_GB2312" w:hAnsi="宋体" w:eastAsia="仿宋_GB2312"/>
          <w:sz w:val="30"/>
          <w:szCs w:val="30"/>
        </w:rPr>
      </w:pPr>
      <w:r>
        <w:rPr>
          <w:rFonts w:hint="eastAsia" w:ascii="仿宋_GB2312" w:hAnsi="宋体" w:eastAsia="仿宋_GB2312"/>
          <w:sz w:val="30"/>
          <w:szCs w:val="30"/>
        </w:rPr>
        <w:t>XXXX股份有限公司董事会</w:t>
      </w:r>
    </w:p>
    <w:p w14:paraId="1BF6D5A2">
      <w:pPr>
        <w:adjustRightInd w:val="0"/>
        <w:snapToGrid w:val="0"/>
        <w:spacing w:line="560" w:lineRule="exact"/>
        <w:ind w:firstLine="750" w:firstLineChars="250"/>
        <w:jc w:val="right"/>
        <w:rPr>
          <w:rFonts w:ascii="仿宋_GB2312" w:hAnsi="宋体" w:eastAsia="仿宋_GB2312"/>
          <w:sz w:val="30"/>
          <w:szCs w:val="30"/>
        </w:rPr>
      </w:pPr>
      <w:r>
        <w:rPr>
          <w:rFonts w:hint="eastAsia" w:ascii="仿宋_GB2312" w:hAnsi="宋体" w:eastAsia="仿宋_GB2312"/>
          <w:sz w:val="30"/>
          <w:szCs w:val="30"/>
        </w:rPr>
        <w:t>年  月  日</w:t>
      </w:r>
    </w:p>
    <w:p w14:paraId="7E27F45C">
      <w:pPr>
        <w:numPr>
          <w:ilvl w:val="0"/>
          <w:numId w:val="4"/>
        </w:numPr>
        <w:adjustRightInd w:val="0"/>
        <w:snapToGrid w:val="0"/>
        <w:spacing w:line="560" w:lineRule="exact"/>
        <w:rPr>
          <w:rFonts w:ascii="仿宋_GB2312" w:hAnsi="宋体" w:eastAsia="仿宋_GB2312"/>
          <w:b/>
          <w:bCs/>
          <w:color w:val="000000"/>
          <w:sz w:val="30"/>
          <w:szCs w:val="30"/>
        </w:rPr>
      </w:pPr>
      <w:r>
        <w:rPr>
          <w:rFonts w:hint="eastAsia" w:ascii="仿宋_GB2312" w:hAnsi="宋体" w:eastAsia="仿宋_GB2312"/>
          <w:b/>
          <w:bCs/>
          <w:color w:val="000000"/>
          <w:sz w:val="30"/>
          <w:szCs w:val="30"/>
        </w:rPr>
        <w:t>上网公告文件</w:t>
      </w:r>
    </w:p>
    <w:p w14:paraId="5C21FAE9">
      <w:pPr>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法律意见书</w:t>
      </w:r>
    </w:p>
    <w:p w14:paraId="3F0F15FE">
      <w:pPr>
        <w:adjustRightInd w:val="0"/>
        <w:snapToGrid w:val="0"/>
        <w:spacing w:line="560" w:lineRule="exact"/>
        <w:ind w:firstLine="750" w:firstLineChars="250"/>
        <w:jc w:val="right"/>
        <w:rPr>
          <w:rFonts w:ascii="仿宋_GB2312" w:hAnsi="宋体" w:eastAsia="仿宋_GB2312"/>
          <w:sz w:val="30"/>
          <w:szCs w:val="30"/>
        </w:rPr>
      </w:pPr>
    </w:p>
    <w:p w14:paraId="7A13DAB4">
      <w:pPr>
        <w:widowControl/>
        <w:spacing w:line="560" w:lineRule="exact"/>
        <w:ind w:firstLine="465"/>
        <w:rPr>
          <w:rFonts w:ascii="仿宋_GB2312" w:eastAsia="仿宋_GB2312"/>
          <w:kern w:val="0"/>
          <w:sz w:val="3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Book Antiqua">
    <w:altName w:val="Times New Roman"/>
    <w:panose1 w:val="02040602050305030304"/>
    <w:charset w:val="00"/>
    <w:family w:val="roman"/>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宋体,Bold">
    <w:altName w:val="宋体"/>
    <w:panose1 w:val="00000000000000000000"/>
    <w:charset w:val="86"/>
    <w:family w:val="auto"/>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704407"/>
    </w:sdtPr>
    <w:sdtContent>
      <w:p w14:paraId="47ACC2D4">
        <w:pPr>
          <w:pStyle w:val="9"/>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34</w:t>
        </w:r>
        <w:r>
          <w:rPr>
            <w:rFonts w:ascii="Times New Roman" w:hAnsi="Times New Roman" w:cs="Times New Roman"/>
            <w:lang w:val="zh-CN"/>
          </w:rPr>
          <w:fldChar w:fldCharType="end"/>
        </w:r>
      </w:p>
    </w:sdtContent>
  </w:sdt>
  <w:p w14:paraId="01E5097E">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3DC2B">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67F30"/>
    <w:multiLevelType w:val="multilevel"/>
    <w:tmpl w:val="0AC67F3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5B871D8"/>
    <w:multiLevelType w:val="multilevel"/>
    <w:tmpl w:val="15B871D8"/>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F610870"/>
    <w:multiLevelType w:val="multilevel"/>
    <w:tmpl w:val="1F61087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27023DEC"/>
    <w:multiLevelType w:val="multilevel"/>
    <w:tmpl w:val="27023DE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939233B"/>
    <w:multiLevelType w:val="multilevel"/>
    <w:tmpl w:val="2939233B"/>
    <w:lvl w:ilvl="0" w:tentative="0">
      <w:start w:val="1"/>
      <w:numFmt w:val="bullet"/>
      <w:lvlText w:val=""/>
      <w:lvlJc w:val="left"/>
      <w:pPr>
        <w:ind w:left="0" w:hanging="480"/>
      </w:pPr>
      <w:rPr>
        <w:rFonts w:hint="default" w:ascii="Wingdings" w:hAnsi="Wingdings"/>
      </w:rPr>
    </w:lvl>
    <w:lvl w:ilvl="1" w:tentative="0">
      <w:start w:val="0"/>
      <w:numFmt w:val="bullet"/>
      <w:lvlText w:val="●"/>
      <w:lvlJc w:val="left"/>
      <w:pPr>
        <w:ind w:left="420" w:hanging="480"/>
      </w:pPr>
      <w:rPr>
        <w:rFonts w:hint="eastAsia" w:ascii="宋体" w:hAnsi="宋体" w:eastAsia="宋体" w:cs="Times New Roman"/>
      </w:rPr>
    </w:lvl>
    <w:lvl w:ilvl="2" w:tentative="0">
      <w:start w:val="1"/>
      <w:numFmt w:val="bullet"/>
      <w:lvlText w:val=""/>
      <w:lvlJc w:val="left"/>
      <w:pPr>
        <w:ind w:left="780" w:hanging="420"/>
      </w:pPr>
      <w:rPr>
        <w:rFonts w:hint="default" w:ascii="Wingdings" w:hAnsi="Wingdings"/>
      </w:rPr>
    </w:lvl>
    <w:lvl w:ilvl="3" w:tentative="0">
      <w:start w:val="1"/>
      <w:numFmt w:val="bullet"/>
      <w:lvlText w:val=""/>
      <w:lvlJc w:val="left"/>
      <w:pPr>
        <w:ind w:left="1200" w:hanging="420"/>
      </w:pPr>
      <w:rPr>
        <w:rFonts w:hint="default" w:ascii="Wingdings" w:hAnsi="Wingdings"/>
      </w:rPr>
    </w:lvl>
    <w:lvl w:ilvl="4" w:tentative="0">
      <w:start w:val="1"/>
      <w:numFmt w:val="bullet"/>
      <w:lvlText w:val=""/>
      <w:lvlJc w:val="left"/>
      <w:pPr>
        <w:ind w:left="1620" w:hanging="420"/>
      </w:pPr>
      <w:rPr>
        <w:rFonts w:hint="default" w:ascii="Wingdings" w:hAnsi="Wingdings"/>
      </w:rPr>
    </w:lvl>
    <w:lvl w:ilvl="5" w:tentative="0">
      <w:start w:val="1"/>
      <w:numFmt w:val="bullet"/>
      <w:lvlText w:val=""/>
      <w:lvlJc w:val="left"/>
      <w:pPr>
        <w:ind w:left="2040" w:hanging="420"/>
      </w:pPr>
      <w:rPr>
        <w:rFonts w:hint="default" w:ascii="Wingdings" w:hAnsi="Wingdings"/>
      </w:rPr>
    </w:lvl>
    <w:lvl w:ilvl="6" w:tentative="0">
      <w:start w:val="1"/>
      <w:numFmt w:val="bullet"/>
      <w:lvlText w:val=""/>
      <w:lvlJc w:val="left"/>
      <w:pPr>
        <w:ind w:left="2460" w:hanging="420"/>
      </w:pPr>
      <w:rPr>
        <w:rFonts w:hint="default" w:ascii="Wingdings" w:hAnsi="Wingdings"/>
      </w:rPr>
    </w:lvl>
    <w:lvl w:ilvl="7" w:tentative="0">
      <w:start w:val="1"/>
      <w:numFmt w:val="bullet"/>
      <w:lvlText w:val=""/>
      <w:lvlJc w:val="left"/>
      <w:pPr>
        <w:ind w:left="2880" w:hanging="420"/>
      </w:pPr>
      <w:rPr>
        <w:rFonts w:hint="default" w:ascii="Wingdings" w:hAnsi="Wingdings"/>
      </w:rPr>
    </w:lvl>
    <w:lvl w:ilvl="8" w:tentative="0">
      <w:start w:val="1"/>
      <w:numFmt w:val="bullet"/>
      <w:lvlText w:val=""/>
      <w:lvlJc w:val="left"/>
      <w:pPr>
        <w:ind w:left="3300" w:hanging="420"/>
      </w:pPr>
      <w:rPr>
        <w:rFonts w:hint="default" w:ascii="Wingdings" w:hAnsi="Wingdings"/>
      </w:rPr>
    </w:lvl>
  </w:abstractNum>
  <w:abstractNum w:abstractNumId="5">
    <w:nsid w:val="45410161"/>
    <w:multiLevelType w:val="multilevel"/>
    <w:tmpl w:val="45410161"/>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6">
    <w:nsid w:val="5D2478A0"/>
    <w:multiLevelType w:val="multilevel"/>
    <w:tmpl w:val="5D2478A0"/>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7">
    <w:nsid w:val="684148F5"/>
    <w:multiLevelType w:val="multilevel"/>
    <w:tmpl w:val="684148F5"/>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8">
    <w:nsid w:val="737D4D8E"/>
    <w:multiLevelType w:val="multilevel"/>
    <w:tmpl w:val="737D4D8E"/>
    <w:lvl w:ilvl="0" w:tentative="0">
      <w:start w:val="1"/>
      <w:numFmt w:val="bullet"/>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num w:numId="1">
    <w:abstractNumId w:val="6"/>
  </w:num>
  <w:num w:numId="2">
    <w:abstractNumId w:val="2"/>
  </w:num>
  <w:num w:numId="3">
    <w:abstractNumId w:val="5"/>
  </w:num>
  <w:num w:numId="4">
    <w:abstractNumId w:val="7"/>
  </w:num>
  <w:num w:numId="5">
    <w:abstractNumId w:val="8"/>
  </w:num>
  <w:num w:numId="6">
    <w:abstractNumId w:val="1"/>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2EF6"/>
    <w:rsid w:val="00001499"/>
    <w:rsid w:val="0000414E"/>
    <w:rsid w:val="0001025B"/>
    <w:rsid w:val="00016468"/>
    <w:rsid w:val="00020090"/>
    <w:rsid w:val="0004439B"/>
    <w:rsid w:val="00052449"/>
    <w:rsid w:val="00076053"/>
    <w:rsid w:val="000848A3"/>
    <w:rsid w:val="00086F65"/>
    <w:rsid w:val="000928A7"/>
    <w:rsid w:val="00094070"/>
    <w:rsid w:val="000A5143"/>
    <w:rsid w:val="000E5E2F"/>
    <w:rsid w:val="000F18AE"/>
    <w:rsid w:val="000F1EFA"/>
    <w:rsid w:val="00102646"/>
    <w:rsid w:val="001054A6"/>
    <w:rsid w:val="00106606"/>
    <w:rsid w:val="00113A63"/>
    <w:rsid w:val="00114D3D"/>
    <w:rsid w:val="00120C12"/>
    <w:rsid w:val="0012353A"/>
    <w:rsid w:val="00125CBC"/>
    <w:rsid w:val="0012694D"/>
    <w:rsid w:val="00136E53"/>
    <w:rsid w:val="0016140E"/>
    <w:rsid w:val="00171513"/>
    <w:rsid w:val="001735C1"/>
    <w:rsid w:val="0019259B"/>
    <w:rsid w:val="001A1A6A"/>
    <w:rsid w:val="001B3B94"/>
    <w:rsid w:val="001C51BD"/>
    <w:rsid w:val="001C5B59"/>
    <w:rsid w:val="001C5EB9"/>
    <w:rsid w:val="001D0768"/>
    <w:rsid w:val="001E0F0B"/>
    <w:rsid w:val="001F517F"/>
    <w:rsid w:val="00215C7B"/>
    <w:rsid w:val="002219B7"/>
    <w:rsid w:val="002321B0"/>
    <w:rsid w:val="002372D1"/>
    <w:rsid w:val="002374C0"/>
    <w:rsid w:val="002576A7"/>
    <w:rsid w:val="00272D01"/>
    <w:rsid w:val="0027416F"/>
    <w:rsid w:val="00284493"/>
    <w:rsid w:val="002A2D5D"/>
    <w:rsid w:val="002A49B0"/>
    <w:rsid w:val="002A6C87"/>
    <w:rsid w:val="002B63C2"/>
    <w:rsid w:val="002E1617"/>
    <w:rsid w:val="002E4DEE"/>
    <w:rsid w:val="00312812"/>
    <w:rsid w:val="00322EF6"/>
    <w:rsid w:val="00323839"/>
    <w:rsid w:val="0032508D"/>
    <w:rsid w:val="003432CB"/>
    <w:rsid w:val="00350E61"/>
    <w:rsid w:val="003738E8"/>
    <w:rsid w:val="00375045"/>
    <w:rsid w:val="00375602"/>
    <w:rsid w:val="003868A8"/>
    <w:rsid w:val="003A4DEC"/>
    <w:rsid w:val="003C107A"/>
    <w:rsid w:val="003D51F2"/>
    <w:rsid w:val="003D560C"/>
    <w:rsid w:val="003F1828"/>
    <w:rsid w:val="003F2A0E"/>
    <w:rsid w:val="003F7D70"/>
    <w:rsid w:val="00404E7A"/>
    <w:rsid w:val="004124DB"/>
    <w:rsid w:val="00413F1A"/>
    <w:rsid w:val="0044438A"/>
    <w:rsid w:val="00450EA5"/>
    <w:rsid w:val="00451C15"/>
    <w:rsid w:val="00467DEC"/>
    <w:rsid w:val="0048300F"/>
    <w:rsid w:val="004A328E"/>
    <w:rsid w:val="004B0D52"/>
    <w:rsid w:val="004D49E4"/>
    <w:rsid w:val="004F2474"/>
    <w:rsid w:val="004F3021"/>
    <w:rsid w:val="004F4308"/>
    <w:rsid w:val="004F74DB"/>
    <w:rsid w:val="005152D9"/>
    <w:rsid w:val="005254D8"/>
    <w:rsid w:val="005258FC"/>
    <w:rsid w:val="00552B40"/>
    <w:rsid w:val="005572CD"/>
    <w:rsid w:val="00572025"/>
    <w:rsid w:val="005854BA"/>
    <w:rsid w:val="005A6CA6"/>
    <w:rsid w:val="005C1CC4"/>
    <w:rsid w:val="005C393B"/>
    <w:rsid w:val="005C6687"/>
    <w:rsid w:val="005D2D7A"/>
    <w:rsid w:val="005D4A17"/>
    <w:rsid w:val="005E4542"/>
    <w:rsid w:val="005F20C6"/>
    <w:rsid w:val="006001FC"/>
    <w:rsid w:val="0061225B"/>
    <w:rsid w:val="0061689E"/>
    <w:rsid w:val="00624554"/>
    <w:rsid w:val="006353DC"/>
    <w:rsid w:val="00646B66"/>
    <w:rsid w:val="006638F6"/>
    <w:rsid w:val="00664186"/>
    <w:rsid w:val="00671A0C"/>
    <w:rsid w:val="00681D5B"/>
    <w:rsid w:val="006B2126"/>
    <w:rsid w:val="006B6033"/>
    <w:rsid w:val="006D0014"/>
    <w:rsid w:val="006D6D81"/>
    <w:rsid w:val="006E256B"/>
    <w:rsid w:val="00706F4F"/>
    <w:rsid w:val="00707325"/>
    <w:rsid w:val="00721232"/>
    <w:rsid w:val="007320B4"/>
    <w:rsid w:val="007461B3"/>
    <w:rsid w:val="00762B29"/>
    <w:rsid w:val="00764939"/>
    <w:rsid w:val="0076734D"/>
    <w:rsid w:val="007A0253"/>
    <w:rsid w:val="007B7295"/>
    <w:rsid w:val="007C7B7E"/>
    <w:rsid w:val="007D1FC5"/>
    <w:rsid w:val="007D2DA0"/>
    <w:rsid w:val="007D701D"/>
    <w:rsid w:val="007E1914"/>
    <w:rsid w:val="007E3FA2"/>
    <w:rsid w:val="008026F3"/>
    <w:rsid w:val="00807DCB"/>
    <w:rsid w:val="00813286"/>
    <w:rsid w:val="00833A77"/>
    <w:rsid w:val="00845642"/>
    <w:rsid w:val="00876574"/>
    <w:rsid w:val="0088045A"/>
    <w:rsid w:val="00886413"/>
    <w:rsid w:val="00891C17"/>
    <w:rsid w:val="00897C01"/>
    <w:rsid w:val="008A4B52"/>
    <w:rsid w:val="008A6DC0"/>
    <w:rsid w:val="008B565F"/>
    <w:rsid w:val="008E1AA0"/>
    <w:rsid w:val="008E2DC1"/>
    <w:rsid w:val="008F4D8A"/>
    <w:rsid w:val="00913FA3"/>
    <w:rsid w:val="00920DEB"/>
    <w:rsid w:val="00927BE0"/>
    <w:rsid w:val="00936262"/>
    <w:rsid w:val="00951A17"/>
    <w:rsid w:val="009559C7"/>
    <w:rsid w:val="0095790E"/>
    <w:rsid w:val="009600D8"/>
    <w:rsid w:val="00975A38"/>
    <w:rsid w:val="009822EE"/>
    <w:rsid w:val="009976C0"/>
    <w:rsid w:val="009A172F"/>
    <w:rsid w:val="009B2FC7"/>
    <w:rsid w:val="009B3157"/>
    <w:rsid w:val="009B41AB"/>
    <w:rsid w:val="009D21F6"/>
    <w:rsid w:val="009D711E"/>
    <w:rsid w:val="009E21A1"/>
    <w:rsid w:val="009F4587"/>
    <w:rsid w:val="00A02EC6"/>
    <w:rsid w:val="00A13DB7"/>
    <w:rsid w:val="00A142EA"/>
    <w:rsid w:val="00A26B25"/>
    <w:rsid w:val="00A32F8A"/>
    <w:rsid w:val="00A5734C"/>
    <w:rsid w:val="00A70325"/>
    <w:rsid w:val="00A73A53"/>
    <w:rsid w:val="00A75880"/>
    <w:rsid w:val="00A84252"/>
    <w:rsid w:val="00A911A7"/>
    <w:rsid w:val="00A91548"/>
    <w:rsid w:val="00A93908"/>
    <w:rsid w:val="00AA708C"/>
    <w:rsid w:val="00AC4F87"/>
    <w:rsid w:val="00AD57CD"/>
    <w:rsid w:val="00AE3D40"/>
    <w:rsid w:val="00AE53BD"/>
    <w:rsid w:val="00AE6E4F"/>
    <w:rsid w:val="00AF0B79"/>
    <w:rsid w:val="00AF3640"/>
    <w:rsid w:val="00B2428F"/>
    <w:rsid w:val="00B26DE7"/>
    <w:rsid w:val="00B60001"/>
    <w:rsid w:val="00B63E40"/>
    <w:rsid w:val="00B67298"/>
    <w:rsid w:val="00B67612"/>
    <w:rsid w:val="00B74F83"/>
    <w:rsid w:val="00B770DF"/>
    <w:rsid w:val="00B83675"/>
    <w:rsid w:val="00B838B7"/>
    <w:rsid w:val="00B84825"/>
    <w:rsid w:val="00B91215"/>
    <w:rsid w:val="00B939AE"/>
    <w:rsid w:val="00B93FE0"/>
    <w:rsid w:val="00BA4F0F"/>
    <w:rsid w:val="00BA5DAD"/>
    <w:rsid w:val="00BE42B2"/>
    <w:rsid w:val="00BE736F"/>
    <w:rsid w:val="00BF1341"/>
    <w:rsid w:val="00C0028D"/>
    <w:rsid w:val="00C10D44"/>
    <w:rsid w:val="00C30F85"/>
    <w:rsid w:val="00C5026B"/>
    <w:rsid w:val="00C76EF9"/>
    <w:rsid w:val="00C87C8F"/>
    <w:rsid w:val="00C95127"/>
    <w:rsid w:val="00C97129"/>
    <w:rsid w:val="00CB076A"/>
    <w:rsid w:val="00CB1905"/>
    <w:rsid w:val="00CB79DF"/>
    <w:rsid w:val="00CF1A17"/>
    <w:rsid w:val="00CF299C"/>
    <w:rsid w:val="00D22801"/>
    <w:rsid w:val="00D300C0"/>
    <w:rsid w:val="00D42F8D"/>
    <w:rsid w:val="00D457EB"/>
    <w:rsid w:val="00D47527"/>
    <w:rsid w:val="00D64F46"/>
    <w:rsid w:val="00D653F1"/>
    <w:rsid w:val="00D6729A"/>
    <w:rsid w:val="00D674F5"/>
    <w:rsid w:val="00D67891"/>
    <w:rsid w:val="00D750D0"/>
    <w:rsid w:val="00D81B34"/>
    <w:rsid w:val="00D92457"/>
    <w:rsid w:val="00DA1936"/>
    <w:rsid w:val="00DE1281"/>
    <w:rsid w:val="00E26E0A"/>
    <w:rsid w:val="00E30F25"/>
    <w:rsid w:val="00E319DE"/>
    <w:rsid w:val="00E3579E"/>
    <w:rsid w:val="00E367E1"/>
    <w:rsid w:val="00E37669"/>
    <w:rsid w:val="00E70133"/>
    <w:rsid w:val="00E80200"/>
    <w:rsid w:val="00E80859"/>
    <w:rsid w:val="00E81D96"/>
    <w:rsid w:val="00E83352"/>
    <w:rsid w:val="00E864FC"/>
    <w:rsid w:val="00EA07CC"/>
    <w:rsid w:val="00EA2160"/>
    <w:rsid w:val="00EA7DA6"/>
    <w:rsid w:val="00ED4D25"/>
    <w:rsid w:val="00ED74C9"/>
    <w:rsid w:val="00EE57AB"/>
    <w:rsid w:val="00EF0FFE"/>
    <w:rsid w:val="00EF71CC"/>
    <w:rsid w:val="00F07DE7"/>
    <w:rsid w:val="00F11E5B"/>
    <w:rsid w:val="00F17781"/>
    <w:rsid w:val="00F21C55"/>
    <w:rsid w:val="00F24C31"/>
    <w:rsid w:val="00F3043A"/>
    <w:rsid w:val="00F32142"/>
    <w:rsid w:val="00F5531F"/>
    <w:rsid w:val="00F60C44"/>
    <w:rsid w:val="00F72ED3"/>
    <w:rsid w:val="00F739BA"/>
    <w:rsid w:val="00F7572D"/>
    <w:rsid w:val="00F9569E"/>
    <w:rsid w:val="00FC6E23"/>
    <w:rsid w:val="00FD2649"/>
    <w:rsid w:val="00FD6D84"/>
    <w:rsid w:val="00FE6942"/>
    <w:rsid w:val="00FF4696"/>
    <w:rsid w:val="037A7422"/>
    <w:rsid w:val="05724544"/>
    <w:rsid w:val="09673BFD"/>
    <w:rsid w:val="0D35363A"/>
    <w:rsid w:val="0D741EB3"/>
    <w:rsid w:val="0E745543"/>
    <w:rsid w:val="10191961"/>
    <w:rsid w:val="1A4A3FBF"/>
    <w:rsid w:val="23926914"/>
    <w:rsid w:val="260A4874"/>
    <w:rsid w:val="29217386"/>
    <w:rsid w:val="2ECF0610"/>
    <w:rsid w:val="33853FA1"/>
    <w:rsid w:val="37C54B77"/>
    <w:rsid w:val="437D79C7"/>
    <w:rsid w:val="4EA55114"/>
    <w:rsid w:val="5675098D"/>
    <w:rsid w:val="57FF7631"/>
    <w:rsid w:val="5B8D665A"/>
    <w:rsid w:val="5EC158AF"/>
    <w:rsid w:val="5EEC7EF1"/>
    <w:rsid w:val="64EA697F"/>
    <w:rsid w:val="6E866461"/>
    <w:rsid w:val="715C170F"/>
    <w:rsid w:val="74C65F5F"/>
    <w:rsid w:val="7A3375D8"/>
    <w:rsid w:val="7A4E0508"/>
    <w:rsid w:val="7ECB3009"/>
    <w:rsid w:val="DF5FE616"/>
    <w:rsid w:val="EBBB6E54"/>
    <w:rsid w:val="F7FF2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rFonts w:eastAsia="黑体"/>
      <w:b/>
      <w:bCs/>
      <w:kern w:val="44"/>
      <w:sz w:val="36"/>
      <w:szCs w:val="44"/>
    </w:rPr>
  </w:style>
  <w:style w:type="paragraph" w:styleId="3">
    <w:name w:val="heading 2"/>
    <w:basedOn w:val="1"/>
    <w:next w:val="1"/>
    <w:link w:val="26"/>
    <w:unhideWhenUsed/>
    <w:qFormat/>
    <w:uiPriority w:val="9"/>
    <w:pPr>
      <w:keepNext/>
      <w:keepLines/>
      <w:spacing w:line="415" w:lineRule="auto"/>
      <w:jc w:val="center"/>
      <w:outlineLvl w:val="1"/>
    </w:pPr>
    <w:rPr>
      <w:rFonts w:eastAsia="黑体" w:asciiTheme="majorHAnsi" w:hAnsiTheme="majorHAnsi"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4"/>
    <w:semiHidden/>
    <w:unhideWhenUsed/>
    <w:qFormat/>
    <w:uiPriority w:val="99"/>
    <w:rPr>
      <w:rFonts w:ascii="宋体" w:eastAsia="宋体"/>
      <w:sz w:val="18"/>
      <w:szCs w:val="18"/>
    </w:rPr>
  </w:style>
  <w:style w:type="paragraph" w:styleId="6">
    <w:name w:val="annotation text"/>
    <w:basedOn w:val="1"/>
    <w:link w:val="31"/>
    <w:unhideWhenUsed/>
    <w:qFormat/>
    <w:uiPriority w:val="99"/>
    <w:pPr>
      <w:jc w:val="left"/>
    </w:pPr>
  </w:style>
  <w:style w:type="paragraph" w:styleId="7">
    <w:name w:val="Salutation"/>
    <w:basedOn w:val="1"/>
    <w:next w:val="1"/>
    <w:link w:val="28"/>
    <w:qFormat/>
    <w:uiPriority w:val="99"/>
    <w:rPr>
      <w:rFonts w:ascii="Times New Roman" w:hAnsi="Times New Roman" w:eastAsia="宋体" w:cs="Times New Roman"/>
      <w:szCs w:val="21"/>
    </w:rPr>
  </w:style>
  <w:style w:type="paragraph" w:styleId="8">
    <w:name w:val="Balloon Text"/>
    <w:basedOn w:val="1"/>
    <w:link w:val="25"/>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Title"/>
    <w:basedOn w:val="1"/>
    <w:next w:val="1"/>
    <w:link w:val="21"/>
    <w:qFormat/>
    <w:uiPriority w:val="0"/>
    <w:pPr>
      <w:spacing w:before="240" w:after="60"/>
      <w:jc w:val="center"/>
      <w:outlineLvl w:val="0"/>
    </w:pPr>
    <w:rPr>
      <w:rFonts w:ascii="Cambria" w:hAnsi="Cambria" w:eastAsia="宋体" w:cs="Times New Roman"/>
      <w:b/>
      <w:bCs/>
      <w:sz w:val="32"/>
      <w:szCs w:val="32"/>
    </w:rPr>
  </w:style>
  <w:style w:type="paragraph" w:styleId="14">
    <w:name w:val="annotation subject"/>
    <w:basedOn w:val="6"/>
    <w:next w:val="6"/>
    <w:link w:val="32"/>
    <w:semiHidden/>
    <w:unhideWhenUsed/>
    <w:qFormat/>
    <w:uiPriority w:val="99"/>
    <w:rPr>
      <w:b/>
      <w:bCs/>
    </w:rPr>
  </w:style>
  <w:style w:type="table" w:styleId="16">
    <w:name w:val="Table Grid"/>
    <w:basedOn w:val="15"/>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rPr>
  </w:style>
  <w:style w:type="character" w:styleId="19">
    <w:name w:val="annotation reference"/>
    <w:basedOn w:val="17"/>
    <w:semiHidden/>
    <w:unhideWhenUsed/>
    <w:qFormat/>
    <w:uiPriority w:val="99"/>
    <w:rPr>
      <w:sz w:val="21"/>
      <w:szCs w:val="21"/>
    </w:rPr>
  </w:style>
  <w:style w:type="paragraph" w:customStyle="1" w:styleId="20">
    <w:name w:val="Default"/>
    <w:qFormat/>
    <w:uiPriority w:val="0"/>
    <w:pPr>
      <w:widowControl w:val="0"/>
      <w:autoSpaceDE w:val="0"/>
      <w:autoSpaceDN w:val="0"/>
      <w:adjustRightInd w:val="0"/>
    </w:pPr>
    <w:rPr>
      <w:rFonts w:ascii="黑体" w:hAnsi="黑体" w:cs="黑体" w:eastAsiaTheme="minorEastAsia"/>
      <w:color w:val="000000"/>
      <w:sz w:val="24"/>
      <w:szCs w:val="24"/>
      <w:lang w:val="en-US" w:eastAsia="zh-CN" w:bidi="ar-SA"/>
    </w:rPr>
  </w:style>
  <w:style w:type="character" w:customStyle="1" w:styleId="21">
    <w:name w:val="标题 Char"/>
    <w:basedOn w:val="17"/>
    <w:link w:val="13"/>
    <w:qFormat/>
    <w:uiPriority w:val="0"/>
    <w:rPr>
      <w:rFonts w:ascii="Cambria" w:hAnsi="Cambria" w:eastAsia="宋体" w:cs="Times New Roman"/>
      <w:b/>
      <w:bCs/>
      <w:sz w:val="32"/>
      <w:szCs w:val="32"/>
    </w:rPr>
  </w:style>
  <w:style w:type="paragraph" w:customStyle="1" w:styleId="22">
    <w:name w:val="p0"/>
    <w:basedOn w:val="1"/>
    <w:qFormat/>
    <w:uiPriority w:val="0"/>
    <w:pPr>
      <w:widowControl/>
    </w:pPr>
    <w:rPr>
      <w:rFonts w:ascii="Book Antiqua" w:hAnsi="Book Antiqua" w:eastAsia="宋体" w:cs="宋体"/>
      <w:kern w:val="0"/>
      <w:sz w:val="24"/>
      <w:szCs w:val="24"/>
    </w:rPr>
  </w:style>
  <w:style w:type="character" w:customStyle="1" w:styleId="23">
    <w:name w:val="页眉 Char"/>
    <w:basedOn w:val="17"/>
    <w:link w:val="10"/>
    <w:semiHidden/>
    <w:qFormat/>
    <w:uiPriority w:val="99"/>
    <w:rPr>
      <w:sz w:val="18"/>
      <w:szCs w:val="18"/>
    </w:rPr>
  </w:style>
  <w:style w:type="character" w:customStyle="1" w:styleId="24">
    <w:name w:val="页脚 Char"/>
    <w:basedOn w:val="17"/>
    <w:link w:val="9"/>
    <w:qFormat/>
    <w:uiPriority w:val="99"/>
    <w:rPr>
      <w:sz w:val="18"/>
      <w:szCs w:val="18"/>
    </w:rPr>
  </w:style>
  <w:style w:type="character" w:customStyle="1" w:styleId="25">
    <w:name w:val="批注框文本 Char"/>
    <w:basedOn w:val="17"/>
    <w:link w:val="8"/>
    <w:semiHidden/>
    <w:qFormat/>
    <w:uiPriority w:val="99"/>
    <w:rPr>
      <w:sz w:val="18"/>
      <w:szCs w:val="18"/>
    </w:rPr>
  </w:style>
  <w:style w:type="character" w:customStyle="1" w:styleId="26">
    <w:name w:val="标题 2 Char"/>
    <w:basedOn w:val="17"/>
    <w:link w:val="3"/>
    <w:qFormat/>
    <w:uiPriority w:val="9"/>
    <w:rPr>
      <w:rFonts w:eastAsia="黑体" w:asciiTheme="majorHAnsi" w:hAnsiTheme="majorHAnsi" w:cstheme="majorBidi"/>
      <w:b/>
      <w:bCs/>
      <w:kern w:val="2"/>
      <w:sz w:val="32"/>
      <w:szCs w:val="32"/>
    </w:rPr>
  </w:style>
  <w:style w:type="paragraph" w:customStyle="1" w:styleId="27">
    <w:name w:val="列出段落1"/>
    <w:basedOn w:val="1"/>
    <w:qFormat/>
    <w:uiPriority w:val="34"/>
    <w:pPr>
      <w:ind w:firstLine="420" w:firstLineChars="200"/>
    </w:pPr>
    <w:rPr>
      <w:rFonts w:ascii="Calibri" w:hAnsi="Calibri" w:eastAsia="宋体" w:cs="Times New Roman"/>
    </w:rPr>
  </w:style>
  <w:style w:type="character" w:customStyle="1" w:styleId="28">
    <w:name w:val="称呼 Char"/>
    <w:basedOn w:val="17"/>
    <w:link w:val="7"/>
    <w:qFormat/>
    <w:uiPriority w:val="99"/>
    <w:rPr>
      <w:rFonts w:ascii="Times New Roman" w:hAnsi="Times New Roman" w:eastAsia="宋体" w:cs="Times New Roman"/>
      <w:szCs w:val="21"/>
    </w:rPr>
  </w:style>
  <w:style w:type="character" w:customStyle="1" w:styleId="29">
    <w:name w:val="标题 1 Char"/>
    <w:basedOn w:val="17"/>
    <w:link w:val="2"/>
    <w:qFormat/>
    <w:uiPriority w:val="9"/>
    <w:rPr>
      <w:rFonts w:eastAsia="黑体" w:asciiTheme="minorHAnsi" w:hAnsiTheme="minorHAnsi"/>
      <w:b/>
      <w:bCs/>
      <w:kern w:val="44"/>
      <w:sz w:val="36"/>
      <w:szCs w:val="44"/>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文字 Char"/>
    <w:basedOn w:val="17"/>
    <w:link w:val="6"/>
    <w:qFormat/>
    <w:uiPriority w:val="99"/>
    <w:rPr>
      <w:kern w:val="2"/>
      <w:sz w:val="21"/>
      <w:szCs w:val="22"/>
    </w:rPr>
  </w:style>
  <w:style w:type="character" w:customStyle="1" w:styleId="32">
    <w:name w:val="批注主题 Char"/>
    <w:basedOn w:val="31"/>
    <w:link w:val="14"/>
    <w:semiHidden/>
    <w:qFormat/>
    <w:uiPriority w:val="99"/>
    <w:rPr>
      <w:b/>
      <w:bCs/>
      <w:kern w:val="2"/>
      <w:sz w:val="21"/>
      <w:szCs w:val="22"/>
    </w:rPr>
  </w:style>
  <w:style w:type="paragraph" w:styleId="33">
    <w:name w:val="List Paragraph"/>
    <w:basedOn w:val="1"/>
    <w:qFormat/>
    <w:uiPriority w:val="99"/>
    <w:pPr>
      <w:ind w:firstLine="420" w:firstLineChars="200"/>
    </w:pPr>
  </w:style>
  <w:style w:type="character" w:customStyle="1" w:styleId="34">
    <w:name w:val="文档结构图 Char"/>
    <w:basedOn w:val="17"/>
    <w:link w:val="5"/>
    <w:semiHidden/>
    <w:qFormat/>
    <w:uiPriority w:val="99"/>
    <w:rPr>
      <w:rFonts w:ascii="宋体" w:eastAsia="宋体"/>
      <w:kern w:val="2"/>
      <w:sz w:val="18"/>
      <w:szCs w:val="18"/>
    </w:rPr>
  </w:style>
  <w:style w:type="paragraph" w:customStyle="1" w:styleId="3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6">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1970</Words>
  <Characters>11230</Characters>
  <Lines>93</Lines>
  <Paragraphs>26</Paragraphs>
  <TotalTime>1</TotalTime>
  <ScaleCrop>false</ScaleCrop>
  <LinksUpToDate>false</LinksUpToDate>
  <CharactersWithSpaces>13174</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2025-05-09T01:36:00Z</dcterms:created>
  <dc:creator>whzhou</dc:creator>
  <cp:lastModifiedBy>wentinglou</cp:lastModifiedBy>
  <cp:lastPrinted>2025-07-30T23:27:00Z</cp:lastPrinted>
  <dcterms:modified xsi:type="dcterms:W3CDTF">2025-08-25T15:45:03Z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FC6AF9F3AEFE4EACA2E59B9C140D978F_13</vt:lpwstr>
  </property>
</Properties>
</file>