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83990">
      <w:pPr>
        <w:jc w:val="center"/>
        <w:rPr>
          <w:rFonts w:ascii="黑体" w:hAnsi="黑体" w:eastAsia="黑体"/>
          <w:b/>
          <w:bCs/>
          <w:sz w:val="36"/>
          <w:szCs w:val="36"/>
        </w:rPr>
      </w:pPr>
      <w:bookmarkStart w:id="0" w:name="_Toc300047341"/>
      <w:bookmarkStart w:id="1" w:name="_Toc50034076"/>
      <w:bookmarkStart w:id="2" w:name="_Toc408933476"/>
      <w:r>
        <w:rPr>
          <w:rFonts w:hint="eastAsia" w:ascii="黑体" w:hAnsi="黑体" w:eastAsia="黑体"/>
          <w:b/>
          <w:bCs/>
          <w:sz w:val="36"/>
          <w:szCs w:val="36"/>
        </w:rPr>
        <w:t>第十七号</w:t>
      </w:r>
      <w:r>
        <w:rPr>
          <w:rFonts w:ascii="黑体" w:hAnsi="黑体" w:eastAsia="黑体"/>
          <w:b/>
          <w:bCs/>
          <w:sz w:val="36"/>
          <w:szCs w:val="36"/>
        </w:rPr>
        <w:t xml:space="preserve">  </w:t>
      </w:r>
      <w:r>
        <w:rPr>
          <w:rFonts w:hint="eastAsia" w:ascii="黑体" w:hAnsi="黑体" w:eastAsia="黑体"/>
          <w:b/>
          <w:bCs/>
          <w:sz w:val="36"/>
          <w:szCs w:val="36"/>
        </w:rPr>
        <w:t>上市公司</w:t>
      </w:r>
      <w:bookmarkEnd w:id="0"/>
      <w:r>
        <w:rPr>
          <w:rFonts w:hint="eastAsia" w:ascii="黑体" w:hAnsi="黑体" w:eastAsia="黑体"/>
          <w:b/>
          <w:bCs/>
          <w:sz w:val="36"/>
          <w:szCs w:val="36"/>
        </w:rPr>
        <w:t>召开股东会通知公告</w:t>
      </w:r>
      <w:bookmarkEnd w:id="1"/>
      <w:bookmarkEnd w:id="2"/>
    </w:p>
    <w:p w14:paraId="42E26BEB">
      <w:pPr>
        <w:jc w:val="center"/>
        <w:rPr>
          <w:rFonts w:ascii="黑体" w:hAnsi="黑体" w:eastAsia="黑体"/>
          <w:b/>
          <w:bCs/>
          <w:sz w:val="36"/>
          <w:szCs w:val="36"/>
        </w:rPr>
      </w:pPr>
      <w:r>
        <w:rPr>
          <w:rFonts w:hint="eastAsia" w:ascii="黑体" w:hAnsi="黑体" w:eastAsia="黑体"/>
          <w:b/>
          <w:bCs/>
          <w:sz w:val="36"/>
          <w:szCs w:val="36"/>
        </w:rPr>
        <w:t>（董事会召集）</w:t>
      </w:r>
    </w:p>
    <w:p w14:paraId="2BB6980C">
      <w:pPr>
        <w:adjustRightInd w:val="0"/>
        <w:snapToGrid w:val="0"/>
        <w:spacing w:line="560" w:lineRule="exact"/>
        <w:jc w:val="center"/>
        <w:rPr>
          <w:rFonts w:ascii="楷体" w:hAnsi="楷体" w:eastAsia="楷体"/>
          <w:sz w:val="28"/>
          <w:szCs w:val="28"/>
        </w:rPr>
      </w:pPr>
      <w:r>
        <w:rPr>
          <w:rFonts w:hint="eastAsia" w:ascii="楷体" w:hAnsi="楷体" w:eastAsia="楷体" w:cs="宋体"/>
          <w:kern w:val="0"/>
          <w:sz w:val="28"/>
          <w:szCs w:val="28"/>
        </w:rPr>
        <w:t>（*本公告应当使用本所公告编制软件编制）</w:t>
      </w:r>
    </w:p>
    <w:p w14:paraId="1EBDB2C1">
      <w:pPr>
        <w:tabs>
          <w:tab w:val="left" w:pos="0"/>
        </w:tabs>
        <w:autoSpaceDE w:val="0"/>
        <w:autoSpaceDN w:val="0"/>
        <w:adjustRightInd w:val="0"/>
        <w:snapToGrid w:val="0"/>
        <w:spacing w:line="560" w:lineRule="exact"/>
        <w:ind w:firstLine="600" w:firstLineChars="200"/>
        <w:rPr>
          <w:rFonts w:ascii="仿宋" w:hAnsi="仿宋" w:eastAsia="仿宋_GB2312"/>
          <w:sz w:val="30"/>
          <w:szCs w:val="30"/>
        </w:rPr>
      </w:pPr>
    </w:p>
    <w:p w14:paraId="0D7549D0">
      <w:pPr>
        <w:adjustRightInd w:val="0"/>
        <w:snapToGrid w:val="0"/>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证券代码：        　　证券简称：        　  公告编号：</w:t>
      </w:r>
    </w:p>
    <w:p w14:paraId="5DB15B91">
      <w:pPr>
        <w:tabs>
          <w:tab w:val="left" w:pos="0"/>
        </w:tabs>
        <w:autoSpaceDE w:val="0"/>
        <w:autoSpaceDN w:val="0"/>
        <w:adjustRightInd w:val="0"/>
        <w:snapToGrid w:val="0"/>
        <w:spacing w:line="560" w:lineRule="exact"/>
        <w:rPr>
          <w:rFonts w:ascii="仿宋" w:hAnsi="仿宋" w:eastAsia="仿宋_GB2312"/>
          <w:sz w:val="30"/>
          <w:szCs w:val="30"/>
        </w:rPr>
      </w:pPr>
    </w:p>
    <w:p w14:paraId="034C250A">
      <w:pPr>
        <w:snapToGrid w:val="0"/>
        <w:spacing w:line="560" w:lineRule="exact"/>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XXXX股份有限公司关于召开XXXX年度股东会</w:t>
      </w:r>
    </w:p>
    <w:p w14:paraId="74565233">
      <w:pPr>
        <w:snapToGrid w:val="0"/>
        <w:spacing w:line="560" w:lineRule="exact"/>
        <w:jc w:val="center"/>
        <w:rPr>
          <w:rFonts w:ascii="仿宋" w:hAnsi="仿宋" w:eastAsia="仿宋_GB2312"/>
          <w:b/>
          <w:sz w:val="30"/>
          <w:szCs w:val="30"/>
        </w:rPr>
      </w:pPr>
      <w:r>
        <w:rPr>
          <w:rFonts w:hint="eastAsia" w:ascii="仿宋_GB2312" w:hAnsi="宋体" w:eastAsia="仿宋_GB2312" w:cs="Times New Roman"/>
          <w:color w:val="000000"/>
          <w:sz w:val="30"/>
          <w:szCs w:val="30"/>
        </w:rPr>
        <w:t>（或XXXX年第XX次临时股东会）的通知</w:t>
      </w:r>
    </w:p>
    <w:p w14:paraId="25FC16CE">
      <w:pPr>
        <w:autoSpaceDE w:val="0"/>
        <w:autoSpaceDN w:val="0"/>
        <w:adjustRightInd w:val="0"/>
        <w:snapToGrid w:val="0"/>
        <w:spacing w:line="560" w:lineRule="exact"/>
        <w:ind w:right="360" w:firstLine="602" w:firstLineChars="200"/>
        <w:rPr>
          <w:rFonts w:ascii="仿宋" w:hAnsi="仿宋" w:eastAsia="仿宋_GB2312"/>
          <w:b/>
          <w:sz w:val="30"/>
          <w:szCs w:val="30"/>
        </w:rPr>
      </w:pPr>
      <w:bookmarkStart w:id="14" w:name="_GoBack"/>
      <w:bookmarkEnd w:id="14"/>
    </w:p>
    <w:p w14:paraId="395AF4CF">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本公司董事会及全体董事保证本公告内容不存在任何虚假记载、误导性陈述或者重大遗漏，并对其内容的真实性、准确性和完整性承担法律责任。</w:t>
      </w:r>
    </w:p>
    <w:p w14:paraId="37E71EA9">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如有董事对临时公告内容的真实性、准确性和完整性无法保证或存在异议的，公司应当在公告中作特别提示。</w:t>
      </w:r>
    </w:p>
    <w:p w14:paraId="398EACF7">
      <w:pPr>
        <w:autoSpaceDE w:val="0"/>
        <w:autoSpaceDN w:val="0"/>
        <w:adjustRightInd w:val="0"/>
        <w:snapToGrid w:val="0"/>
        <w:spacing w:line="560" w:lineRule="exact"/>
        <w:ind w:right="357"/>
        <w:rPr>
          <w:rFonts w:ascii="仿宋" w:hAnsi="仿宋" w:eastAsia="仿宋_GB2312"/>
          <w:sz w:val="30"/>
          <w:szCs w:val="30"/>
        </w:rPr>
      </w:pPr>
    </w:p>
    <w:p w14:paraId="1A53E130">
      <w:pPr>
        <w:adjustRightInd w:val="0"/>
        <w:snapToGrid w:val="0"/>
        <w:spacing w:line="560" w:lineRule="exact"/>
        <w:ind w:firstLine="602" w:firstLineChars="200"/>
        <w:rPr>
          <w:rFonts w:ascii="仿宋_GB2312" w:hAnsi="宋体" w:eastAsia="仿宋_GB2312" w:cs="Times New Roman"/>
          <w:b/>
          <w:sz w:val="30"/>
          <w:szCs w:val="30"/>
        </w:rPr>
      </w:pPr>
      <w:bookmarkStart w:id="3" w:name="_Toc340839629"/>
      <w:bookmarkEnd w:id="3"/>
      <w:bookmarkStart w:id="4" w:name="_Toc330904144"/>
      <w:bookmarkEnd w:id="4"/>
      <w:r>
        <w:rPr>
          <w:rFonts w:hint="eastAsia" w:ascii="仿宋_GB2312" w:hAnsi="宋体" w:eastAsia="仿宋_GB2312" w:cs="Times New Roman"/>
          <w:b/>
          <w:sz w:val="30"/>
          <w:szCs w:val="30"/>
        </w:rPr>
        <w:t>重要内容提示：</w:t>
      </w:r>
    </w:p>
    <w:p w14:paraId="4F8B7609">
      <w:pPr>
        <w:widowControl/>
        <w:adjustRightInd w:val="0"/>
        <w:snapToGrid w:val="0"/>
        <w:spacing w:line="560" w:lineRule="exact"/>
        <w:ind w:left="6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股东会召开日期</w:t>
      </w:r>
      <w:r>
        <w:rPr>
          <w:rFonts w:hint="eastAsia" w:ascii="仿宋_GB2312" w:hAnsi="仿宋_GB2312" w:eastAsia="仿宋_GB2312" w:cs="仿宋_GB2312"/>
          <w:kern w:val="0"/>
          <w:sz w:val="30"/>
          <w:szCs w:val="30"/>
        </w:rPr>
        <w:t>：XXXX年XX月XX日</w:t>
      </w:r>
    </w:p>
    <w:p w14:paraId="398F5B65">
      <w:pPr>
        <w:widowControl/>
        <w:numPr>
          <w:ilvl w:val="0"/>
          <w:numId w:val="1"/>
        </w:numPr>
        <w:adjustRightInd w:val="0"/>
        <w:snapToGrid w:val="0"/>
        <w:spacing w:line="560" w:lineRule="exact"/>
        <w:ind w:left="0"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（如适用）本次股东会涉及优先股表决议案</w:t>
      </w:r>
    </w:p>
    <w:p w14:paraId="4E6EC950">
      <w:pPr>
        <w:widowControl/>
        <w:numPr>
          <w:ilvl w:val="0"/>
          <w:numId w:val="1"/>
        </w:numPr>
        <w:adjustRightInd w:val="0"/>
        <w:snapToGrid w:val="0"/>
        <w:spacing w:line="560" w:lineRule="exact"/>
        <w:ind w:left="0"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（如适用）本次股东会涉及表决权恢复的优先股</w:t>
      </w:r>
    </w:p>
    <w:p w14:paraId="69B914FC">
      <w:pPr>
        <w:widowControl/>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优先股代码：</w:t>
      </w:r>
      <w:r>
        <w:rPr>
          <w:rFonts w:hint="eastAsia" w:ascii="仿宋_GB2312" w:hAnsi="仿宋_GB2312" w:eastAsia="仿宋_GB2312" w:cs="仿宋_GB2312"/>
          <w:sz w:val="30"/>
          <w:szCs w:val="30"/>
          <w:u w:val="single"/>
        </w:rPr>
        <w:t>XXXXXX</w:t>
      </w:r>
      <w:r>
        <w:rPr>
          <w:rFonts w:hint="eastAsia" w:ascii="仿宋_GB2312" w:hAnsi="仿宋_GB2312" w:eastAsia="仿宋_GB2312" w:cs="仿宋_GB2312"/>
          <w:sz w:val="30"/>
          <w:szCs w:val="30"/>
        </w:rPr>
        <w:t>，优先股简称：</w:t>
      </w:r>
      <w:r>
        <w:rPr>
          <w:rFonts w:hint="eastAsia" w:ascii="仿宋_GB2312" w:hAnsi="仿宋_GB2312" w:eastAsia="仿宋_GB2312" w:cs="仿宋_GB2312"/>
          <w:sz w:val="30"/>
          <w:szCs w:val="30"/>
          <w:u w:val="single"/>
        </w:rPr>
        <w:t>XXXX</w:t>
      </w:r>
    </w:p>
    <w:p w14:paraId="0A8AAD19">
      <w:pPr>
        <w:widowControl/>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每股优先股享有的普通股表决权</w:t>
      </w:r>
      <w:r>
        <w:rPr>
          <w:rFonts w:hint="eastAsia" w:ascii="仿宋_GB2312" w:hAnsi="仿宋_GB2312" w:eastAsia="仿宋_GB2312" w:cs="仿宋_GB2312"/>
          <w:sz w:val="30"/>
          <w:szCs w:val="30"/>
          <w:u w:val="single"/>
        </w:rPr>
        <w:t>XXXX</w:t>
      </w:r>
      <w:r>
        <w:rPr>
          <w:rFonts w:hint="eastAsia" w:ascii="仿宋_GB2312" w:hAnsi="仿宋_GB2312" w:eastAsia="仿宋_GB2312" w:cs="仿宋_GB2312"/>
          <w:sz w:val="30"/>
          <w:szCs w:val="30"/>
        </w:rPr>
        <w:t>股</w:t>
      </w:r>
    </w:p>
    <w:p w14:paraId="59646CB3">
      <w:pPr>
        <w:widowControl/>
        <w:adjustRightInd w:val="0"/>
        <w:snapToGrid w:val="0"/>
        <w:spacing w:line="560" w:lineRule="exact"/>
        <w:ind w:left="6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本次股东会采用的网络投票系统：[上海证券交易所股东会网络投票系统/其他网络投票系统：]；</w:t>
      </w:r>
      <w:r>
        <w:rPr>
          <w:rFonts w:ascii="Calibri" w:hAnsi="Calibri" w:eastAsia="仿宋_GB2312" w:cs="Calibri"/>
          <w:kern w:val="0"/>
          <w:sz w:val="30"/>
          <w:szCs w:val="30"/>
        </w:rPr>
        <w:t>  </w:t>
      </w:r>
    </w:p>
    <w:p w14:paraId="0881B93B">
      <w:pPr>
        <w:widowControl/>
        <w:adjustRightInd w:val="0"/>
        <w:snapToGrid w:val="0"/>
        <w:spacing w:line="560" w:lineRule="exact"/>
        <w:ind w:firstLine="602" w:firstLineChars="200"/>
        <w:jc w:val="left"/>
        <w:rPr>
          <w:rFonts w:ascii="仿宋" w:hAnsi="仿宋" w:eastAsia="仿宋_GB2312" w:cs="宋体"/>
          <w:b/>
          <w:kern w:val="0"/>
          <w:sz w:val="30"/>
          <w:szCs w:val="30"/>
        </w:rPr>
      </w:pPr>
    </w:p>
    <w:p w14:paraId="27E8CBA0">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一、召开会议的基本情况</w:t>
      </w:r>
    </w:p>
    <w:p w14:paraId="625994E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（一）股东会类型和届次</w:t>
      </w:r>
    </w:p>
    <w:p w14:paraId="053D1883">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u w:val="single"/>
        </w:rPr>
      </w:pPr>
      <w:r>
        <w:rPr>
          <w:rFonts w:hint="eastAsia" w:ascii="仿宋_GB2312" w:hAnsi="Calibri" w:eastAsia="仿宋_GB2312" w:cs="Times New Roman"/>
          <w:color w:val="000000"/>
          <w:sz w:val="30"/>
          <w:szCs w:val="30"/>
          <w:u w:val="single"/>
        </w:rPr>
        <w:t>[XXXX年度股东会/ XXXX年第XX次临时股东会]</w:t>
      </w:r>
    </w:p>
    <w:p w14:paraId="5C28814C">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（二）股东会召集人：董事会</w:t>
      </w:r>
    </w:p>
    <w:p w14:paraId="245B8610">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股东会由独立董事、审计委员会、单独或者合计持有公司</w:t>
      </w:r>
      <w:r>
        <w:rPr>
          <w:rFonts w:hint="eastAsia" w:ascii="仿宋_GB2312" w:hAnsi="Calibri" w:eastAsia="仿宋_GB2312" w:cs="Times New Roman"/>
          <w:color w:val="000000"/>
          <w:sz w:val="30"/>
          <w:szCs w:val="30"/>
          <w:lang w:val="en-US" w:eastAsia="zh-CN"/>
        </w:rPr>
        <w:t>10%</w:t>
      </w:r>
      <w:r>
        <w:rPr>
          <w:rFonts w:hint="eastAsia" w:ascii="仿宋_GB2312" w:hAnsi="Calibri" w:eastAsia="仿宋_GB2312" w:cs="Times New Roman"/>
          <w:color w:val="000000"/>
          <w:sz w:val="30"/>
          <w:szCs w:val="30"/>
        </w:rPr>
        <w:t>以上股份（含表决权恢复的优先股等）的股东向董事会提议或请求召开的，应说明董事会收到有关提议或请求的具体情况。</w:t>
      </w:r>
    </w:p>
    <w:p w14:paraId="2DEAEEF3">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（三）投票方式：本次股东会所采用的表决方式是现场投票与网络投票相结合的方式。</w:t>
      </w:r>
    </w:p>
    <w:p w14:paraId="7EA2646E">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（四）现场会议召开的日期、时间和地点</w:t>
      </w:r>
    </w:p>
    <w:p w14:paraId="7E90D502">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召开日期时间：</w:t>
      </w:r>
      <w:r>
        <w:rPr>
          <w:rFonts w:hint="eastAsia" w:ascii="仿宋_GB2312" w:hAnsi="Calibri" w:eastAsia="仿宋_GB2312" w:cs="Times New Roman"/>
          <w:color w:val="000000"/>
          <w:sz w:val="30"/>
          <w:szCs w:val="30"/>
          <w:u w:val="single"/>
        </w:rPr>
        <w:t>XXXX年XX月XX日 XX点XX分</w:t>
      </w:r>
    </w:p>
    <w:p w14:paraId="15369679">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（编制提醒：股东会会议现场结束时间不得早于网络或其他方式。）</w:t>
      </w:r>
    </w:p>
    <w:p w14:paraId="257CEC0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召开地点：</w:t>
      </w:r>
      <w:r>
        <w:rPr>
          <w:rFonts w:hint="eastAsia" w:ascii="仿宋_GB2312" w:hAnsi="Calibri" w:eastAsia="仿宋_GB2312" w:cs="Times New Roman"/>
          <w:color w:val="000000"/>
          <w:sz w:val="30"/>
          <w:szCs w:val="30"/>
          <w:u w:val="single"/>
        </w:rPr>
        <w:t>　　　　　　　　　　　　　　</w:t>
      </w:r>
    </w:p>
    <w:p w14:paraId="3C3013D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（五）网络投票的系统、起止日期和投票时间</w:t>
      </w:r>
    </w:p>
    <w:p w14:paraId="7637C624">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u w:val="single"/>
        </w:rPr>
      </w:pPr>
      <w:r>
        <w:rPr>
          <w:rFonts w:hint="eastAsia" w:ascii="仿宋_GB2312" w:hAnsi="Calibri" w:eastAsia="仿宋_GB2312" w:cs="Times New Roman"/>
          <w:color w:val="000000"/>
          <w:sz w:val="30"/>
          <w:szCs w:val="30"/>
        </w:rPr>
        <w:t>网络投票系统：</w:t>
      </w:r>
      <w:r>
        <w:rPr>
          <w:rFonts w:hint="eastAsia" w:ascii="仿宋_GB2312" w:hAnsi="Calibri" w:eastAsia="仿宋_GB2312" w:cs="Times New Roman"/>
          <w:color w:val="000000"/>
          <w:sz w:val="30"/>
          <w:szCs w:val="30"/>
          <w:u w:val="single"/>
        </w:rPr>
        <w:t>[上海证券交易所股东会网络投票系统/其他网络投票系统：　　]</w:t>
      </w:r>
    </w:p>
    <w:p w14:paraId="00E65CCD">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网络投票起止时间：自</w:t>
      </w:r>
      <w:r>
        <w:rPr>
          <w:rFonts w:hint="eastAsia" w:ascii="仿宋_GB2312" w:hAnsi="Calibri" w:eastAsia="仿宋_GB2312" w:cs="Times New Roman"/>
          <w:color w:val="000000"/>
          <w:sz w:val="30"/>
          <w:szCs w:val="30"/>
          <w:u w:val="single"/>
        </w:rPr>
        <w:t>XXXX年XX月XX日XX时XX分</w:t>
      </w:r>
      <w:r>
        <w:rPr>
          <w:rFonts w:hint="eastAsia" w:ascii="仿宋_GB2312" w:hAnsi="Calibri" w:eastAsia="仿宋_GB2312" w:cs="Times New Roman"/>
          <w:color w:val="000000"/>
          <w:sz w:val="30"/>
          <w:szCs w:val="30"/>
        </w:rPr>
        <w:t>至</w:t>
      </w:r>
      <w:r>
        <w:rPr>
          <w:rFonts w:hint="eastAsia" w:ascii="仿宋_GB2312" w:hAnsi="Calibri" w:eastAsia="仿宋_GB2312" w:cs="Times New Roman"/>
          <w:color w:val="000000"/>
          <w:sz w:val="30"/>
          <w:szCs w:val="30"/>
          <w:u w:val="single"/>
        </w:rPr>
        <w:t>XXXX年XX月XX日XX时XX分</w:t>
      </w:r>
    </w:p>
    <w:p w14:paraId="407BEF90">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（如适用）采用上海证券交易所网络投票系统，通过交易系统投票平台的投票时间为股东会召开当日的交易时间段，即9:15-9:25，9:30-11:30，13:00-15:00；通过互联网投票平台的投票时间为股东会召开当日的9:15-15:00。</w:t>
      </w:r>
    </w:p>
    <w:p w14:paraId="7ECF32B5">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（六）融资融券、转融通、约定购回业务账户和沪股通投资者的投票程序</w:t>
      </w:r>
    </w:p>
    <w:p w14:paraId="1E6FF0F6">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涉及融资融券、转融通业务、约定购回业务相关账户以及沪股通投资者的投票，按照《上海证券交易所上市公司自律监管指引第1号——规范运作》等有关规定执行。</w:t>
      </w:r>
    </w:p>
    <w:p w14:paraId="7684A790">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（七）涉及优先股表决权恢复（如适用）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2551"/>
        <w:gridCol w:w="3169"/>
      </w:tblGrid>
      <w:tr w14:paraId="11D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5E1C884">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恢复表决权的优先股代码</w:t>
            </w:r>
          </w:p>
        </w:tc>
        <w:tc>
          <w:tcPr>
            <w:tcW w:w="1418" w:type="dxa"/>
            <w:vAlign w:val="center"/>
          </w:tcPr>
          <w:p w14:paraId="1F8EBE8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恢复表决权的优先股简称</w:t>
            </w:r>
          </w:p>
        </w:tc>
        <w:tc>
          <w:tcPr>
            <w:tcW w:w="2551" w:type="dxa"/>
            <w:vAlign w:val="center"/>
          </w:tcPr>
          <w:p w14:paraId="5EACF6C5">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恢复表决权的每股优先股享有的普通股表决权（股）</w:t>
            </w:r>
          </w:p>
        </w:tc>
        <w:tc>
          <w:tcPr>
            <w:tcW w:w="3169" w:type="dxa"/>
            <w:vAlign w:val="center"/>
          </w:tcPr>
          <w:p w14:paraId="2749ACF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其他说明事项</w:t>
            </w:r>
          </w:p>
        </w:tc>
      </w:tr>
      <w:tr w14:paraId="00F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4025FD6">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418" w:type="dxa"/>
          </w:tcPr>
          <w:p w14:paraId="34AD8221">
            <w:pPr>
              <w:autoSpaceDE w:val="0"/>
              <w:autoSpaceDN w:val="0"/>
              <w:adjustRightInd w:val="0"/>
              <w:snapToGrid w:val="0"/>
              <w:spacing w:before="156" w:beforeLines="50" w:after="156" w:afterLines="50" w:line="560" w:lineRule="exact"/>
              <w:jc w:val="center"/>
              <w:rPr>
                <w:rFonts w:ascii="仿宋_GB2312" w:hAnsi="宋体" w:eastAsia="仿宋_GB2312" w:cs="宋体"/>
                <w:b/>
                <w:bCs/>
                <w:color w:val="000000"/>
                <w:kern w:val="0"/>
                <w:sz w:val="24"/>
                <w:szCs w:val="21"/>
              </w:rPr>
            </w:pPr>
          </w:p>
        </w:tc>
        <w:tc>
          <w:tcPr>
            <w:tcW w:w="2551" w:type="dxa"/>
          </w:tcPr>
          <w:p w14:paraId="025985E7">
            <w:pPr>
              <w:autoSpaceDE w:val="0"/>
              <w:autoSpaceDN w:val="0"/>
              <w:adjustRightInd w:val="0"/>
              <w:snapToGrid w:val="0"/>
              <w:spacing w:before="156" w:beforeLines="50" w:after="156" w:afterLines="50" w:line="560" w:lineRule="exact"/>
              <w:jc w:val="center"/>
              <w:rPr>
                <w:rFonts w:ascii="仿宋_GB2312" w:hAnsi="宋体" w:eastAsia="仿宋_GB2312" w:cs="宋体"/>
                <w:b/>
                <w:bCs/>
                <w:color w:val="000000"/>
                <w:kern w:val="0"/>
                <w:sz w:val="24"/>
                <w:szCs w:val="21"/>
              </w:rPr>
            </w:pPr>
          </w:p>
        </w:tc>
        <w:tc>
          <w:tcPr>
            <w:tcW w:w="3169" w:type="dxa"/>
          </w:tcPr>
          <w:p w14:paraId="1BB38FE4">
            <w:pPr>
              <w:autoSpaceDE w:val="0"/>
              <w:autoSpaceDN w:val="0"/>
              <w:adjustRightInd w:val="0"/>
              <w:snapToGrid w:val="0"/>
              <w:spacing w:before="156" w:beforeLines="50" w:after="156" w:afterLines="50" w:line="560" w:lineRule="exact"/>
              <w:jc w:val="center"/>
              <w:rPr>
                <w:rFonts w:ascii="仿宋_GB2312" w:hAnsi="宋体" w:eastAsia="仿宋_GB2312" w:cs="宋体"/>
                <w:b/>
                <w:bCs/>
                <w:color w:val="000000"/>
                <w:kern w:val="0"/>
                <w:sz w:val="24"/>
                <w:szCs w:val="21"/>
              </w:rPr>
            </w:pPr>
          </w:p>
        </w:tc>
      </w:tr>
    </w:tbl>
    <w:p w14:paraId="5782C32C">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（编制提醒：本次股东会如涉及优先股表决权恢复的，应当根据《国务院关于开展优先股试点的指导意见》（国发[2013]46号）和证监会发布的《</w:t>
      </w:r>
      <w:bookmarkStart w:id="5" w:name="OLE_LINK1"/>
      <w:r>
        <w:rPr>
          <w:rFonts w:hint="eastAsia" w:ascii="楷体" w:hAnsi="楷体" w:eastAsia="楷体" w:cs="宋体-WinCharSetFFFF-H"/>
          <w:color w:val="000000"/>
          <w:kern w:val="0"/>
          <w:sz w:val="24"/>
          <w:szCs w:val="24"/>
        </w:rPr>
        <w:t>优先股试点管理办法</w:t>
      </w:r>
      <w:bookmarkEnd w:id="5"/>
      <w:r>
        <w:rPr>
          <w:rFonts w:hint="eastAsia" w:ascii="楷体" w:hAnsi="楷体" w:eastAsia="楷体" w:cs="宋体-WinCharSetFFFF-H"/>
          <w:color w:val="000000"/>
          <w:kern w:val="0"/>
          <w:sz w:val="24"/>
          <w:szCs w:val="24"/>
        </w:rPr>
        <w:t>》的有关规定执行，并说明按公司披露的《发行优先股募集资金说明书》中对优先股表决权恢复的安排，包括恢复表决权的代码、简称、折算比例及其他应当说明的安排事项）</w:t>
      </w:r>
    </w:p>
    <w:p w14:paraId="01AB8C60">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（八）涉及公开征集股东投票权（如适用）</w:t>
      </w:r>
    </w:p>
    <w:p w14:paraId="192795A2">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（编制提醒：如本次股东会涉及公开征集股东投票权的，应当简要说明征集投票权的基本情况，并同时发布征集投票权公告）</w:t>
      </w:r>
    </w:p>
    <w:p w14:paraId="668FE788">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14515064">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二、会议审议事项</w:t>
      </w:r>
    </w:p>
    <w:p w14:paraId="6B87877E">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本次股东会审议议案及投票股东类型</w:t>
      </w:r>
    </w:p>
    <w:tbl>
      <w:tblPr>
        <w:tblStyle w:val="8"/>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969"/>
        <w:gridCol w:w="900"/>
        <w:gridCol w:w="720"/>
        <w:gridCol w:w="720"/>
        <w:gridCol w:w="1034"/>
      </w:tblGrid>
      <w:tr w14:paraId="597B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vMerge w:val="restart"/>
            <w:vAlign w:val="center"/>
          </w:tcPr>
          <w:p w14:paraId="5905350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序号</w:t>
            </w:r>
          </w:p>
        </w:tc>
        <w:tc>
          <w:tcPr>
            <w:tcW w:w="3969" w:type="dxa"/>
            <w:vMerge w:val="restart"/>
            <w:vAlign w:val="center"/>
          </w:tcPr>
          <w:p w14:paraId="2628DD8D">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议案名称</w:t>
            </w:r>
          </w:p>
        </w:tc>
        <w:tc>
          <w:tcPr>
            <w:tcW w:w="3374" w:type="dxa"/>
            <w:gridSpan w:val="4"/>
          </w:tcPr>
          <w:p w14:paraId="3ED64D2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投票股东类型</w:t>
            </w:r>
          </w:p>
        </w:tc>
      </w:tr>
      <w:tr w14:paraId="7D4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7" w:type="dxa"/>
            <w:vMerge w:val="continue"/>
          </w:tcPr>
          <w:p w14:paraId="10FE576E">
            <w:pPr>
              <w:autoSpaceDE w:val="0"/>
              <w:autoSpaceDN w:val="0"/>
              <w:adjustRightInd w:val="0"/>
              <w:snapToGrid w:val="0"/>
              <w:spacing w:before="156" w:beforeLines="50" w:after="156" w:afterLines="50" w:line="560" w:lineRule="exact"/>
              <w:jc w:val="center"/>
              <w:rPr>
                <w:rFonts w:ascii="仿宋_GB2312" w:hAnsi="宋体" w:eastAsia="仿宋_GB2312" w:cs="宋体"/>
                <w:b/>
                <w:bCs/>
                <w:color w:val="000000"/>
                <w:kern w:val="0"/>
                <w:sz w:val="24"/>
                <w:szCs w:val="21"/>
              </w:rPr>
            </w:pPr>
          </w:p>
        </w:tc>
        <w:tc>
          <w:tcPr>
            <w:tcW w:w="3969" w:type="dxa"/>
            <w:vMerge w:val="continue"/>
          </w:tcPr>
          <w:p w14:paraId="256B1927">
            <w:pPr>
              <w:autoSpaceDE w:val="0"/>
              <w:autoSpaceDN w:val="0"/>
              <w:adjustRightInd w:val="0"/>
              <w:snapToGrid w:val="0"/>
              <w:spacing w:before="156" w:beforeLines="50" w:after="156" w:afterLines="50" w:line="560" w:lineRule="exact"/>
              <w:jc w:val="center"/>
              <w:rPr>
                <w:rFonts w:ascii="仿宋_GB2312" w:hAnsi="宋体" w:eastAsia="仿宋_GB2312" w:cs="宋体"/>
                <w:b/>
                <w:bCs/>
                <w:color w:val="000000"/>
                <w:kern w:val="0"/>
                <w:sz w:val="24"/>
                <w:szCs w:val="21"/>
              </w:rPr>
            </w:pPr>
          </w:p>
        </w:tc>
        <w:tc>
          <w:tcPr>
            <w:tcW w:w="900" w:type="dxa"/>
          </w:tcPr>
          <w:p w14:paraId="446BDE4A">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A股股股东</w:t>
            </w:r>
          </w:p>
        </w:tc>
        <w:tc>
          <w:tcPr>
            <w:tcW w:w="720" w:type="dxa"/>
          </w:tcPr>
          <w:p w14:paraId="50D5C2D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B股股东</w:t>
            </w:r>
          </w:p>
        </w:tc>
        <w:tc>
          <w:tcPr>
            <w:tcW w:w="720" w:type="dxa"/>
          </w:tcPr>
          <w:p w14:paraId="1ADB2ED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优先股股东</w:t>
            </w:r>
          </w:p>
        </w:tc>
        <w:tc>
          <w:tcPr>
            <w:tcW w:w="1034" w:type="dxa"/>
          </w:tcPr>
          <w:p w14:paraId="3EFBFB8C">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恢复表决权的优先股股东</w:t>
            </w:r>
          </w:p>
        </w:tc>
      </w:tr>
      <w:tr w14:paraId="0331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80" w:type="dxa"/>
            <w:gridSpan w:val="6"/>
          </w:tcPr>
          <w:p w14:paraId="78822433">
            <w:pPr>
              <w:tabs>
                <w:tab w:val="left" w:pos="2844"/>
                <w:tab w:val="center" w:pos="3739"/>
              </w:tabs>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非累积投票议案</w:t>
            </w:r>
          </w:p>
        </w:tc>
      </w:tr>
      <w:tr w14:paraId="48B5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06CD2F2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69" w:type="dxa"/>
          </w:tcPr>
          <w:p w14:paraId="0C4A53FA">
            <w:pPr>
              <w:autoSpaceDE w:val="0"/>
              <w:autoSpaceDN w:val="0"/>
              <w:adjustRightInd w:val="0"/>
              <w:snapToGrid w:val="0"/>
              <w:spacing w:before="156" w:beforeLines="50" w:after="156" w:afterLines="50"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例：关于****股份有限公司符合向特定对象发行股票条件的议案</w:t>
            </w:r>
          </w:p>
        </w:tc>
        <w:tc>
          <w:tcPr>
            <w:tcW w:w="900" w:type="dxa"/>
          </w:tcPr>
          <w:p w14:paraId="4E6325B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4BBABE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EB64D2C">
            <w:pPr>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37A117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4A6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6A31E72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3969" w:type="dxa"/>
          </w:tcPr>
          <w:p w14:paraId="4C4162D1">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例：关于****股份有限公司向特定对象发行股票方案的议案</w:t>
            </w:r>
          </w:p>
        </w:tc>
        <w:tc>
          <w:tcPr>
            <w:tcW w:w="900" w:type="dxa"/>
          </w:tcPr>
          <w:p w14:paraId="1C4EDDF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679F78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24308C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463DA61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76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47F7FF5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3969" w:type="dxa"/>
          </w:tcPr>
          <w:p w14:paraId="496D30D9">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例：发行股票的种类和面值</w:t>
            </w:r>
          </w:p>
        </w:tc>
        <w:tc>
          <w:tcPr>
            <w:tcW w:w="900" w:type="dxa"/>
          </w:tcPr>
          <w:p w14:paraId="4DDDE92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4F192B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1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4949E4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1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EB90A4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1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96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0D3F294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p>
        </w:tc>
        <w:tc>
          <w:tcPr>
            <w:tcW w:w="3969" w:type="dxa"/>
          </w:tcPr>
          <w:p w14:paraId="77EECE8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例：发行股票的方式和发行时间</w:t>
            </w:r>
          </w:p>
        </w:tc>
        <w:tc>
          <w:tcPr>
            <w:tcW w:w="900" w:type="dxa"/>
          </w:tcPr>
          <w:p w14:paraId="3ED9C54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1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C09055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1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887219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1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7F7F9A8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1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67C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412C33A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2.03</w:t>
            </w:r>
          </w:p>
        </w:tc>
        <w:tc>
          <w:tcPr>
            <w:tcW w:w="3969" w:type="dxa"/>
          </w:tcPr>
          <w:p w14:paraId="1654EEC1">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例：本次向特定对象发行股票募集资金数额及用途</w:t>
            </w:r>
          </w:p>
        </w:tc>
        <w:tc>
          <w:tcPr>
            <w:tcW w:w="900" w:type="dxa"/>
          </w:tcPr>
          <w:p w14:paraId="61F0543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1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056ADF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1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2DF04B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3F9C09B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2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7DC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29C02D2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2.04</w:t>
            </w:r>
          </w:p>
        </w:tc>
        <w:tc>
          <w:tcPr>
            <w:tcW w:w="3969" w:type="dxa"/>
          </w:tcPr>
          <w:p w14:paraId="1E55C5F7">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例：发行股票的价格及定价原则</w:t>
            </w:r>
          </w:p>
        </w:tc>
        <w:tc>
          <w:tcPr>
            <w:tcW w:w="900" w:type="dxa"/>
          </w:tcPr>
          <w:p w14:paraId="653B5E3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2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0906E8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2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2ADE61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2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9B85D5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2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46E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1819A41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2.05</w:t>
            </w:r>
          </w:p>
        </w:tc>
        <w:tc>
          <w:tcPr>
            <w:tcW w:w="3969" w:type="dxa"/>
          </w:tcPr>
          <w:p w14:paraId="20366C3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例：发行股票的数量</w:t>
            </w:r>
          </w:p>
        </w:tc>
        <w:tc>
          <w:tcPr>
            <w:tcW w:w="900" w:type="dxa"/>
          </w:tcPr>
          <w:p w14:paraId="505FC17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2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3467D6E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2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817B01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2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7CABB1E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2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D98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5E4A0A8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69" w:type="dxa"/>
          </w:tcPr>
          <w:p w14:paraId="128BB15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00" w:type="dxa"/>
          </w:tcPr>
          <w:p w14:paraId="06FB0CA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2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BE1EB0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4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3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F334E5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3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D28614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3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CBE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06C4183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969" w:type="dxa"/>
          </w:tcPr>
          <w:p w14:paraId="73247C01">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w:t>
            </w:r>
            <w:bookmarkStart w:id="6" w:name="OLE_LINK2"/>
            <w:bookmarkStart w:id="7" w:name="OLE_LINK3"/>
            <w:r>
              <w:rPr>
                <w:rFonts w:hint="eastAsia" w:ascii="仿宋_GB2312" w:hAnsi="仿宋_GB2312" w:eastAsia="仿宋_GB2312" w:cs="仿宋_GB2312"/>
                <w:sz w:val="24"/>
                <w:szCs w:val="24"/>
              </w:rPr>
              <w:t>关于审议《****股份有限公司前次募集资金使用情况报告》的议案</w:t>
            </w:r>
            <w:bookmarkEnd w:id="6"/>
            <w:bookmarkEnd w:id="7"/>
          </w:p>
        </w:tc>
        <w:tc>
          <w:tcPr>
            <w:tcW w:w="900" w:type="dxa"/>
          </w:tcPr>
          <w:p w14:paraId="1CD66E5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3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BCC5B1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3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25ABE4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3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3D53B5A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3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836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1B3D464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69" w:type="dxa"/>
          </w:tcPr>
          <w:p w14:paraId="136DED72">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00" w:type="dxa"/>
          </w:tcPr>
          <w:p w14:paraId="1657E96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3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6722CE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3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D4A571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3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F04800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5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4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90C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0" w:type="dxa"/>
            <w:gridSpan w:val="6"/>
            <w:tcBorders>
              <w:bottom w:val="single" w:color="auto" w:sz="6" w:space="0"/>
            </w:tcBorders>
          </w:tcPr>
          <w:p w14:paraId="72C228D8">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累积投票议案</w:t>
            </w:r>
          </w:p>
        </w:tc>
      </w:tr>
      <w:tr w14:paraId="19D2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bottom w:val="single" w:color="auto" w:sz="6" w:space="0"/>
            </w:tcBorders>
          </w:tcPr>
          <w:p w14:paraId="66B3C6D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3969" w:type="dxa"/>
          </w:tcPr>
          <w:p w14:paraId="09E877E6">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关于选举董事的议案</w:t>
            </w:r>
          </w:p>
        </w:tc>
        <w:tc>
          <w:tcPr>
            <w:tcW w:w="3374" w:type="dxa"/>
            <w:gridSpan w:val="4"/>
          </w:tcPr>
          <w:p w14:paraId="30F89C6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应选董事（　）人</w:t>
            </w:r>
          </w:p>
        </w:tc>
      </w:tr>
      <w:tr w14:paraId="2A8A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0FB2D56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4.01</w:t>
            </w:r>
          </w:p>
        </w:tc>
        <w:tc>
          <w:tcPr>
            <w:tcW w:w="3969" w:type="dxa"/>
            <w:tcBorders>
              <w:top w:val="single" w:color="auto" w:sz="6" w:space="0"/>
              <w:left w:val="single" w:color="auto" w:sz="6" w:space="0"/>
              <w:bottom w:val="single" w:color="auto" w:sz="6" w:space="0"/>
              <w:right w:val="single" w:color="auto" w:sz="6" w:space="0"/>
            </w:tcBorders>
          </w:tcPr>
          <w:p w14:paraId="69B992F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例：陈××</w:t>
            </w:r>
          </w:p>
        </w:tc>
        <w:tc>
          <w:tcPr>
            <w:tcW w:w="900" w:type="dxa"/>
            <w:tcBorders>
              <w:top w:val="single" w:color="auto" w:sz="6" w:space="0"/>
              <w:left w:val="single" w:color="auto" w:sz="6" w:space="0"/>
              <w:bottom w:val="single" w:color="auto" w:sz="6" w:space="0"/>
              <w:right w:val="single" w:color="auto" w:sz="6" w:space="0"/>
            </w:tcBorders>
          </w:tcPr>
          <w:p w14:paraId="6C68E59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4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2C0744E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4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CEB203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3E1E211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4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4AF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6EC2760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4.02</w:t>
            </w:r>
          </w:p>
        </w:tc>
        <w:tc>
          <w:tcPr>
            <w:tcW w:w="3969" w:type="dxa"/>
            <w:tcBorders>
              <w:top w:val="single" w:color="auto" w:sz="6" w:space="0"/>
              <w:left w:val="single" w:color="auto" w:sz="6" w:space="0"/>
              <w:bottom w:val="single" w:color="auto" w:sz="6" w:space="0"/>
              <w:right w:val="single" w:color="auto" w:sz="6" w:space="0"/>
            </w:tcBorders>
          </w:tcPr>
          <w:p w14:paraId="5360980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例：赵××</w:t>
            </w:r>
          </w:p>
        </w:tc>
        <w:tc>
          <w:tcPr>
            <w:tcW w:w="900" w:type="dxa"/>
            <w:tcBorders>
              <w:top w:val="single" w:color="auto" w:sz="6" w:space="0"/>
              <w:left w:val="single" w:color="auto" w:sz="6" w:space="0"/>
              <w:bottom w:val="single" w:color="auto" w:sz="6" w:space="0"/>
              <w:right w:val="single" w:color="auto" w:sz="6" w:space="0"/>
            </w:tcBorders>
          </w:tcPr>
          <w:p w14:paraId="6A1D1E8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4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4657CD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4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BF1E30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07279C9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4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EFF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30DEDD9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w:t>
            </w:r>
          </w:p>
        </w:tc>
        <w:tc>
          <w:tcPr>
            <w:tcW w:w="3969" w:type="dxa"/>
            <w:tcBorders>
              <w:top w:val="single" w:color="auto" w:sz="6" w:space="0"/>
              <w:left w:val="single" w:color="auto" w:sz="6" w:space="0"/>
              <w:bottom w:val="single" w:color="auto" w:sz="6" w:space="0"/>
              <w:right w:val="single" w:color="auto" w:sz="6" w:space="0"/>
            </w:tcBorders>
          </w:tcPr>
          <w:p w14:paraId="2707EEE5">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例：蒋××</w:t>
            </w:r>
          </w:p>
        </w:tc>
        <w:tc>
          <w:tcPr>
            <w:tcW w:w="900" w:type="dxa"/>
            <w:tcBorders>
              <w:top w:val="single" w:color="auto" w:sz="6" w:space="0"/>
              <w:left w:val="single" w:color="auto" w:sz="6" w:space="0"/>
              <w:bottom w:val="single" w:color="auto" w:sz="6" w:space="0"/>
              <w:right w:val="single" w:color="auto" w:sz="6" w:space="0"/>
            </w:tcBorders>
          </w:tcPr>
          <w:p w14:paraId="0AE3066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4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10FDD3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4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D4F0A3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158C097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4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15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688A9B9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69" w:type="dxa"/>
            <w:tcBorders>
              <w:top w:val="single" w:color="auto" w:sz="6" w:space="0"/>
              <w:left w:val="single" w:color="auto" w:sz="6" w:space="0"/>
              <w:bottom w:val="single" w:color="auto" w:sz="6" w:space="0"/>
              <w:right w:val="single" w:color="auto" w:sz="6" w:space="0"/>
            </w:tcBorders>
          </w:tcPr>
          <w:p w14:paraId="10BDF487">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900" w:type="dxa"/>
            <w:tcBorders>
              <w:top w:val="single" w:color="auto" w:sz="6" w:space="0"/>
              <w:left w:val="single" w:color="auto" w:sz="6" w:space="0"/>
              <w:bottom w:val="single" w:color="auto" w:sz="6" w:space="0"/>
              <w:right w:val="single" w:color="auto" w:sz="6" w:space="0"/>
            </w:tcBorders>
          </w:tcPr>
          <w:p w14:paraId="7F096B8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6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BCE808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1C60D0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587623B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0A2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65C8B34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3969" w:type="dxa"/>
            <w:tcBorders>
              <w:top w:val="single" w:color="auto" w:sz="6" w:space="0"/>
              <w:left w:val="single" w:color="auto" w:sz="6" w:space="0"/>
              <w:bottom w:val="single" w:color="auto" w:sz="6" w:space="0"/>
              <w:right w:val="single" w:color="auto" w:sz="6" w:space="0"/>
            </w:tcBorders>
          </w:tcPr>
          <w:p w14:paraId="68978A5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关于选举独立董事的议案</w:t>
            </w:r>
          </w:p>
        </w:tc>
        <w:tc>
          <w:tcPr>
            <w:tcW w:w="3374" w:type="dxa"/>
            <w:gridSpan w:val="4"/>
            <w:tcBorders>
              <w:top w:val="single" w:color="auto" w:sz="6" w:space="0"/>
              <w:left w:val="single" w:color="auto" w:sz="6" w:space="0"/>
              <w:bottom w:val="single" w:color="auto" w:sz="6" w:space="0"/>
            </w:tcBorders>
          </w:tcPr>
          <w:p w14:paraId="25870A9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应选独立董事（　）人</w:t>
            </w:r>
          </w:p>
        </w:tc>
      </w:tr>
      <w:tr w14:paraId="100D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4286702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5.01</w:t>
            </w:r>
          </w:p>
        </w:tc>
        <w:tc>
          <w:tcPr>
            <w:tcW w:w="3969" w:type="dxa"/>
            <w:tcBorders>
              <w:top w:val="single" w:color="auto" w:sz="6" w:space="0"/>
              <w:left w:val="single" w:color="auto" w:sz="6" w:space="0"/>
              <w:bottom w:val="single" w:color="auto" w:sz="6" w:space="0"/>
              <w:right w:val="single" w:color="auto" w:sz="6" w:space="0"/>
            </w:tcBorders>
          </w:tcPr>
          <w:p w14:paraId="4420DF0E">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例：张××</w:t>
            </w:r>
          </w:p>
        </w:tc>
        <w:tc>
          <w:tcPr>
            <w:tcW w:w="900" w:type="dxa"/>
            <w:tcBorders>
              <w:top w:val="single" w:color="auto" w:sz="6" w:space="0"/>
              <w:left w:val="single" w:color="auto" w:sz="6" w:space="0"/>
              <w:bottom w:val="single" w:color="auto" w:sz="6" w:space="0"/>
              <w:right w:val="single" w:color="auto" w:sz="6" w:space="0"/>
            </w:tcBorders>
          </w:tcPr>
          <w:p w14:paraId="53D648D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16B615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A81DCE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5E75805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723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657AAAA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5.02</w:t>
            </w:r>
          </w:p>
        </w:tc>
        <w:tc>
          <w:tcPr>
            <w:tcW w:w="3969" w:type="dxa"/>
            <w:tcBorders>
              <w:top w:val="single" w:color="auto" w:sz="6" w:space="0"/>
              <w:left w:val="single" w:color="auto" w:sz="6" w:space="0"/>
              <w:bottom w:val="single" w:color="auto" w:sz="6" w:space="0"/>
              <w:right w:val="single" w:color="auto" w:sz="6" w:space="0"/>
            </w:tcBorders>
          </w:tcPr>
          <w:p w14:paraId="67EB536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例：王××</w:t>
            </w:r>
          </w:p>
        </w:tc>
        <w:tc>
          <w:tcPr>
            <w:tcW w:w="900" w:type="dxa"/>
            <w:tcBorders>
              <w:top w:val="single" w:color="auto" w:sz="6" w:space="0"/>
              <w:left w:val="single" w:color="auto" w:sz="6" w:space="0"/>
              <w:bottom w:val="single" w:color="auto" w:sz="6" w:space="0"/>
              <w:right w:val="single" w:color="auto" w:sz="6" w:space="0"/>
            </w:tcBorders>
          </w:tcPr>
          <w:p w14:paraId="2329B8A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F0F6B3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304014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57F9833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425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544A840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969" w:type="dxa"/>
            <w:tcBorders>
              <w:top w:val="single" w:color="auto" w:sz="6" w:space="0"/>
              <w:left w:val="single" w:color="auto" w:sz="6" w:space="0"/>
              <w:bottom w:val="single" w:color="auto" w:sz="6" w:space="0"/>
              <w:right w:val="single" w:color="auto" w:sz="6" w:space="0"/>
            </w:tcBorders>
          </w:tcPr>
          <w:p w14:paraId="372A785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00" w:type="dxa"/>
            <w:tcBorders>
              <w:top w:val="single" w:color="auto" w:sz="6" w:space="0"/>
              <w:left w:val="single" w:color="auto" w:sz="6" w:space="0"/>
              <w:bottom w:val="single" w:color="auto" w:sz="6" w:space="0"/>
              <w:right w:val="single" w:color="auto" w:sz="6" w:space="0"/>
            </w:tcBorders>
          </w:tcPr>
          <w:p w14:paraId="06A1F35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E1CE4E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7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6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4FC05A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4E3D056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8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6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552B914E">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（编制提醒：如本次股东会还有其他听取报告的事项，如听取独立董事的述职报告等，可在议案表格之外单独说明）</w:t>
      </w:r>
    </w:p>
    <w:p w14:paraId="2A4A9596">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1.说明各议案已披露的时间和披露媒体。</w:t>
      </w:r>
    </w:p>
    <w:p w14:paraId="17983ABD">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2.（如适用）特别决议议案：</w:t>
      </w:r>
    </w:p>
    <w:p w14:paraId="04FD49E5">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（编制提醒：填写上述议案表中的议案序号）</w:t>
      </w:r>
    </w:p>
    <w:p w14:paraId="7DF39B72">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3.（如适用）对中小投资者单独计票的议案：</w:t>
      </w:r>
    </w:p>
    <w:p w14:paraId="5803EA91">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填写上述议案表中的议案序号。对影响中小投资者利益的重大事项提案，应当单独说明中小投资者（除公司董事、高级管理人员以及单独或合计持有公司5%以上股份的股东以外的其他股东）对该提案的表决情况和表决结果）</w:t>
      </w:r>
    </w:p>
    <w:p w14:paraId="0CCD60AE">
      <w:pPr>
        <w:widowControl/>
        <w:adjustRightInd w:val="0"/>
        <w:snapToGrid w:val="0"/>
        <w:spacing w:line="560" w:lineRule="exact"/>
        <w:ind w:firstLine="600" w:firstLineChars="200"/>
        <w:jc w:val="left"/>
        <w:rPr>
          <w:rFonts w:ascii="楷体" w:hAnsi="楷体" w:eastAsia="楷体" w:cs="宋体-WinCharSetFFFF-H"/>
          <w:color w:val="000000"/>
          <w:kern w:val="0"/>
          <w:sz w:val="24"/>
          <w:szCs w:val="24"/>
        </w:rPr>
      </w:pPr>
      <w:r>
        <w:rPr>
          <w:rFonts w:hint="eastAsia" w:ascii="仿宋_GB2312" w:hAnsi="Calibri" w:eastAsia="仿宋_GB2312" w:cs="Times New Roman"/>
          <w:color w:val="000000"/>
          <w:sz w:val="30"/>
          <w:szCs w:val="30"/>
        </w:rPr>
        <w:t>4.（如适用）涉及关联股东回避表决的议案</w:t>
      </w:r>
      <w:r>
        <w:rPr>
          <w:rFonts w:hint="eastAsia" w:ascii="楷体" w:hAnsi="楷体" w:eastAsia="楷体" w:cs="宋体-WinCharSetFFFF-H"/>
          <w:color w:val="000000"/>
          <w:kern w:val="0"/>
          <w:sz w:val="24"/>
          <w:szCs w:val="24"/>
        </w:rPr>
        <w:t>：</w:t>
      </w:r>
    </w:p>
    <w:p w14:paraId="38A71527">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（编制提醒：填写上述议案表中的议案序号，并说明应回避的关联股东名称）</w:t>
      </w:r>
    </w:p>
    <w:p w14:paraId="465A6175">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5.（如适用）涉及优先股股东参与表决的议案：</w:t>
      </w:r>
    </w:p>
    <w:p w14:paraId="6C76BFB7">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（编制提醒：填写上述议案表中的议案序号）</w:t>
      </w:r>
    </w:p>
    <w:p w14:paraId="6D769CC1">
      <w:pPr>
        <w:widowControl/>
        <w:adjustRightInd w:val="0"/>
        <w:snapToGrid w:val="0"/>
        <w:spacing w:line="560" w:lineRule="exact"/>
        <w:ind w:firstLine="600" w:firstLineChars="200"/>
        <w:jc w:val="left"/>
        <w:rPr>
          <w:rFonts w:ascii="仿宋" w:hAnsi="仿宋" w:eastAsia="仿宋_GB2312" w:cs="宋体"/>
          <w:kern w:val="0"/>
          <w:sz w:val="30"/>
          <w:szCs w:val="30"/>
          <w:u w:val="single"/>
        </w:rPr>
      </w:pPr>
    </w:p>
    <w:p w14:paraId="1718A9A6">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三、股东会投票注意事项</w:t>
      </w:r>
    </w:p>
    <w:p w14:paraId="4A102804">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一）本公司股东通过上海证券交易所股东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如适用）</w:t>
      </w:r>
    </w:p>
    <w:p w14:paraId="5A529EB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（二）股东所投选举票数超过其拥有的选举票数的，或者在差额选举中投票超过应选人数的，其对该项议案所投的选举票视为无效投票。</w:t>
      </w:r>
    </w:p>
    <w:p w14:paraId="41F5CE71">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（三）同一表决权通过现场、本所网络投票平台或其他方式重复进行表决的，以第一次投票结果为准。</w:t>
      </w:r>
    </w:p>
    <w:p w14:paraId="2109740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（四）持有多个股东账户的股东，可行使的表决权数量是其名下全部股东账户所持相同类别普通股和相同品种优先股的数量总和。</w:t>
      </w:r>
    </w:p>
    <w:p w14:paraId="64B0EA4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持有多个股东账户的股东通过本所网络投票系统参与股东会网络投票的，可以通过其任一股东账户参加。投票后，视为其全部股东账户下的相同类别普通股和相同品种优先股均已分别投出同一意见的表决票。</w:t>
      </w:r>
    </w:p>
    <w:p w14:paraId="496A7BA3">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持有多个股东账户的股东，通过多个股东账户重复进行表决的，其全部股东账户下的相同类别普通股和相同品种优先股的表决意见，分别以各类别和品种股票的第一次投票结果为准。</w:t>
      </w:r>
    </w:p>
    <w:p w14:paraId="3199284E">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（五）股东对所有议案均表决完毕才能提交。</w:t>
      </w:r>
    </w:p>
    <w:p w14:paraId="1F8249D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（六）同时持有本公司A股和B股的股东，应当分别投票。（如适用）</w:t>
      </w:r>
    </w:p>
    <w:p w14:paraId="436121FF">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（七）同时持有本公司普通股和优先股的股东，应当分别投票；同时持有多只优先股的股东，应当分别投票。（如适用）</w:t>
      </w:r>
    </w:p>
    <w:p w14:paraId="5369E0C8">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（八）采用累积投票制选举董事、独立董事的投票方式，详见附件</w:t>
      </w:r>
      <w:bookmarkStart w:id="8" w:name="_Hlk101297920"/>
      <w:r>
        <w:rPr>
          <w:rFonts w:hint="eastAsia" w:ascii="仿宋_GB2312" w:hAnsi="Calibri" w:eastAsia="仿宋_GB2312" w:cs="Times New Roman"/>
          <w:color w:val="000000"/>
          <w:sz w:val="30"/>
          <w:szCs w:val="30"/>
        </w:rPr>
        <w:t>2</w:t>
      </w:r>
      <w:bookmarkEnd w:id="8"/>
      <w:r>
        <w:rPr>
          <w:rFonts w:hint="eastAsia" w:ascii="仿宋_GB2312" w:hAnsi="Calibri" w:eastAsia="仿宋_GB2312" w:cs="Times New Roman"/>
          <w:color w:val="000000"/>
          <w:sz w:val="30"/>
          <w:szCs w:val="30"/>
        </w:rPr>
        <w:t>。（如适用）</w:t>
      </w:r>
    </w:p>
    <w:p w14:paraId="1005AB50">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（九）本所认可的其他网络投票系统的投票流程、方法和注意事项。（如适用）</w:t>
      </w:r>
    </w:p>
    <w:p w14:paraId="4F440E7D">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（编制提醒：可在附件中详细说明该网络投票系统的投票流程、方法和注意事项）</w:t>
      </w:r>
    </w:p>
    <w:p w14:paraId="0DB15794">
      <w:pPr>
        <w:widowControl/>
        <w:adjustRightInd w:val="0"/>
        <w:snapToGrid w:val="0"/>
        <w:spacing w:line="560" w:lineRule="exact"/>
        <w:ind w:firstLine="600" w:firstLineChars="200"/>
        <w:jc w:val="left"/>
        <w:rPr>
          <w:rFonts w:ascii="仿宋" w:hAnsi="仿宋" w:eastAsia="仿宋_GB2312" w:cs="宋体"/>
          <w:kern w:val="0"/>
          <w:sz w:val="30"/>
          <w:szCs w:val="30"/>
        </w:rPr>
      </w:pPr>
    </w:p>
    <w:p w14:paraId="6547FE63">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四、会议出席对象</w:t>
      </w:r>
    </w:p>
    <w:p w14:paraId="2E06CF84">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（一）股权登记日下午收市时在中国登记结算有限责任公司上海分公司登记在册的公司股东有权出席股东会（具体情况详见下表），并可以以书面形式委托代理人出席会议和参加表决。该代理人不必是公司股东。</w:t>
      </w:r>
    </w:p>
    <w:p w14:paraId="0285C747">
      <w:pPr>
        <w:widowControl/>
        <w:adjustRightInd w:val="0"/>
        <w:snapToGrid w:val="0"/>
        <w:spacing w:line="560" w:lineRule="exact"/>
        <w:ind w:firstLine="480" w:firstLineChars="200"/>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r>
        <w:rPr>
          <w:rFonts w:ascii="楷体" w:hAnsi="楷体" w:eastAsia="楷体" w:cs="宋体-WinCharSetFFFF-H"/>
          <w:color w:val="000000"/>
          <w:kern w:val="0"/>
          <w:sz w:val="24"/>
          <w:szCs w:val="24"/>
        </w:rPr>
        <w:t>A+H</w:t>
      </w:r>
      <w:r>
        <w:rPr>
          <w:rFonts w:hint="eastAsia" w:ascii="楷体" w:hAnsi="楷体" w:eastAsia="楷体" w:cs="宋体-WinCharSetFFFF-H"/>
          <w:color w:val="000000"/>
          <w:kern w:val="0"/>
          <w:sz w:val="24"/>
          <w:szCs w:val="24"/>
        </w:rPr>
        <w:t>股公司应当注明“</w:t>
      </w:r>
      <w:r>
        <w:rPr>
          <w:rFonts w:ascii="楷体" w:hAnsi="楷体" w:eastAsia="楷体" w:cs="宋体-WinCharSetFFFF-H"/>
          <w:color w:val="000000"/>
          <w:kern w:val="0"/>
          <w:sz w:val="24"/>
          <w:szCs w:val="24"/>
        </w:rPr>
        <w:t>H</w:t>
      </w:r>
      <w:r>
        <w:rPr>
          <w:rFonts w:hint="eastAsia" w:ascii="楷体" w:hAnsi="楷体" w:eastAsia="楷体" w:cs="宋体-WinCharSetFFFF-H"/>
          <w:color w:val="000000"/>
          <w:kern w:val="0"/>
          <w:sz w:val="24"/>
          <w:szCs w:val="24"/>
        </w:rPr>
        <w:t>股股东参会事项参见发布的</w:t>
      </w:r>
      <w:r>
        <w:rPr>
          <w:rFonts w:ascii="楷体" w:hAnsi="楷体" w:eastAsia="楷体" w:cs="宋体-WinCharSetFFFF-H"/>
          <w:color w:val="000000"/>
          <w:kern w:val="0"/>
          <w:sz w:val="24"/>
          <w:szCs w:val="24"/>
        </w:rPr>
        <w:t>H</w:t>
      </w:r>
      <w:r>
        <w:rPr>
          <w:rFonts w:hint="eastAsia" w:ascii="楷体" w:hAnsi="楷体" w:eastAsia="楷体" w:cs="宋体-WinCharSetFFFF-H"/>
          <w:color w:val="000000"/>
          <w:kern w:val="0"/>
          <w:sz w:val="24"/>
          <w:szCs w:val="24"/>
        </w:rPr>
        <w:t>股股东会通知”）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400"/>
        <w:gridCol w:w="1400"/>
        <w:gridCol w:w="1675"/>
        <w:gridCol w:w="1620"/>
      </w:tblGrid>
      <w:tr w14:paraId="6BEC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442CDE24">
            <w:pPr>
              <w:widowControl/>
              <w:adjustRightInd w:val="0"/>
              <w:snapToGrid w:val="0"/>
              <w:spacing w:line="560" w:lineRule="exact"/>
              <w:jc w:val="center"/>
              <w:rPr>
                <w:rFonts w:ascii="仿宋" w:hAnsi="仿宋" w:eastAsia="仿宋_GB2312" w:cs="宋体"/>
                <w:b/>
                <w:kern w:val="0"/>
                <w:sz w:val="24"/>
                <w:szCs w:val="24"/>
              </w:rPr>
            </w:pPr>
            <w:r>
              <w:rPr>
                <w:rFonts w:hint="eastAsia" w:ascii="仿宋" w:hAnsi="仿宋" w:eastAsia="仿宋_GB2312" w:cs="宋体"/>
                <w:b/>
                <w:kern w:val="0"/>
                <w:sz w:val="24"/>
                <w:szCs w:val="24"/>
              </w:rPr>
              <w:t>股份类别</w:t>
            </w:r>
          </w:p>
        </w:tc>
        <w:tc>
          <w:tcPr>
            <w:tcW w:w="1400" w:type="dxa"/>
          </w:tcPr>
          <w:p w14:paraId="3857EF41">
            <w:pPr>
              <w:widowControl/>
              <w:adjustRightInd w:val="0"/>
              <w:snapToGrid w:val="0"/>
              <w:spacing w:line="560" w:lineRule="exact"/>
              <w:jc w:val="center"/>
              <w:rPr>
                <w:rFonts w:ascii="仿宋" w:hAnsi="仿宋" w:eastAsia="仿宋_GB2312" w:cs="宋体"/>
                <w:b/>
                <w:kern w:val="0"/>
                <w:sz w:val="24"/>
                <w:szCs w:val="24"/>
              </w:rPr>
            </w:pPr>
            <w:r>
              <w:rPr>
                <w:rFonts w:hint="eastAsia" w:ascii="仿宋" w:hAnsi="仿宋" w:eastAsia="仿宋_GB2312" w:cs="宋体"/>
                <w:b/>
                <w:kern w:val="0"/>
                <w:sz w:val="24"/>
                <w:szCs w:val="24"/>
              </w:rPr>
              <w:t>股票代码</w:t>
            </w:r>
          </w:p>
        </w:tc>
        <w:tc>
          <w:tcPr>
            <w:tcW w:w="1400" w:type="dxa"/>
          </w:tcPr>
          <w:p w14:paraId="61FFEEAD">
            <w:pPr>
              <w:widowControl/>
              <w:adjustRightInd w:val="0"/>
              <w:snapToGrid w:val="0"/>
              <w:spacing w:line="560" w:lineRule="exact"/>
              <w:jc w:val="center"/>
              <w:rPr>
                <w:rFonts w:ascii="仿宋" w:hAnsi="仿宋" w:eastAsia="仿宋_GB2312" w:cs="宋体"/>
                <w:b/>
                <w:kern w:val="0"/>
                <w:sz w:val="24"/>
                <w:szCs w:val="24"/>
              </w:rPr>
            </w:pPr>
            <w:r>
              <w:rPr>
                <w:rFonts w:hint="eastAsia" w:ascii="仿宋" w:hAnsi="仿宋" w:eastAsia="仿宋_GB2312" w:cs="宋体"/>
                <w:b/>
                <w:kern w:val="0"/>
                <w:sz w:val="24"/>
                <w:szCs w:val="24"/>
              </w:rPr>
              <w:t>股票简称</w:t>
            </w:r>
          </w:p>
        </w:tc>
        <w:tc>
          <w:tcPr>
            <w:tcW w:w="1675" w:type="dxa"/>
          </w:tcPr>
          <w:p w14:paraId="0B7CF66B">
            <w:pPr>
              <w:widowControl/>
              <w:adjustRightInd w:val="0"/>
              <w:snapToGrid w:val="0"/>
              <w:spacing w:line="560" w:lineRule="exact"/>
              <w:jc w:val="center"/>
              <w:rPr>
                <w:rFonts w:ascii="仿宋" w:hAnsi="仿宋" w:eastAsia="仿宋_GB2312" w:cs="宋体"/>
                <w:b/>
                <w:kern w:val="0"/>
                <w:sz w:val="24"/>
                <w:szCs w:val="24"/>
              </w:rPr>
            </w:pPr>
            <w:r>
              <w:rPr>
                <w:rFonts w:hint="eastAsia" w:ascii="仿宋" w:hAnsi="仿宋" w:eastAsia="仿宋_GB2312" w:cs="宋体"/>
                <w:b/>
                <w:kern w:val="0"/>
                <w:sz w:val="24"/>
                <w:szCs w:val="24"/>
              </w:rPr>
              <w:t>股权登记日</w:t>
            </w:r>
          </w:p>
        </w:tc>
        <w:tc>
          <w:tcPr>
            <w:tcW w:w="1620" w:type="dxa"/>
          </w:tcPr>
          <w:p w14:paraId="239A5F44">
            <w:pPr>
              <w:widowControl/>
              <w:adjustRightInd w:val="0"/>
              <w:snapToGrid w:val="0"/>
              <w:spacing w:line="560" w:lineRule="exact"/>
              <w:jc w:val="center"/>
              <w:rPr>
                <w:rFonts w:ascii="仿宋" w:hAnsi="仿宋" w:eastAsia="仿宋_GB2312" w:cs="宋体"/>
                <w:b/>
                <w:kern w:val="0"/>
                <w:sz w:val="24"/>
                <w:szCs w:val="24"/>
              </w:rPr>
            </w:pPr>
            <w:r>
              <w:rPr>
                <w:rFonts w:hint="eastAsia" w:ascii="仿宋" w:hAnsi="仿宋" w:eastAsia="仿宋_GB2312" w:cs="宋体"/>
                <w:b/>
                <w:kern w:val="0"/>
                <w:sz w:val="24"/>
                <w:szCs w:val="24"/>
              </w:rPr>
              <w:t>最后交易日</w:t>
            </w:r>
          </w:p>
        </w:tc>
      </w:tr>
      <w:tr w14:paraId="3465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07381C8A">
            <w:pPr>
              <w:widowControl/>
              <w:adjustRightInd w:val="0"/>
              <w:snapToGrid w:val="0"/>
              <w:spacing w:line="560" w:lineRule="exact"/>
              <w:jc w:val="center"/>
              <w:rPr>
                <w:rFonts w:ascii="仿宋" w:hAnsi="仿宋" w:eastAsia="仿宋" w:cs="宋体"/>
                <w:kern w:val="0"/>
                <w:sz w:val="24"/>
                <w:szCs w:val="24"/>
              </w:rPr>
            </w:pPr>
            <w:r>
              <w:rPr>
                <w:rFonts w:hint="eastAsia" w:ascii="仿宋" w:hAnsi="仿宋" w:eastAsia="仿宋_GB2312" w:cs="宋体"/>
                <w:kern w:val="0"/>
                <w:sz w:val="24"/>
                <w:szCs w:val="24"/>
              </w:rPr>
              <w:t>Ａ股</w:t>
            </w:r>
          </w:p>
        </w:tc>
        <w:tc>
          <w:tcPr>
            <w:tcW w:w="1400" w:type="dxa"/>
          </w:tcPr>
          <w:p w14:paraId="531D656C">
            <w:pPr>
              <w:widowControl/>
              <w:adjustRightInd w:val="0"/>
              <w:snapToGrid w:val="0"/>
              <w:spacing w:line="560" w:lineRule="exact"/>
              <w:jc w:val="center"/>
              <w:rPr>
                <w:rFonts w:ascii="仿宋" w:hAnsi="仿宋" w:eastAsia="仿宋" w:cs="宋体"/>
                <w:kern w:val="0"/>
                <w:sz w:val="24"/>
                <w:szCs w:val="24"/>
              </w:rPr>
            </w:pPr>
          </w:p>
        </w:tc>
        <w:tc>
          <w:tcPr>
            <w:tcW w:w="1400" w:type="dxa"/>
          </w:tcPr>
          <w:p w14:paraId="720CDC53">
            <w:pPr>
              <w:widowControl/>
              <w:adjustRightInd w:val="0"/>
              <w:snapToGrid w:val="0"/>
              <w:spacing w:line="560" w:lineRule="exact"/>
              <w:jc w:val="center"/>
              <w:rPr>
                <w:rFonts w:ascii="仿宋" w:hAnsi="仿宋" w:eastAsia="仿宋" w:cs="宋体"/>
                <w:kern w:val="0"/>
                <w:sz w:val="24"/>
                <w:szCs w:val="24"/>
              </w:rPr>
            </w:pPr>
          </w:p>
        </w:tc>
        <w:tc>
          <w:tcPr>
            <w:tcW w:w="1675" w:type="dxa"/>
          </w:tcPr>
          <w:p w14:paraId="42840AE1">
            <w:pPr>
              <w:widowControl/>
              <w:adjustRightInd w:val="0"/>
              <w:snapToGrid w:val="0"/>
              <w:spacing w:line="560" w:lineRule="exact"/>
              <w:jc w:val="center"/>
              <w:rPr>
                <w:rFonts w:ascii="仿宋" w:hAnsi="仿宋" w:eastAsia="仿宋_GB2312" w:cs="宋体"/>
                <w:kern w:val="0"/>
                <w:sz w:val="24"/>
                <w:szCs w:val="24"/>
              </w:rPr>
            </w:pPr>
          </w:p>
        </w:tc>
        <w:tc>
          <w:tcPr>
            <w:tcW w:w="1620" w:type="dxa"/>
          </w:tcPr>
          <w:p w14:paraId="0B58E5E9">
            <w:pPr>
              <w:widowControl/>
              <w:adjustRightInd w:val="0"/>
              <w:snapToGrid w:val="0"/>
              <w:spacing w:line="560" w:lineRule="exact"/>
              <w:jc w:val="center"/>
              <w:rPr>
                <w:rFonts w:ascii="仿宋" w:hAnsi="仿宋" w:eastAsia="仿宋_GB2312" w:cs="宋体"/>
                <w:kern w:val="0"/>
                <w:sz w:val="24"/>
                <w:szCs w:val="24"/>
              </w:rPr>
            </w:pPr>
            <w:r>
              <w:rPr>
                <w:rFonts w:hint="eastAsia" w:ascii="仿宋" w:hAnsi="仿宋" w:eastAsia="仿宋_GB2312" w:cs="宋体"/>
                <w:kern w:val="0"/>
                <w:sz w:val="24"/>
                <w:szCs w:val="24"/>
              </w:rPr>
              <w:t>－</w:t>
            </w:r>
          </w:p>
        </w:tc>
      </w:tr>
      <w:tr w14:paraId="3AB7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1FB5A57D">
            <w:pPr>
              <w:widowControl/>
              <w:adjustRightInd w:val="0"/>
              <w:snapToGrid w:val="0"/>
              <w:spacing w:line="560" w:lineRule="exact"/>
              <w:jc w:val="center"/>
              <w:rPr>
                <w:rFonts w:ascii="仿宋" w:hAnsi="仿宋" w:eastAsia="仿宋" w:cs="宋体"/>
                <w:kern w:val="0"/>
                <w:sz w:val="24"/>
                <w:szCs w:val="24"/>
              </w:rPr>
            </w:pPr>
            <w:r>
              <w:rPr>
                <w:rFonts w:hint="eastAsia" w:ascii="仿宋" w:hAnsi="仿宋" w:eastAsia="仿宋_GB2312" w:cs="宋体"/>
                <w:kern w:val="0"/>
                <w:sz w:val="24"/>
                <w:szCs w:val="24"/>
              </w:rPr>
              <w:t>Ｂ股</w:t>
            </w:r>
          </w:p>
        </w:tc>
        <w:tc>
          <w:tcPr>
            <w:tcW w:w="1400" w:type="dxa"/>
          </w:tcPr>
          <w:p w14:paraId="6B47B2B8">
            <w:pPr>
              <w:widowControl/>
              <w:adjustRightInd w:val="0"/>
              <w:snapToGrid w:val="0"/>
              <w:spacing w:line="560" w:lineRule="exact"/>
              <w:jc w:val="center"/>
              <w:rPr>
                <w:rFonts w:ascii="仿宋" w:hAnsi="仿宋" w:eastAsia="仿宋" w:cs="宋体"/>
                <w:kern w:val="0"/>
                <w:sz w:val="24"/>
                <w:szCs w:val="24"/>
              </w:rPr>
            </w:pPr>
          </w:p>
        </w:tc>
        <w:tc>
          <w:tcPr>
            <w:tcW w:w="1400" w:type="dxa"/>
          </w:tcPr>
          <w:p w14:paraId="38356D3D">
            <w:pPr>
              <w:widowControl/>
              <w:adjustRightInd w:val="0"/>
              <w:snapToGrid w:val="0"/>
              <w:spacing w:line="560" w:lineRule="exact"/>
              <w:jc w:val="center"/>
              <w:rPr>
                <w:rFonts w:ascii="仿宋" w:hAnsi="仿宋" w:eastAsia="仿宋" w:cs="宋体"/>
                <w:kern w:val="0"/>
                <w:sz w:val="24"/>
                <w:szCs w:val="24"/>
              </w:rPr>
            </w:pPr>
          </w:p>
        </w:tc>
        <w:tc>
          <w:tcPr>
            <w:tcW w:w="1675" w:type="dxa"/>
          </w:tcPr>
          <w:p w14:paraId="77C84703">
            <w:pPr>
              <w:widowControl/>
              <w:adjustRightInd w:val="0"/>
              <w:snapToGrid w:val="0"/>
              <w:spacing w:line="560" w:lineRule="exact"/>
              <w:jc w:val="center"/>
              <w:rPr>
                <w:rFonts w:ascii="仿宋" w:hAnsi="仿宋" w:eastAsia="仿宋_GB2312" w:cs="宋体"/>
                <w:kern w:val="0"/>
                <w:sz w:val="24"/>
                <w:szCs w:val="24"/>
              </w:rPr>
            </w:pPr>
          </w:p>
        </w:tc>
        <w:tc>
          <w:tcPr>
            <w:tcW w:w="1620" w:type="dxa"/>
          </w:tcPr>
          <w:p w14:paraId="6E78AB8D">
            <w:pPr>
              <w:widowControl/>
              <w:adjustRightInd w:val="0"/>
              <w:snapToGrid w:val="0"/>
              <w:spacing w:line="560" w:lineRule="exact"/>
              <w:jc w:val="center"/>
              <w:rPr>
                <w:rFonts w:ascii="仿宋" w:hAnsi="仿宋" w:eastAsia="仿宋_GB2312" w:cs="宋体"/>
                <w:kern w:val="0"/>
                <w:sz w:val="24"/>
                <w:szCs w:val="24"/>
              </w:rPr>
            </w:pPr>
          </w:p>
        </w:tc>
      </w:tr>
      <w:tr w14:paraId="7F9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3BBA90C9">
            <w:pPr>
              <w:widowControl/>
              <w:adjustRightInd w:val="0"/>
              <w:snapToGrid w:val="0"/>
              <w:spacing w:line="560" w:lineRule="exact"/>
              <w:jc w:val="center"/>
              <w:rPr>
                <w:rFonts w:ascii="仿宋" w:hAnsi="仿宋" w:eastAsia="仿宋" w:cs="宋体"/>
                <w:kern w:val="0"/>
                <w:sz w:val="24"/>
                <w:szCs w:val="24"/>
              </w:rPr>
            </w:pPr>
            <w:r>
              <w:rPr>
                <w:rFonts w:hint="eastAsia" w:ascii="仿宋" w:hAnsi="仿宋" w:eastAsia="仿宋_GB2312" w:cs="宋体"/>
                <w:kern w:val="0"/>
                <w:sz w:val="24"/>
                <w:szCs w:val="24"/>
              </w:rPr>
              <w:t>优先股</w:t>
            </w:r>
          </w:p>
        </w:tc>
        <w:tc>
          <w:tcPr>
            <w:tcW w:w="1400" w:type="dxa"/>
          </w:tcPr>
          <w:p w14:paraId="124367F6">
            <w:pPr>
              <w:widowControl/>
              <w:adjustRightInd w:val="0"/>
              <w:snapToGrid w:val="0"/>
              <w:spacing w:line="560" w:lineRule="exact"/>
              <w:jc w:val="center"/>
              <w:rPr>
                <w:rFonts w:ascii="仿宋" w:hAnsi="仿宋" w:eastAsia="仿宋" w:cs="宋体"/>
                <w:kern w:val="0"/>
                <w:sz w:val="24"/>
                <w:szCs w:val="24"/>
              </w:rPr>
            </w:pPr>
          </w:p>
        </w:tc>
        <w:tc>
          <w:tcPr>
            <w:tcW w:w="1400" w:type="dxa"/>
          </w:tcPr>
          <w:p w14:paraId="4662A809">
            <w:pPr>
              <w:widowControl/>
              <w:adjustRightInd w:val="0"/>
              <w:snapToGrid w:val="0"/>
              <w:spacing w:line="560" w:lineRule="exact"/>
              <w:jc w:val="center"/>
              <w:rPr>
                <w:rFonts w:ascii="仿宋" w:hAnsi="仿宋" w:eastAsia="仿宋" w:cs="宋体"/>
                <w:kern w:val="0"/>
                <w:sz w:val="24"/>
                <w:szCs w:val="24"/>
              </w:rPr>
            </w:pPr>
          </w:p>
        </w:tc>
        <w:tc>
          <w:tcPr>
            <w:tcW w:w="1675" w:type="dxa"/>
          </w:tcPr>
          <w:p w14:paraId="095D2EE2">
            <w:pPr>
              <w:widowControl/>
              <w:adjustRightInd w:val="0"/>
              <w:snapToGrid w:val="0"/>
              <w:spacing w:line="560" w:lineRule="exact"/>
              <w:jc w:val="center"/>
              <w:rPr>
                <w:rFonts w:ascii="仿宋" w:hAnsi="仿宋" w:eastAsia="仿宋_GB2312" w:cs="宋体"/>
                <w:kern w:val="0"/>
                <w:sz w:val="24"/>
                <w:szCs w:val="24"/>
              </w:rPr>
            </w:pPr>
          </w:p>
        </w:tc>
        <w:tc>
          <w:tcPr>
            <w:tcW w:w="1620" w:type="dxa"/>
          </w:tcPr>
          <w:p w14:paraId="16EEC15D">
            <w:pPr>
              <w:widowControl/>
              <w:adjustRightInd w:val="0"/>
              <w:snapToGrid w:val="0"/>
              <w:spacing w:line="560" w:lineRule="exact"/>
              <w:jc w:val="center"/>
              <w:rPr>
                <w:rFonts w:ascii="仿宋" w:hAnsi="仿宋" w:eastAsia="仿宋_GB2312" w:cs="宋体"/>
                <w:kern w:val="0"/>
                <w:sz w:val="24"/>
                <w:szCs w:val="24"/>
              </w:rPr>
            </w:pPr>
          </w:p>
        </w:tc>
      </w:tr>
      <w:tr w14:paraId="421D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4B2E69EF">
            <w:pPr>
              <w:widowControl/>
              <w:adjustRightInd w:val="0"/>
              <w:snapToGrid w:val="0"/>
              <w:spacing w:line="560" w:lineRule="exact"/>
              <w:jc w:val="center"/>
              <w:rPr>
                <w:rFonts w:ascii="仿宋" w:hAnsi="仿宋" w:eastAsia="仿宋" w:cs="宋体"/>
                <w:kern w:val="0"/>
                <w:sz w:val="24"/>
                <w:szCs w:val="24"/>
              </w:rPr>
            </w:pPr>
            <w:r>
              <w:rPr>
                <w:rFonts w:hint="eastAsia" w:ascii="仿宋" w:hAnsi="仿宋" w:eastAsia="仿宋_GB2312" w:cs="宋体"/>
                <w:kern w:val="0"/>
                <w:sz w:val="24"/>
                <w:szCs w:val="24"/>
              </w:rPr>
              <w:t>恢复表决权优先股</w:t>
            </w:r>
          </w:p>
        </w:tc>
        <w:tc>
          <w:tcPr>
            <w:tcW w:w="1400" w:type="dxa"/>
          </w:tcPr>
          <w:p w14:paraId="1CC183B9">
            <w:pPr>
              <w:widowControl/>
              <w:adjustRightInd w:val="0"/>
              <w:snapToGrid w:val="0"/>
              <w:spacing w:line="560" w:lineRule="exact"/>
              <w:jc w:val="center"/>
              <w:rPr>
                <w:rFonts w:ascii="仿宋" w:hAnsi="仿宋" w:eastAsia="仿宋" w:cs="宋体"/>
                <w:kern w:val="0"/>
                <w:sz w:val="24"/>
                <w:szCs w:val="24"/>
              </w:rPr>
            </w:pPr>
          </w:p>
        </w:tc>
        <w:tc>
          <w:tcPr>
            <w:tcW w:w="1400" w:type="dxa"/>
          </w:tcPr>
          <w:p w14:paraId="195F2D1E">
            <w:pPr>
              <w:widowControl/>
              <w:adjustRightInd w:val="0"/>
              <w:snapToGrid w:val="0"/>
              <w:spacing w:line="560" w:lineRule="exact"/>
              <w:jc w:val="center"/>
              <w:rPr>
                <w:rFonts w:ascii="仿宋" w:hAnsi="仿宋" w:eastAsia="仿宋" w:cs="宋体"/>
                <w:kern w:val="0"/>
                <w:sz w:val="24"/>
                <w:szCs w:val="24"/>
              </w:rPr>
            </w:pPr>
          </w:p>
        </w:tc>
        <w:tc>
          <w:tcPr>
            <w:tcW w:w="1675" w:type="dxa"/>
          </w:tcPr>
          <w:p w14:paraId="6BB9F1E4">
            <w:pPr>
              <w:widowControl/>
              <w:adjustRightInd w:val="0"/>
              <w:snapToGrid w:val="0"/>
              <w:spacing w:line="560" w:lineRule="exact"/>
              <w:jc w:val="center"/>
              <w:rPr>
                <w:rFonts w:ascii="仿宋" w:hAnsi="仿宋" w:eastAsia="仿宋_GB2312" w:cs="宋体"/>
                <w:kern w:val="0"/>
                <w:sz w:val="24"/>
                <w:szCs w:val="24"/>
              </w:rPr>
            </w:pPr>
          </w:p>
        </w:tc>
        <w:tc>
          <w:tcPr>
            <w:tcW w:w="1620" w:type="dxa"/>
          </w:tcPr>
          <w:p w14:paraId="13E10ED5">
            <w:pPr>
              <w:widowControl/>
              <w:adjustRightInd w:val="0"/>
              <w:snapToGrid w:val="0"/>
              <w:spacing w:line="560" w:lineRule="exact"/>
              <w:jc w:val="center"/>
              <w:rPr>
                <w:rFonts w:ascii="仿宋" w:hAnsi="仿宋" w:eastAsia="仿宋_GB2312" w:cs="宋体"/>
                <w:kern w:val="0"/>
                <w:sz w:val="24"/>
                <w:szCs w:val="24"/>
              </w:rPr>
            </w:pPr>
          </w:p>
        </w:tc>
      </w:tr>
    </w:tbl>
    <w:p w14:paraId="3C465E5D">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39FCFF63">
      <w:pPr>
        <w:autoSpaceDE w:val="0"/>
        <w:autoSpaceDN w:val="0"/>
        <w:adjustRightInd w:val="0"/>
        <w:snapToGrid w:val="0"/>
        <w:spacing w:line="560" w:lineRule="exact"/>
        <w:ind w:firstLine="480" w:firstLineChars="200"/>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1.</w:t>
      </w:r>
      <w:r>
        <w:rPr>
          <w:rFonts w:hint="eastAsia" w:ascii="Times New Roman" w:hAnsi="Times New Roman" w:eastAsia="楷体" w:cs="Times New Roman"/>
          <w:color w:val="000000"/>
          <w:kern w:val="0"/>
          <w:sz w:val="24"/>
          <w:szCs w:val="24"/>
        </w:rPr>
        <w:t>股东会的股权登记日应当为交易日，且与股东会召开日之间的间隔不得超过</w:t>
      </w:r>
      <w:r>
        <w:rPr>
          <w:rFonts w:ascii="Times New Roman" w:hAnsi="Times New Roman" w:eastAsia="楷体" w:cs="Times New Roman"/>
          <w:color w:val="000000"/>
          <w:kern w:val="0"/>
          <w:sz w:val="24"/>
          <w:szCs w:val="24"/>
        </w:rPr>
        <w:t>7</w:t>
      </w:r>
      <w:r>
        <w:rPr>
          <w:rFonts w:hint="eastAsia" w:ascii="Times New Roman" w:hAnsi="Times New Roman" w:eastAsia="楷体" w:cs="Times New Roman"/>
          <w:color w:val="000000"/>
          <w:kern w:val="0"/>
          <w:sz w:val="24"/>
          <w:szCs w:val="24"/>
        </w:rPr>
        <w:t>个交易日。股权登记日一旦确定，不得变更。</w:t>
      </w:r>
    </w:p>
    <w:p w14:paraId="369969A2">
      <w:pPr>
        <w:autoSpaceDE w:val="0"/>
        <w:autoSpaceDN w:val="0"/>
        <w:adjustRightInd w:val="0"/>
        <w:snapToGrid w:val="0"/>
        <w:spacing w:line="560" w:lineRule="exact"/>
        <w:ind w:firstLine="480" w:firstLineChars="200"/>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2.</w:t>
      </w:r>
      <w:r>
        <w:rPr>
          <w:rFonts w:hint="eastAsia" w:ascii="Times New Roman" w:hAnsi="Times New Roman" w:eastAsia="楷体" w:cs="Times New Roman"/>
          <w:color w:val="000000"/>
          <w:kern w:val="0"/>
          <w:sz w:val="24"/>
          <w:szCs w:val="24"/>
        </w:rPr>
        <w:t>除</w:t>
      </w:r>
      <w:r>
        <w:rPr>
          <w:rFonts w:ascii="Times New Roman" w:hAnsi="Times New Roman" w:eastAsia="楷体" w:cs="Times New Roman"/>
          <w:color w:val="000000"/>
          <w:kern w:val="0"/>
          <w:sz w:val="24"/>
          <w:szCs w:val="24"/>
        </w:rPr>
        <w:t>A</w:t>
      </w:r>
      <w:r>
        <w:rPr>
          <w:rFonts w:hint="eastAsia" w:ascii="Times New Roman" w:hAnsi="Times New Roman" w:eastAsia="楷体" w:cs="Times New Roman"/>
          <w:color w:val="000000"/>
          <w:kern w:val="0"/>
          <w:sz w:val="24"/>
          <w:szCs w:val="24"/>
        </w:rPr>
        <w:t>股外，如果还涉及</w:t>
      </w:r>
      <w:r>
        <w:rPr>
          <w:rFonts w:ascii="Times New Roman" w:hAnsi="Times New Roman" w:eastAsia="楷体" w:cs="Times New Roman"/>
          <w:color w:val="000000"/>
          <w:kern w:val="0"/>
          <w:sz w:val="24"/>
          <w:szCs w:val="24"/>
        </w:rPr>
        <w:t>B</w:t>
      </w:r>
      <w:r>
        <w:rPr>
          <w:rFonts w:hint="eastAsia" w:ascii="Times New Roman" w:hAnsi="Times New Roman" w:eastAsia="楷体" w:cs="Times New Roman"/>
          <w:color w:val="000000"/>
          <w:kern w:val="0"/>
          <w:sz w:val="24"/>
          <w:szCs w:val="24"/>
        </w:rPr>
        <w:t>股、优先股、恢复表决权优先股等股东投票的，应当以列表方式列明各类股东的股权登记日和最后交易日，有多只优先股的应当分别逐行列示。</w:t>
      </w:r>
    </w:p>
    <w:p w14:paraId="25E5F26F">
      <w:pPr>
        <w:autoSpaceDE w:val="0"/>
        <w:autoSpaceDN w:val="0"/>
        <w:adjustRightInd w:val="0"/>
        <w:snapToGrid w:val="0"/>
        <w:spacing w:line="560" w:lineRule="exact"/>
        <w:ind w:firstLine="480" w:firstLineChars="200"/>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3.</w:t>
      </w:r>
      <w:r>
        <w:rPr>
          <w:rFonts w:hint="eastAsia" w:ascii="Times New Roman" w:hAnsi="Times New Roman" w:eastAsia="楷体" w:cs="Times New Roman"/>
          <w:color w:val="000000"/>
          <w:kern w:val="0"/>
          <w:sz w:val="24"/>
          <w:szCs w:val="24"/>
        </w:rPr>
        <w:t>本所</w:t>
      </w:r>
      <w:r>
        <w:rPr>
          <w:rFonts w:ascii="Times New Roman" w:hAnsi="Times New Roman" w:eastAsia="楷体" w:cs="Times New Roman"/>
          <w:color w:val="000000"/>
          <w:kern w:val="0"/>
          <w:sz w:val="24"/>
          <w:szCs w:val="24"/>
        </w:rPr>
        <w:t>B</w:t>
      </w:r>
      <w:r>
        <w:rPr>
          <w:rFonts w:hint="eastAsia" w:ascii="Times New Roman" w:hAnsi="Times New Roman" w:eastAsia="楷体" w:cs="Times New Roman"/>
          <w:color w:val="000000"/>
          <w:kern w:val="0"/>
          <w:sz w:val="24"/>
          <w:szCs w:val="24"/>
        </w:rPr>
        <w:t>股股票交易采用Ｔ</w:t>
      </w:r>
      <w:r>
        <w:rPr>
          <w:rFonts w:ascii="Times New Roman" w:hAnsi="Times New Roman" w:eastAsia="楷体" w:cs="Times New Roman"/>
          <w:color w:val="000000"/>
          <w:kern w:val="0"/>
          <w:sz w:val="24"/>
          <w:szCs w:val="24"/>
        </w:rPr>
        <w:t>+3</w:t>
      </w:r>
      <w:r>
        <w:rPr>
          <w:rFonts w:hint="eastAsia" w:ascii="Times New Roman" w:hAnsi="Times New Roman" w:eastAsia="楷体" w:cs="Times New Roman"/>
          <w:color w:val="000000"/>
          <w:kern w:val="0"/>
          <w:sz w:val="24"/>
          <w:szCs w:val="24"/>
        </w:rPr>
        <w:t>登记的制度。原则上，</w:t>
      </w:r>
      <w:r>
        <w:rPr>
          <w:rFonts w:ascii="Times New Roman" w:hAnsi="Times New Roman" w:eastAsia="楷体" w:cs="Times New Roman"/>
          <w:color w:val="000000"/>
          <w:kern w:val="0"/>
          <w:sz w:val="24"/>
          <w:szCs w:val="24"/>
        </w:rPr>
        <w:t>A</w:t>
      </w:r>
      <w:r>
        <w:rPr>
          <w:rFonts w:hint="eastAsia" w:ascii="Times New Roman" w:hAnsi="Times New Roman" w:eastAsia="楷体" w:cs="Times New Roman"/>
          <w:color w:val="000000"/>
          <w:kern w:val="0"/>
          <w:sz w:val="24"/>
          <w:szCs w:val="24"/>
        </w:rPr>
        <w:t>股股权登记日和</w:t>
      </w:r>
      <w:r>
        <w:rPr>
          <w:rFonts w:ascii="Times New Roman" w:hAnsi="Times New Roman" w:eastAsia="楷体" w:cs="Times New Roman"/>
          <w:color w:val="000000"/>
          <w:kern w:val="0"/>
          <w:sz w:val="24"/>
          <w:szCs w:val="24"/>
        </w:rPr>
        <w:t>B</w:t>
      </w:r>
      <w:r>
        <w:rPr>
          <w:rFonts w:hint="eastAsia" w:ascii="Times New Roman" w:hAnsi="Times New Roman" w:eastAsia="楷体" w:cs="Times New Roman"/>
          <w:color w:val="000000"/>
          <w:kern w:val="0"/>
          <w:sz w:val="24"/>
          <w:szCs w:val="24"/>
        </w:rPr>
        <w:t>股最后交易日为同一天，</w:t>
      </w:r>
      <w:r>
        <w:rPr>
          <w:rFonts w:ascii="Times New Roman" w:hAnsi="Times New Roman" w:eastAsia="楷体" w:cs="Times New Roman"/>
          <w:color w:val="000000"/>
          <w:kern w:val="0"/>
          <w:sz w:val="24"/>
          <w:szCs w:val="24"/>
        </w:rPr>
        <w:t>B</w:t>
      </w:r>
      <w:r>
        <w:rPr>
          <w:rFonts w:hint="eastAsia" w:ascii="Times New Roman" w:hAnsi="Times New Roman" w:eastAsia="楷体" w:cs="Times New Roman"/>
          <w:color w:val="000000"/>
          <w:kern w:val="0"/>
          <w:sz w:val="24"/>
          <w:szCs w:val="24"/>
        </w:rPr>
        <w:t>股股权登记日为</w:t>
      </w:r>
      <w:r>
        <w:rPr>
          <w:rFonts w:ascii="Times New Roman" w:hAnsi="Times New Roman" w:eastAsia="楷体" w:cs="Times New Roman"/>
          <w:color w:val="000000"/>
          <w:kern w:val="0"/>
          <w:sz w:val="24"/>
          <w:szCs w:val="24"/>
        </w:rPr>
        <w:t>A</w:t>
      </w:r>
      <w:r>
        <w:rPr>
          <w:rFonts w:hint="eastAsia" w:ascii="Times New Roman" w:hAnsi="Times New Roman" w:eastAsia="楷体" w:cs="Times New Roman"/>
          <w:color w:val="000000"/>
          <w:kern w:val="0"/>
          <w:sz w:val="24"/>
          <w:szCs w:val="24"/>
        </w:rPr>
        <w:t>股股权登记日后的第</w:t>
      </w:r>
      <w:r>
        <w:rPr>
          <w:rFonts w:ascii="Times New Roman" w:hAnsi="Times New Roman" w:eastAsia="楷体" w:cs="Times New Roman"/>
          <w:color w:val="000000"/>
          <w:kern w:val="0"/>
          <w:sz w:val="24"/>
          <w:szCs w:val="24"/>
        </w:rPr>
        <w:t>3</w:t>
      </w:r>
      <w:r>
        <w:rPr>
          <w:rFonts w:hint="eastAsia" w:ascii="Times New Roman" w:hAnsi="Times New Roman" w:eastAsia="楷体" w:cs="Times New Roman"/>
          <w:color w:val="000000"/>
          <w:kern w:val="0"/>
          <w:sz w:val="24"/>
          <w:szCs w:val="24"/>
        </w:rPr>
        <w:t>个交易日。非公开发行的优先股股票交易采用</w:t>
      </w:r>
      <w:r>
        <w:rPr>
          <w:rFonts w:ascii="Times New Roman" w:hAnsi="Times New Roman" w:eastAsia="楷体" w:cs="Times New Roman"/>
          <w:color w:val="000000"/>
          <w:kern w:val="0"/>
          <w:sz w:val="24"/>
          <w:szCs w:val="24"/>
        </w:rPr>
        <w:t>T+1</w:t>
      </w:r>
      <w:r>
        <w:rPr>
          <w:rFonts w:hint="eastAsia" w:ascii="Times New Roman" w:hAnsi="Times New Roman" w:eastAsia="楷体" w:cs="Times New Roman"/>
          <w:color w:val="000000"/>
          <w:kern w:val="0"/>
          <w:sz w:val="24"/>
          <w:szCs w:val="24"/>
        </w:rPr>
        <w:t>登记制度，其最后交易日与</w:t>
      </w:r>
      <w:r>
        <w:rPr>
          <w:rFonts w:ascii="Times New Roman" w:hAnsi="Times New Roman" w:eastAsia="楷体" w:cs="Times New Roman"/>
          <w:color w:val="000000"/>
          <w:kern w:val="0"/>
          <w:sz w:val="24"/>
          <w:szCs w:val="24"/>
        </w:rPr>
        <w:t>A</w:t>
      </w:r>
      <w:r>
        <w:rPr>
          <w:rFonts w:hint="eastAsia" w:ascii="Times New Roman" w:hAnsi="Times New Roman" w:eastAsia="楷体" w:cs="Times New Roman"/>
          <w:color w:val="000000"/>
          <w:kern w:val="0"/>
          <w:sz w:val="24"/>
          <w:szCs w:val="24"/>
        </w:rPr>
        <w:t>股股权登记日为同一天，非公开发行优先股股权登记日为</w:t>
      </w:r>
      <w:r>
        <w:rPr>
          <w:rFonts w:ascii="Times New Roman" w:hAnsi="Times New Roman" w:eastAsia="楷体" w:cs="Times New Roman"/>
          <w:color w:val="000000"/>
          <w:kern w:val="0"/>
          <w:sz w:val="24"/>
          <w:szCs w:val="24"/>
        </w:rPr>
        <w:t>A</w:t>
      </w:r>
      <w:r>
        <w:rPr>
          <w:rFonts w:hint="eastAsia" w:ascii="Times New Roman" w:hAnsi="Times New Roman" w:eastAsia="楷体" w:cs="Times New Roman"/>
          <w:color w:val="000000"/>
          <w:kern w:val="0"/>
          <w:sz w:val="24"/>
          <w:szCs w:val="24"/>
        </w:rPr>
        <w:t>股股权登记日后的第</w:t>
      </w:r>
      <w:r>
        <w:rPr>
          <w:rFonts w:ascii="Times New Roman" w:hAnsi="Times New Roman" w:eastAsia="楷体" w:cs="Times New Roman"/>
          <w:color w:val="000000"/>
          <w:kern w:val="0"/>
          <w:sz w:val="24"/>
          <w:szCs w:val="24"/>
        </w:rPr>
        <w:t>1</w:t>
      </w:r>
      <w:r>
        <w:rPr>
          <w:rFonts w:hint="eastAsia" w:ascii="Times New Roman" w:hAnsi="Times New Roman" w:eastAsia="楷体" w:cs="Times New Roman"/>
          <w:color w:val="000000"/>
          <w:kern w:val="0"/>
          <w:sz w:val="24"/>
          <w:szCs w:val="24"/>
        </w:rPr>
        <w:t>个交易日。）</w:t>
      </w:r>
    </w:p>
    <w:p w14:paraId="20A6DCB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（二）公司董事、高级管理人员。</w:t>
      </w:r>
    </w:p>
    <w:p w14:paraId="0F3EE9A3">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（三）公司聘请的律师。</w:t>
      </w:r>
    </w:p>
    <w:p w14:paraId="1AD72BFE">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（四）其他人员（如适用）。</w:t>
      </w:r>
    </w:p>
    <w:p w14:paraId="63AA4315">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p>
    <w:p w14:paraId="1ED93404">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五、会议登记方法</w:t>
      </w:r>
    </w:p>
    <w:p w14:paraId="2D84E638">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说明股东类别、出席股东会的登记方式、登记时间、登记地点以及委托他人出席股东会的有关要求。</w:t>
      </w:r>
    </w:p>
    <w:p w14:paraId="2651FC96">
      <w:pPr>
        <w:widowControl/>
        <w:adjustRightInd w:val="0"/>
        <w:snapToGrid w:val="0"/>
        <w:spacing w:line="560" w:lineRule="exact"/>
        <w:ind w:firstLine="600" w:firstLineChars="200"/>
        <w:jc w:val="left"/>
        <w:rPr>
          <w:rFonts w:ascii="仿宋" w:hAnsi="仿宋" w:eastAsia="仿宋_GB2312" w:cs="宋体"/>
          <w:kern w:val="0"/>
          <w:sz w:val="30"/>
          <w:szCs w:val="30"/>
        </w:rPr>
      </w:pPr>
      <w:r>
        <w:rPr>
          <w:rFonts w:eastAsia="仿宋_GB2312" w:cs="Calibri"/>
          <w:kern w:val="0"/>
          <w:sz w:val="30"/>
          <w:szCs w:val="30"/>
        </w:rPr>
        <w:t> </w:t>
      </w:r>
    </w:p>
    <w:p w14:paraId="27DE7D18">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六、其他事项</w:t>
      </w:r>
    </w:p>
    <w:p w14:paraId="53C3E522">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说明会议联系方式（包括会务常设联系人姓名、电话号码、传真号码、电子邮箱等）和会议费用情况等。</w:t>
      </w:r>
    </w:p>
    <w:p w14:paraId="6FD8A5A9">
      <w:pPr>
        <w:widowControl/>
        <w:adjustRightInd w:val="0"/>
        <w:snapToGrid w:val="0"/>
        <w:spacing w:line="560" w:lineRule="exact"/>
        <w:ind w:firstLine="600" w:firstLineChars="200"/>
        <w:jc w:val="left"/>
        <w:rPr>
          <w:rFonts w:ascii="仿宋" w:hAnsi="仿宋" w:eastAsia="仿宋_GB2312" w:cs="宋体"/>
          <w:kern w:val="0"/>
          <w:sz w:val="30"/>
          <w:szCs w:val="30"/>
        </w:rPr>
      </w:pPr>
      <w:r>
        <w:rPr>
          <w:rFonts w:eastAsia="仿宋_GB2312" w:cs="Calibri"/>
          <w:kern w:val="0"/>
          <w:sz w:val="30"/>
          <w:szCs w:val="30"/>
        </w:rPr>
        <w:t> </w:t>
      </w:r>
    </w:p>
    <w:p w14:paraId="4F1ED9B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特此公告。</w:t>
      </w:r>
    </w:p>
    <w:p w14:paraId="267DBB04">
      <w:pPr>
        <w:widowControl/>
        <w:adjustRightInd w:val="0"/>
        <w:snapToGrid w:val="0"/>
        <w:spacing w:line="560" w:lineRule="exact"/>
        <w:ind w:firstLine="600" w:firstLineChars="200"/>
        <w:jc w:val="left"/>
        <w:rPr>
          <w:rFonts w:ascii="仿宋" w:hAnsi="仿宋" w:eastAsia="仿宋_GB2312" w:cs="宋体"/>
          <w:kern w:val="0"/>
          <w:sz w:val="30"/>
          <w:szCs w:val="30"/>
        </w:rPr>
      </w:pPr>
      <w:r>
        <w:rPr>
          <w:rFonts w:eastAsia="仿宋_GB2312" w:cs="Calibri"/>
          <w:kern w:val="0"/>
          <w:sz w:val="30"/>
          <w:szCs w:val="30"/>
        </w:rPr>
        <w:t> </w:t>
      </w:r>
    </w:p>
    <w:p w14:paraId="2A19CE0C">
      <w:pPr>
        <w:widowControl/>
        <w:adjustRightInd w:val="0"/>
        <w:snapToGrid w:val="0"/>
        <w:spacing w:line="560" w:lineRule="exact"/>
        <w:ind w:firstLine="600" w:firstLineChars="200"/>
        <w:jc w:val="right"/>
        <w:rPr>
          <w:rFonts w:ascii="仿宋" w:hAnsi="仿宋" w:eastAsia="仿宋_GB2312" w:cs="宋体"/>
          <w:kern w:val="0"/>
          <w:sz w:val="30"/>
          <w:szCs w:val="30"/>
        </w:rPr>
      </w:pPr>
      <w:r>
        <w:rPr>
          <w:rFonts w:hint="eastAsia" w:ascii="仿宋_GB2312" w:hAnsi="宋体" w:eastAsia="仿宋_GB2312" w:cs="宋体"/>
          <w:color w:val="000000"/>
          <w:kern w:val="0"/>
          <w:sz w:val="30"/>
          <w:szCs w:val="30"/>
        </w:rPr>
        <w:t>××××</w:t>
      </w:r>
      <w:r>
        <w:rPr>
          <w:rFonts w:hint="eastAsia" w:ascii="仿宋" w:hAnsi="仿宋" w:eastAsia="仿宋_GB2312" w:cs="宋体"/>
          <w:kern w:val="0"/>
          <w:sz w:val="30"/>
          <w:szCs w:val="30"/>
        </w:rPr>
        <w:t>股份有限公司董事会</w:t>
      </w:r>
    </w:p>
    <w:p w14:paraId="36318A4C">
      <w:pPr>
        <w:widowControl/>
        <w:adjustRightInd w:val="0"/>
        <w:snapToGrid w:val="0"/>
        <w:spacing w:line="560" w:lineRule="exact"/>
        <w:ind w:firstLine="600" w:firstLineChars="200"/>
        <w:jc w:val="right"/>
        <w:rPr>
          <w:rFonts w:ascii="仿宋" w:hAnsi="仿宋" w:eastAsia="仿宋_GB2312" w:cs="宋体"/>
          <w:kern w:val="0"/>
          <w:sz w:val="30"/>
          <w:szCs w:val="30"/>
        </w:rPr>
      </w:pPr>
      <w:r>
        <w:rPr>
          <w:rFonts w:hint="eastAsia" w:ascii="仿宋" w:hAnsi="仿宋" w:eastAsia="仿宋_GB2312" w:cs="宋体"/>
          <w:kern w:val="0"/>
          <w:sz w:val="30"/>
          <w:szCs w:val="30"/>
        </w:rPr>
        <w:t xml:space="preserve">年 </w:t>
      </w:r>
      <w:r>
        <w:rPr>
          <w:rFonts w:eastAsia="仿宋_GB2312" w:cs="Calibri"/>
          <w:kern w:val="0"/>
          <w:sz w:val="30"/>
          <w:szCs w:val="30"/>
        </w:rPr>
        <w:t> </w:t>
      </w:r>
      <w:r>
        <w:rPr>
          <w:rFonts w:hint="eastAsia" w:ascii="仿宋" w:hAnsi="仿宋" w:eastAsia="仿宋_GB2312" w:cs="宋体"/>
          <w:kern w:val="0"/>
          <w:sz w:val="30"/>
          <w:szCs w:val="30"/>
        </w:rPr>
        <w:t xml:space="preserve">月 </w:t>
      </w:r>
      <w:r>
        <w:rPr>
          <w:rFonts w:eastAsia="仿宋_GB2312" w:cs="Calibri"/>
          <w:kern w:val="0"/>
          <w:sz w:val="30"/>
          <w:szCs w:val="30"/>
        </w:rPr>
        <w:t> </w:t>
      </w:r>
      <w:r>
        <w:rPr>
          <w:rFonts w:hint="eastAsia" w:ascii="仿宋" w:hAnsi="仿宋" w:eastAsia="仿宋_GB2312" w:cs="宋体"/>
          <w:kern w:val="0"/>
          <w:sz w:val="30"/>
          <w:szCs w:val="30"/>
        </w:rPr>
        <w:t>日</w:t>
      </w:r>
    </w:p>
    <w:p w14:paraId="74C4612A">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附件1：授权委托书</w:t>
      </w:r>
    </w:p>
    <w:p w14:paraId="203872A6">
      <w:pPr>
        <w:widowControl/>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附件2：采用累积投票制选举董事、独立董事的投票方式说明（如适用）</w:t>
      </w:r>
    </w:p>
    <w:p w14:paraId="06346F47">
      <w:pPr>
        <w:rPr>
          <w:rFonts w:ascii="仿宋" w:hAnsi="仿宋" w:eastAsia="仿宋_GB2312" w:cs="宋体"/>
          <w:b/>
          <w:kern w:val="0"/>
          <w:sz w:val="30"/>
          <w:szCs w:val="30"/>
        </w:rPr>
      </w:pPr>
    </w:p>
    <w:p w14:paraId="26B1D0F4">
      <w:pPr>
        <w:rPr>
          <w:rFonts w:ascii="仿宋" w:hAnsi="仿宋" w:eastAsia="仿宋_GB2312" w:cs="宋体"/>
          <w:b/>
          <w:kern w:val="0"/>
          <w:sz w:val="30"/>
          <w:szCs w:val="30"/>
        </w:rPr>
      </w:pPr>
      <w:r>
        <w:rPr>
          <w:rFonts w:hint="eastAsia" w:ascii="仿宋" w:hAnsi="仿宋" w:eastAsia="仿宋_GB2312" w:cs="宋体"/>
          <w:b/>
          <w:kern w:val="0"/>
          <w:sz w:val="30"/>
          <w:szCs w:val="30"/>
        </w:rPr>
        <w:t>附件</w:t>
      </w:r>
      <w:r>
        <w:rPr>
          <w:rFonts w:ascii="仿宋" w:hAnsi="仿宋" w:eastAsia="仿宋_GB2312" w:cs="宋体"/>
          <w:b/>
          <w:kern w:val="0"/>
          <w:sz w:val="30"/>
          <w:szCs w:val="30"/>
        </w:rPr>
        <w:t>1:</w:t>
      </w:r>
    </w:p>
    <w:p w14:paraId="147CCA0F">
      <w:pPr>
        <w:widowControl/>
        <w:adjustRightInd w:val="0"/>
        <w:snapToGrid w:val="0"/>
        <w:spacing w:before="100" w:beforeAutospacing="1" w:after="100" w:afterAutospacing="1" w:line="560" w:lineRule="exact"/>
        <w:jc w:val="center"/>
        <w:rPr>
          <w:rFonts w:ascii="仿宋" w:hAnsi="仿宋" w:eastAsia="仿宋_GB2312" w:cs="宋体"/>
          <w:b/>
          <w:bCs/>
          <w:kern w:val="0"/>
          <w:sz w:val="30"/>
          <w:szCs w:val="30"/>
        </w:rPr>
      </w:pPr>
      <w:r>
        <w:rPr>
          <w:rFonts w:hint="eastAsia" w:ascii="仿宋" w:hAnsi="仿宋" w:eastAsia="仿宋_GB2312" w:cs="宋体"/>
          <w:b/>
          <w:bCs/>
          <w:kern w:val="0"/>
          <w:sz w:val="30"/>
          <w:szCs w:val="30"/>
        </w:rPr>
        <w:t>授权委托书</w:t>
      </w:r>
    </w:p>
    <w:p w14:paraId="7F01B885">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bookmarkStart w:id="9" w:name="_Hlk101298064"/>
      <w:r>
        <w:rPr>
          <w:rFonts w:hint="eastAsia" w:ascii="仿宋_GB2312" w:hAnsi="Calibri" w:eastAsia="仿宋_GB2312" w:cs="Times New Roman"/>
          <w:color w:val="000000"/>
          <w:sz w:val="30"/>
          <w:szCs w:val="30"/>
        </w:rPr>
        <w:t> </w:t>
      </w:r>
      <w:r>
        <w:rPr>
          <w:rFonts w:hint="eastAsia" w:ascii="仿宋_GB2312" w:hAnsi="Calibri" w:eastAsia="仿宋_GB2312" w:cs="Times New Roman"/>
          <w:color w:val="000000"/>
          <w:sz w:val="30"/>
          <w:szCs w:val="30"/>
          <w:u w:val="single"/>
        </w:rPr>
        <w:t>XXXX</w:t>
      </w:r>
      <w:r>
        <w:rPr>
          <w:rFonts w:hint="eastAsia" w:ascii="仿宋_GB2312" w:hAnsi="Calibri" w:eastAsia="仿宋_GB2312" w:cs="Times New Roman"/>
          <w:color w:val="000000"/>
          <w:sz w:val="30"/>
          <w:szCs w:val="30"/>
        </w:rPr>
        <w:t>股份有限公司：</w:t>
      </w:r>
    </w:p>
    <w:bookmarkEnd w:id="9"/>
    <w:p w14:paraId="4B16C791">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bookmarkStart w:id="10" w:name="_Hlk101298073"/>
      <w:r>
        <w:rPr>
          <w:rFonts w:hint="eastAsia" w:ascii="仿宋_GB2312" w:hAnsi="Calibri" w:eastAsia="仿宋_GB2312" w:cs="Times New Roman"/>
          <w:color w:val="000000"/>
          <w:sz w:val="30"/>
          <w:szCs w:val="30"/>
        </w:rPr>
        <w:t>兹委托 先生（女士）代表本单位（或本人）出席　年　月　日召开的贵公司</w:t>
      </w:r>
      <w:r>
        <w:rPr>
          <w:rFonts w:hint="eastAsia" w:ascii="仿宋_GB2312" w:hAnsi="Calibri" w:eastAsia="仿宋_GB2312" w:cs="Times New Roman"/>
          <w:color w:val="000000"/>
          <w:sz w:val="30"/>
          <w:szCs w:val="30"/>
          <w:u w:val="single"/>
        </w:rPr>
        <w:t>[XXXX年度股东会/XXXX年第XX次临时股东会]</w:t>
      </w:r>
      <w:r>
        <w:rPr>
          <w:rFonts w:hint="eastAsia" w:ascii="仿宋_GB2312" w:hAnsi="Calibri" w:eastAsia="仿宋_GB2312" w:cs="Times New Roman"/>
          <w:color w:val="000000"/>
          <w:sz w:val="30"/>
          <w:szCs w:val="30"/>
        </w:rPr>
        <w:t>，并代为行使表决权。</w:t>
      </w:r>
    </w:p>
    <w:bookmarkEnd w:id="10"/>
    <w:p w14:paraId="2657920A">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bookmarkStart w:id="11" w:name="_Hlk101298083"/>
      <w:r>
        <w:rPr>
          <w:rFonts w:hint="eastAsia" w:ascii="仿宋_GB2312" w:hAnsi="Calibri" w:eastAsia="仿宋_GB2312" w:cs="Times New Roman"/>
          <w:color w:val="000000"/>
          <w:sz w:val="30"/>
          <w:szCs w:val="30"/>
        </w:rPr>
        <w:t>委托人持普通股数：</w:t>
      </w:r>
      <w:r>
        <w:rPr>
          <w:rFonts w:hint="eastAsia" w:ascii="仿宋_GB2312" w:hAnsi="Calibri" w:eastAsia="仿宋_GB2312" w:cs="Times New Roman"/>
          <w:color w:val="000000"/>
          <w:sz w:val="30"/>
          <w:szCs w:val="30"/>
          <w:u w:val="single"/>
        </w:rPr>
        <w:t>　　　　　　　　</w:t>
      </w:r>
    </w:p>
    <w:p w14:paraId="45672540">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委托人持优先股数：</w:t>
      </w:r>
      <w:r>
        <w:rPr>
          <w:rFonts w:hint="eastAsia" w:ascii="仿宋_GB2312" w:hAnsi="Calibri" w:eastAsia="仿宋_GB2312" w:cs="Times New Roman"/>
          <w:color w:val="000000"/>
          <w:sz w:val="30"/>
          <w:szCs w:val="30"/>
          <w:u w:val="single"/>
        </w:rPr>
        <w:t>　　　　　　　　</w:t>
      </w:r>
    </w:p>
    <w:p w14:paraId="221996A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委托人股东账户号：</w:t>
      </w:r>
      <w:r>
        <w:rPr>
          <w:rFonts w:ascii="仿宋_GB2312" w:hAnsi="Calibri" w:eastAsia="仿宋_GB2312" w:cs="Times New Roman"/>
          <w:color w:val="000000"/>
          <w:sz w:val="30"/>
          <w:szCs w:val="30"/>
          <w:u w:val="single"/>
        </w:rPr>
        <w:t xml:space="preserve">                </w:t>
      </w:r>
    </w:p>
    <w:bookmarkEnd w:id="11"/>
    <w:p w14:paraId="2556965C">
      <w:pPr>
        <w:widowControl/>
        <w:adjustRightInd w:val="0"/>
        <w:snapToGrid w:val="0"/>
        <w:spacing w:line="560" w:lineRule="exact"/>
        <w:ind w:firstLine="600" w:firstLineChars="200"/>
        <w:jc w:val="left"/>
        <w:rPr>
          <w:rFonts w:ascii="仿宋" w:hAnsi="仿宋" w:eastAsia="仿宋_GB2312" w:cs="宋体"/>
          <w:kern w:val="0"/>
          <w:sz w:val="30"/>
          <w:szCs w:val="30"/>
        </w:rPr>
      </w:pPr>
      <w:r>
        <w:rPr>
          <w:rFonts w:eastAsia="仿宋_GB2312" w:cs="Calibri"/>
          <w:kern w:val="0"/>
          <w:sz w:val="30"/>
          <w:szCs w:val="30"/>
        </w:rPr>
        <w:t>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1080"/>
        <w:gridCol w:w="1080"/>
        <w:gridCol w:w="900"/>
      </w:tblGrid>
      <w:tr w14:paraId="37E5ED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A9065F1">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9A28039">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非累积投票议案名称</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9A94014">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同意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2D3FD35">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反对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A25E0B8">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弃权</w:t>
            </w:r>
          </w:p>
        </w:tc>
      </w:tr>
      <w:tr w14:paraId="47339E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9372C5B">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4B18FEF8">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2E773325">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A66DC24">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67FC5AF2">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170B2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62C4055">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67276F89">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04D9824">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2158C858">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2BCDDCA1">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07222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686876D">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174839EE">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71ACBAF">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E138A64">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127C8E4F">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14:paraId="274F21B5">
      <w:pPr>
        <w:widowControl/>
        <w:adjustRightInd w:val="0"/>
        <w:snapToGrid w:val="0"/>
        <w:spacing w:line="560" w:lineRule="exact"/>
        <w:ind w:firstLine="600" w:firstLineChars="200"/>
        <w:jc w:val="left"/>
        <w:rPr>
          <w:rFonts w:ascii="仿宋" w:hAnsi="仿宋" w:eastAsia="仿宋_GB2312" w:cs="宋体"/>
          <w:kern w:val="0"/>
          <w:sz w:val="30"/>
          <w:szCs w:val="30"/>
        </w:rPr>
      </w:pP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3078"/>
      </w:tblGrid>
      <w:tr w14:paraId="00E2C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3AEBB8E">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2EEC668">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累积投票议案名称</w:t>
            </w:r>
          </w:p>
        </w:tc>
        <w:tc>
          <w:tcPr>
            <w:tcW w:w="307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0936C2A">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投票数</w:t>
            </w:r>
          </w:p>
        </w:tc>
      </w:tr>
      <w:tr w14:paraId="2BABA3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1BBB76A">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76BD18E7">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7237934D">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D746D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7785DC5">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3F34188D">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10058960">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C72F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C77348B">
            <w:pPr>
              <w:widowControl/>
              <w:adjustRightInd w:val="0"/>
              <w:snapToGrid w:val="0"/>
              <w:spacing w:before="100" w:beforeAutospacing="1" w:after="100" w:afterAutospacing="1"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2F00297F">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7F71CC26">
            <w:pPr>
              <w:widowControl/>
              <w:adjustRightInd w:val="0"/>
              <w:snapToGrid w:val="0"/>
              <w:spacing w:before="100" w:beforeAutospacing="1" w:after="100" w:afterAutospacing="1"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14:paraId="566E8F63">
      <w:pPr>
        <w:widowControl/>
        <w:adjustRightInd w:val="0"/>
        <w:snapToGrid w:val="0"/>
        <w:spacing w:line="560" w:lineRule="exact"/>
        <w:ind w:firstLine="600" w:firstLineChars="200"/>
        <w:jc w:val="left"/>
        <w:rPr>
          <w:rFonts w:ascii="仿宋" w:hAnsi="仿宋" w:eastAsia="仿宋_GB2312" w:cs="宋体"/>
          <w:kern w:val="0"/>
          <w:sz w:val="30"/>
          <w:szCs w:val="30"/>
        </w:rPr>
      </w:pPr>
    </w:p>
    <w:p w14:paraId="48116C29">
      <w:pPr>
        <w:widowControl/>
        <w:adjustRightInd w:val="0"/>
        <w:snapToGrid w:val="0"/>
        <w:spacing w:line="560" w:lineRule="exact"/>
        <w:jc w:val="left"/>
        <w:rPr>
          <w:rFonts w:ascii="仿宋" w:hAnsi="仿宋" w:eastAsia="仿宋_GB2312" w:cs="宋体"/>
          <w:kern w:val="0"/>
          <w:sz w:val="30"/>
          <w:szCs w:val="30"/>
        </w:rPr>
      </w:pPr>
      <w:r>
        <w:rPr>
          <w:rFonts w:hint="eastAsia" w:ascii="仿宋" w:hAnsi="仿宋" w:eastAsia="仿宋_GB2312" w:cs="宋体"/>
          <w:kern w:val="0"/>
          <w:sz w:val="30"/>
          <w:szCs w:val="30"/>
        </w:rPr>
        <w:t>委托人签名（盖章）：　　　　　　　　受托人签名：</w:t>
      </w:r>
    </w:p>
    <w:p w14:paraId="0EE6026E">
      <w:pPr>
        <w:widowControl/>
        <w:adjustRightInd w:val="0"/>
        <w:snapToGrid w:val="0"/>
        <w:spacing w:line="560" w:lineRule="exact"/>
        <w:jc w:val="left"/>
        <w:rPr>
          <w:rFonts w:ascii="仿宋" w:hAnsi="仿宋" w:eastAsia="仿宋_GB2312" w:cs="宋体"/>
          <w:kern w:val="0"/>
          <w:sz w:val="30"/>
          <w:szCs w:val="30"/>
        </w:rPr>
      </w:pPr>
      <w:r>
        <w:rPr>
          <w:rFonts w:hint="eastAsia" w:ascii="仿宋" w:hAnsi="仿宋" w:eastAsia="仿宋_GB2312" w:cs="宋体"/>
          <w:kern w:val="0"/>
          <w:sz w:val="30"/>
          <w:szCs w:val="30"/>
        </w:rPr>
        <w:t>委托人身份证号：　　　　　　　　　　受托人身份证号：</w:t>
      </w:r>
    </w:p>
    <w:p w14:paraId="1BB9FA3B">
      <w:pPr>
        <w:widowControl/>
        <w:adjustRightInd w:val="0"/>
        <w:snapToGrid w:val="0"/>
        <w:spacing w:line="560" w:lineRule="exact"/>
        <w:ind w:firstLine="600" w:firstLineChars="200"/>
        <w:jc w:val="left"/>
        <w:rPr>
          <w:rFonts w:ascii="仿宋" w:hAnsi="仿宋" w:eastAsia="仿宋_GB2312" w:cs="宋体"/>
          <w:kern w:val="0"/>
          <w:sz w:val="30"/>
          <w:szCs w:val="30"/>
        </w:rPr>
      </w:pPr>
    </w:p>
    <w:p w14:paraId="08147CD1">
      <w:pPr>
        <w:autoSpaceDE w:val="0"/>
        <w:autoSpaceDN w:val="0"/>
        <w:adjustRightInd w:val="0"/>
        <w:snapToGrid w:val="0"/>
        <w:spacing w:line="560" w:lineRule="exact"/>
        <w:jc w:val="righ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委托日期：　　年  月  日</w:t>
      </w:r>
    </w:p>
    <w:p w14:paraId="20D35C7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p>
    <w:p w14:paraId="5A1B9B29">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备注：委托人应当在委托书中“同意”、“反对”或“弃权”意向中选择一个并打“√”，对于委托人在本授权委托书中未作具体指示的，受托人有权按自己的意愿进行表决。</w:t>
      </w:r>
    </w:p>
    <w:p w14:paraId="2BD300BE">
      <w:pPr>
        <w:widowControl/>
        <w:jc w:val="left"/>
        <w:rPr>
          <w:rFonts w:ascii="仿宋" w:hAnsi="仿宋" w:eastAsia="仿宋_GB2312" w:cs="宋体"/>
          <w:b/>
          <w:kern w:val="0"/>
          <w:sz w:val="30"/>
          <w:szCs w:val="30"/>
        </w:rPr>
      </w:pPr>
      <w:r>
        <w:rPr>
          <w:rFonts w:ascii="仿宋" w:hAnsi="仿宋" w:eastAsia="仿宋_GB2312" w:cs="宋体"/>
          <w:b/>
          <w:kern w:val="0"/>
          <w:sz w:val="30"/>
          <w:szCs w:val="30"/>
        </w:rPr>
        <w:br w:type="page"/>
      </w:r>
    </w:p>
    <w:p w14:paraId="5E7B8227">
      <w:pPr>
        <w:widowControl/>
        <w:adjustRightInd w:val="0"/>
        <w:snapToGrid w:val="0"/>
        <w:spacing w:before="100" w:beforeAutospacing="1" w:after="100" w:afterAutospacing="1" w:line="560" w:lineRule="exact"/>
        <w:jc w:val="left"/>
        <w:rPr>
          <w:rFonts w:ascii="仿宋" w:hAnsi="仿宋" w:eastAsia="仿宋_GB2312" w:cs="宋体"/>
          <w:b/>
          <w:kern w:val="0"/>
          <w:sz w:val="30"/>
          <w:szCs w:val="30"/>
        </w:rPr>
      </w:pPr>
      <w:r>
        <w:rPr>
          <w:rFonts w:hint="eastAsia" w:ascii="仿宋" w:hAnsi="仿宋" w:eastAsia="仿宋_GB2312" w:cs="宋体"/>
          <w:b/>
          <w:kern w:val="0"/>
          <w:sz w:val="30"/>
          <w:szCs w:val="30"/>
        </w:rPr>
        <w:t>附件</w:t>
      </w:r>
      <w:r>
        <w:rPr>
          <w:rFonts w:ascii="仿宋" w:hAnsi="仿宋" w:eastAsia="仿宋_GB2312" w:cs="宋体"/>
          <w:b/>
          <w:kern w:val="0"/>
          <w:sz w:val="30"/>
          <w:szCs w:val="30"/>
        </w:rPr>
        <w:t>2</w:t>
      </w:r>
    </w:p>
    <w:p w14:paraId="5ABF51CE">
      <w:pPr>
        <w:widowControl/>
        <w:adjustRightInd w:val="0"/>
        <w:snapToGrid w:val="0"/>
        <w:spacing w:before="100" w:beforeAutospacing="1" w:after="100" w:afterAutospacing="1" w:line="560" w:lineRule="exact"/>
        <w:jc w:val="center"/>
        <w:rPr>
          <w:rFonts w:ascii="仿宋" w:hAnsi="仿宋" w:eastAsia="仿宋_GB2312" w:cs="宋体"/>
          <w:b/>
          <w:kern w:val="0"/>
          <w:sz w:val="30"/>
          <w:szCs w:val="30"/>
        </w:rPr>
      </w:pPr>
      <w:r>
        <w:rPr>
          <w:rFonts w:hint="eastAsia" w:ascii="仿宋" w:hAnsi="仿宋" w:eastAsia="仿宋_GB2312" w:cs="宋体"/>
          <w:b/>
          <w:kern w:val="0"/>
          <w:sz w:val="30"/>
          <w:szCs w:val="30"/>
        </w:rPr>
        <w:t>采用累积投票制选举董事、独立董事的投票方式说明</w:t>
      </w:r>
    </w:p>
    <w:p w14:paraId="2FDBA7AF">
      <w:pPr>
        <w:widowControl/>
        <w:adjustRightInd w:val="0"/>
        <w:snapToGrid w:val="0"/>
        <w:spacing w:line="560" w:lineRule="exact"/>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 xml:space="preserve"> </w:t>
      </w:r>
      <w:r>
        <w:rPr>
          <w:rFonts w:ascii="仿宋_GB2312" w:hAnsi="Calibri" w:eastAsia="仿宋_GB2312" w:cs="Times New Roman"/>
          <w:color w:val="000000"/>
          <w:sz w:val="30"/>
          <w:szCs w:val="30"/>
        </w:rPr>
        <w:t xml:space="preserve">   </w:t>
      </w:r>
      <w:r>
        <w:rPr>
          <w:rFonts w:hint="eastAsia" w:ascii="仿宋_GB2312" w:hAnsi="Calibri" w:eastAsia="仿宋_GB2312" w:cs="Times New Roman"/>
          <w:color w:val="000000"/>
          <w:sz w:val="30"/>
          <w:szCs w:val="30"/>
        </w:rPr>
        <w:t>一、股东会董事候选人选举、独立董事候选人选举作为议案组分别进行编号。投资者应当针对各议案组下每位候选人进行投票。</w:t>
      </w:r>
    </w:p>
    <w:p w14:paraId="170FDF6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申报股数代表选举票数。对于每个议案组，股东每持有一股即拥有与该议案组下应选董事人数相等的投票总数。如某股东持有上市公司100股股票，该次股东会应选董事10名，董事候选人有12名，则该股东对于董事会选举议案组，拥有1000股的选举票数。</w:t>
      </w:r>
    </w:p>
    <w:p w14:paraId="5080BE6B">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781AF836">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四、示例：</w:t>
      </w:r>
    </w:p>
    <w:p w14:paraId="1909D6E2">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某上市公司召开股东会采用累积投票制对进行董事会改选，应选董事5名，董事候选人有6名；应选独立董事2名，独立董事候选人有3名。需投票表决的事项如下：</w:t>
      </w:r>
    </w:p>
    <w:tbl>
      <w:tblPr>
        <w:tblStyle w:val="8"/>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900"/>
        <w:gridCol w:w="720"/>
        <w:gridCol w:w="720"/>
        <w:gridCol w:w="1034"/>
      </w:tblGrid>
      <w:tr w14:paraId="2253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4" w:type="dxa"/>
            <w:gridSpan w:val="6"/>
            <w:tcBorders>
              <w:bottom w:val="single" w:color="auto" w:sz="6" w:space="0"/>
            </w:tcBorders>
          </w:tcPr>
          <w:p w14:paraId="6D5E8421">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累积投票议案</w:t>
            </w:r>
          </w:p>
        </w:tc>
      </w:tr>
      <w:tr w14:paraId="18F1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bottom w:val="single" w:color="auto" w:sz="6" w:space="0"/>
            </w:tcBorders>
          </w:tcPr>
          <w:p w14:paraId="2B479B7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3600" w:type="dxa"/>
          </w:tcPr>
          <w:p w14:paraId="0B3F607B">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关于选举董事的议案</w:t>
            </w:r>
          </w:p>
        </w:tc>
        <w:tc>
          <w:tcPr>
            <w:tcW w:w="3374" w:type="dxa"/>
            <w:gridSpan w:val="4"/>
          </w:tcPr>
          <w:p w14:paraId="31C0DEE5">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应选董事（5）人</w:t>
            </w:r>
          </w:p>
        </w:tc>
      </w:tr>
      <w:tr w14:paraId="419D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80D236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4.01</w:t>
            </w:r>
          </w:p>
        </w:tc>
        <w:tc>
          <w:tcPr>
            <w:tcW w:w="3600" w:type="dxa"/>
            <w:tcBorders>
              <w:top w:val="single" w:color="auto" w:sz="6" w:space="0"/>
              <w:left w:val="single" w:color="auto" w:sz="6" w:space="0"/>
              <w:bottom w:val="single" w:color="auto" w:sz="6" w:space="0"/>
              <w:right w:val="single" w:color="auto" w:sz="6" w:space="0"/>
            </w:tcBorders>
          </w:tcPr>
          <w:p w14:paraId="046AF940">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例：陈××</w:t>
            </w:r>
          </w:p>
        </w:tc>
        <w:tc>
          <w:tcPr>
            <w:tcW w:w="900" w:type="dxa"/>
            <w:tcBorders>
              <w:top w:val="single" w:color="auto" w:sz="6" w:space="0"/>
              <w:left w:val="single" w:color="auto" w:sz="6" w:space="0"/>
              <w:bottom w:val="single" w:color="auto" w:sz="6" w:space="0"/>
              <w:right w:val="single" w:color="auto" w:sz="6" w:space="0"/>
            </w:tcBorders>
          </w:tcPr>
          <w:p w14:paraId="2D0957C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7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9DECA5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7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4E2A78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24340D6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7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74E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6" w:space="0"/>
              <w:left w:val="single" w:color="auto" w:sz="6" w:space="0"/>
              <w:bottom w:val="single" w:color="auto" w:sz="6" w:space="0"/>
              <w:right w:val="single" w:color="auto" w:sz="6" w:space="0"/>
            </w:tcBorders>
          </w:tcPr>
          <w:p w14:paraId="31C71F2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4.02</w:t>
            </w:r>
          </w:p>
        </w:tc>
        <w:tc>
          <w:tcPr>
            <w:tcW w:w="3600" w:type="dxa"/>
            <w:tcBorders>
              <w:top w:val="single" w:color="auto" w:sz="6" w:space="0"/>
              <w:left w:val="single" w:color="auto" w:sz="6" w:space="0"/>
              <w:bottom w:val="single" w:color="auto" w:sz="6" w:space="0"/>
              <w:right w:val="single" w:color="auto" w:sz="6" w:space="0"/>
            </w:tcBorders>
          </w:tcPr>
          <w:p w14:paraId="5A16D346">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例：赵××</w:t>
            </w:r>
          </w:p>
        </w:tc>
        <w:tc>
          <w:tcPr>
            <w:tcW w:w="900" w:type="dxa"/>
            <w:tcBorders>
              <w:top w:val="single" w:color="auto" w:sz="6" w:space="0"/>
              <w:left w:val="single" w:color="auto" w:sz="6" w:space="0"/>
              <w:bottom w:val="single" w:color="auto" w:sz="6" w:space="0"/>
              <w:right w:val="single" w:color="auto" w:sz="6" w:space="0"/>
            </w:tcBorders>
          </w:tcPr>
          <w:p w14:paraId="6CC2460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7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3F6F6F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7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8013B1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7B3F168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7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B64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74FE2F9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w:t>
            </w:r>
          </w:p>
        </w:tc>
        <w:tc>
          <w:tcPr>
            <w:tcW w:w="3600" w:type="dxa"/>
            <w:tcBorders>
              <w:top w:val="single" w:color="auto" w:sz="6" w:space="0"/>
              <w:left w:val="single" w:color="auto" w:sz="6" w:space="0"/>
              <w:bottom w:val="single" w:color="auto" w:sz="6" w:space="0"/>
              <w:right w:val="single" w:color="auto" w:sz="6" w:space="0"/>
            </w:tcBorders>
          </w:tcPr>
          <w:p w14:paraId="7CBCE49E">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例：蒋××</w:t>
            </w:r>
          </w:p>
        </w:tc>
        <w:tc>
          <w:tcPr>
            <w:tcW w:w="900" w:type="dxa"/>
            <w:tcBorders>
              <w:top w:val="single" w:color="auto" w:sz="6" w:space="0"/>
              <w:left w:val="single" w:color="auto" w:sz="6" w:space="0"/>
              <w:bottom w:val="single" w:color="auto" w:sz="6" w:space="0"/>
              <w:right w:val="single" w:color="auto" w:sz="6" w:space="0"/>
            </w:tcBorders>
          </w:tcPr>
          <w:p w14:paraId="3A632A1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7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993788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7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0FCA92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5CC8EE2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8"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7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F7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3D75A66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600" w:type="dxa"/>
            <w:tcBorders>
              <w:top w:val="single" w:color="auto" w:sz="6" w:space="0"/>
              <w:left w:val="single" w:color="auto" w:sz="6" w:space="0"/>
              <w:bottom w:val="single" w:color="auto" w:sz="6" w:space="0"/>
              <w:right w:val="single" w:color="auto" w:sz="6" w:space="0"/>
            </w:tcBorders>
          </w:tcPr>
          <w:p w14:paraId="3A467A1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900" w:type="dxa"/>
            <w:tcBorders>
              <w:top w:val="single" w:color="auto" w:sz="6" w:space="0"/>
              <w:left w:val="single" w:color="auto" w:sz="6" w:space="0"/>
              <w:bottom w:val="single" w:color="auto" w:sz="6" w:space="0"/>
              <w:right w:val="single" w:color="auto" w:sz="6" w:space="0"/>
            </w:tcBorders>
          </w:tcPr>
          <w:p w14:paraId="0E06EE6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59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8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8598B0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8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2D3217B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68BF9E1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8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BC2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8E50EF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4.06</w:t>
            </w:r>
          </w:p>
        </w:tc>
        <w:tc>
          <w:tcPr>
            <w:tcW w:w="3600" w:type="dxa"/>
            <w:tcBorders>
              <w:top w:val="single" w:color="auto" w:sz="6" w:space="0"/>
              <w:left w:val="single" w:color="auto" w:sz="6" w:space="0"/>
              <w:bottom w:val="single" w:color="auto" w:sz="6" w:space="0"/>
              <w:right w:val="single" w:color="auto" w:sz="6" w:space="0"/>
            </w:tcBorders>
          </w:tcPr>
          <w:p w14:paraId="3662B5D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例：宋×× </w:t>
            </w:r>
          </w:p>
        </w:tc>
        <w:tc>
          <w:tcPr>
            <w:tcW w:w="900" w:type="dxa"/>
            <w:tcBorders>
              <w:top w:val="single" w:color="auto" w:sz="6" w:space="0"/>
              <w:left w:val="single" w:color="auto" w:sz="6" w:space="0"/>
              <w:bottom w:val="single" w:color="auto" w:sz="6" w:space="0"/>
              <w:right w:val="single" w:color="auto" w:sz="6" w:space="0"/>
            </w:tcBorders>
          </w:tcPr>
          <w:p w14:paraId="3490D47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8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1326BD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8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B4FDA8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4BEEB8E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8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AB7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6" w:space="0"/>
              <w:left w:val="single" w:color="auto" w:sz="6" w:space="0"/>
              <w:bottom w:val="single" w:color="auto" w:sz="6" w:space="0"/>
              <w:right w:val="single" w:color="auto" w:sz="6" w:space="0"/>
            </w:tcBorders>
          </w:tcPr>
          <w:p w14:paraId="6A0F65B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3600" w:type="dxa"/>
            <w:tcBorders>
              <w:top w:val="single" w:color="auto" w:sz="6" w:space="0"/>
              <w:left w:val="single" w:color="auto" w:sz="6" w:space="0"/>
              <w:bottom w:val="single" w:color="auto" w:sz="6" w:space="0"/>
              <w:right w:val="single" w:color="auto" w:sz="6" w:space="0"/>
            </w:tcBorders>
          </w:tcPr>
          <w:p w14:paraId="5D19B46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关于选举独立董事的议案</w:t>
            </w:r>
          </w:p>
        </w:tc>
        <w:tc>
          <w:tcPr>
            <w:tcW w:w="3374" w:type="dxa"/>
            <w:gridSpan w:val="4"/>
            <w:tcBorders>
              <w:top w:val="single" w:color="auto" w:sz="6" w:space="0"/>
              <w:left w:val="single" w:color="auto" w:sz="6" w:space="0"/>
              <w:bottom w:val="single" w:color="auto" w:sz="6" w:space="0"/>
            </w:tcBorders>
          </w:tcPr>
          <w:p w14:paraId="234B2317">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应选独立董事（2）人</w:t>
            </w:r>
          </w:p>
        </w:tc>
      </w:tr>
      <w:tr w14:paraId="629B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816172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5.01</w:t>
            </w:r>
          </w:p>
        </w:tc>
        <w:tc>
          <w:tcPr>
            <w:tcW w:w="3600" w:type="dxa"/>
            <w:tcBorders>
              <w:top w:val="single" w:color="auto" w:sz="6" w:space="0"/>
              <w:left w:val="single" w:color="auto" w:sz="6" w:space="0"/>
              <w:bottom w:val="single" w:color="auto" w:sz="6" w:space="0"/>
              <w:right w:val="single" w:color="auto" w:sz="6" w:space="0"/>
            </w:tcBorders>
          </w:tcPr>
          <w:p w14:paraId="2DDCF62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例：张××</w:t>
            </w:r>
          </w:p>
        </w:tc>
        <w:tc>
          <w:tcPr>
            <w:tcW w:w="900" w:type="dxa"/>
            <w:tcBorders>
              <w:top w:val="single" w:color="auto" w:sz="6" w:space="0"/>
              <w:left w:val="single" w:color="auto" w:sz="6" w:space="0"/>
              <w:bottom w:val="single" w:color="auto" w:sz="6" w:space="0"/>
              <w:right w:val="single" w:color="auto" w:sz="6" w:space="0"/>
            </w:tcBorders>
          </w:tcPr>
          <w:p w14:paraId="6F080BE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8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AA5C08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8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B985DA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4AFCBE8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8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05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693675E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5.02</w:t>
            </w:r>
          </w:p>
        </w:tc>
        <w:tc>
          <w:tcPr>
            <w:tcW w:w="3600" w:type="dxa"/>
            <w:tcBorders>
              <w:top w:val="single" w:color="auto" w:sz="6" w:space="0"/>
              <w:left w:val="single" w:color="auto" w:sz="6" w:space="0"/>
              <w:bottom w:val="single" w:color="auto" w:sz="6" w:space="0"/>
              <w:right w:val="single" w:color="auto" w:sz="6" w:space="0"/>
            </w:tcBorders>
          </w:tcPr>
          <w:p w14:paraId="005E3442">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例：王××</w:t>
            </w:r>
          </w:p>
        </w:tc>
        <w:tc>
          <w:tcPr>
            <w:tcW w:w="900" w:type="dxa"/>
            <w:tcBorders>
              <w:top w:val="single" w:color="auto" w:sz="6" w:space="0"/>
              <w:left w:val="single" w:color="auto" w:sz="6" w:space="0"/>
              <w:bottom w:val="single" w:color="auto" w:sz="6" w:space="0"/>
              <w:right w:val="single" w:color="auto" w:sz="6" w:space="0"/>
            </w:tcBorders>
          </w:tcPr>
          <w:p w14:paraId="0805896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8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5954E9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0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9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464D9C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50B34F5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1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9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81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37482D6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5.03</w:t>
            </w:r>
          </w:p>
        </w:tc>
        <w:tc>
          <w:tcPr>
            <w:tcW w:w="3600" w:type="dxa"/>
            <w:tcBorders>
              <w:top w:val="single" w:color="auto" w:sz="6" w:space="0"/>
              <w:left w:val="single" w:color="auto" w:sz="6" w:space="0"/>
              <w:bottom w:val="single" w:color="auto" w:sz="6" w:space="0"/>
              <w:right w:val="single" w:color="auto" w:sz="6" w:space="0"/>
            </w:tcBorders>
          </w:tcPr>
          <w:p w14:paraId="54A0083E">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例：杨××</w:t>
            </w:r>
          </w:p>
        </w:tc>
        <w:tc>
          <w:tcPr>
            <w:tcW w:w="900" w:type="dxa"/>
            <w:tcBorders>
              <w:top w:val="single" w:color="auto" w:sz="6" w:space="0"/>
              <w:left w:val="single" w:color="auto" w:sz="6" w:space="0"/>
              <w:bottom w:val="single" w:color="auto" w:sz="6" w:space="0"/>
              <w:right w:val="single" w:color="auto" w:sz="6" w:space="0"/>
            </w:tcBorders>
          </w:tcPr>
          <w:p w14:paraId="6157507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1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9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07CB01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1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9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0BB5B8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34" w:type="dxa"/>
            <w:tcBorders>
              <w:top w:val="single" w:color="auto" w:sz="6" w:space="0"/>
              <w:left w:val="single" w:color="auto" w:sz="6" w:space="0"/>
              <w:bottom w:val="single" w:color="auto" w:sz="6" w:space="0"/>
            </w:tcBorders>
          </w:tcPr>
          <w:p w14:paraId="7099421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220980" cy="220980"/>
                  <wp:effectExtent l="0" t="0" r="7620" b="7620"/>
                  <wp:docPr id="61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9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1A033528">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某投资者在股权登记日收市后持有该公司100股股票，采用累积投票制，他（她）在议案4.00“关于选举董事的议案”就有500票的表决权，在议案5.00“关于选举独立董事的议案”有200票的表决权。</w:t>
      </w:r>
    </w:p>
    <w:p w14:paraId="708D191A">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该投资者可以以500票为限，对议案4.00按自己的意愿表决。他（她）既可以把500票集中投给某一位候选人，也可以按照任意组合分散投给任意候选人。 </w:t>
      </w:r>
      <w:r>
        <w:rPr>
          <w:rFonts w:hint="eastAsia" w:ascii="仿宋_GB2312" w:hAnsi="Calibri" w:eastAsia="仿宋_GB2312" w:cs="Times New Roman"/>
          <w:color w:val="000000"/>
          <w:sz w:val="30"/>
          <w:szCs w:val="30"/>
        </w:rPr>
        <w:br w:type="textWrapping"/>
      </w:r>
      <w:r>
        <w:rPr>
          <w:rFonts w:hint="eastAsia" w:ascii="仿宋" w:hAnsi="仿宋" w:eastAsia="仿宋_GB2312" w:cs="宋体"/>
          <w:kern w:val="0"/>
          <w:sz w:val="30"/>
          <w:szCs w:val="30"/>
        </w:rPr>
        <w:t>　　</w:t>
      </w:r>
      <w:r>
        <w:rPr>
          <w:rFonts w:hint="eastAsia" w:ascii="仿宋_GB2312" w:hAnsi="Calibri" w:eastAsia="仿宋_GB2312" w:cs="Times New Roman"/>
          <w:color w:val="000000"/>
          <w:sz w:val="30"/>
          <w:szCs w:val="30"/>
        </w:rPr>
        <w:t>如表所示：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555"/>
        <w:gridCol w:w="1417"/>
        <w:gridCol w:w="1276"/>
        <w:gridCol w:w="1276"/>
        <w:gridCol w:w="1184"/>
      </w:tblGrid>
      <w:tr w14:paraId="7664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339DB22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555" w:type="dxa"/>
            <w:vMerge w:val="restart"/>
            <w:vAlign w:val="center"/>
          </w:tcPr>
          <w:p w14:paraId="36708B0D">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议案名称</w:t>
            </w:r>
          </w:p>
        </w:tc>
        <w:tc>
          <w:tcPr>
            <w:tcW w:w="5153" w:type="dxa"/>
            <w:gridSpan w:val="4"/>
          </w:tcPr>
          <w:p w14:paraId="0D1CFCFC">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投票票数</w:t>
            </w:r>
          </w:p>
        </w:tc>
      </w:tr>
      <w:tr w14:paraId="38AB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bottom w:val="single" w:color="auto" w:sz="6" w:space="0"/>
            </w:tcBorders>
          </w:tcPr>
          <w:p w14:paraId="2974CAEC">
            <w:pPr>
              <w:adjustRightInd w:val="0"/>
              <w:snapToGrid w:val="0"/>
              <w:spacing w:line="560" w:lineRule="exact"/>
              <w:rPr>
                <w:rFonts w:ascii="仿宋_GB2312" w:hAnsi="仿宋_GB2312" w:eastAsia="仿宋_GB2312" w:cs="仿宋_GB2312"/>
                <w:sz w:val="24"/>
                <w:szCs w:val="24"/>
              </w:rPr>
            </w:pPr>
          </w:p>
        </w:tc>
        <w:tc>
          <w:tcPr>
            <w:tcW w:w="2555" w:type="dxa"/>
            <w:vMerge w:val="continue"/>
          </w:tcPr>
          <w:p w14:paraId="2744CDA6">
            <w:pPr>
              <w:adjustRightInd w:val="0"/>
              <w:snapToGrid w:val="0"/>
              <w:spacing w:line="560" w:lineRule="exact"/>
              <w:rPr>
                <w:rFonts w:ascii="仿宋_GB2312" w:hAnsi="仿宋_GB2312" w:eastAsia="仿宋_GB2312" w:cs="仿宋_GB2312"/>
                <w:bCs/>
                <w:sz w:val="24"/>
                <w:szCs w:val="24"/>
              </w:rPr>
            </w:pPr>
          </w:p>
        </w:tc>
        <w:tc>
          <w:tcPr>
            <w:tcW w:w="1417" w:type="dxa"/>
          </w:tcPr>
          <w:p w14:paraId="3A5D23C4">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方式一</w:t>
            </w:r>
          </w:p>
        </w:tc>
        <w:tc>
          <w:tcPr>
            <w:tcW w:w="1276" w:type="dxa"/>
          </w:tcPr>
          <w:p w14:paraId="0920D63B">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方式二</w:t>
            </w:r>
          </w:p>
        </w:tc>
        <w:tc>
          <w:tcPr>
            <w:tcW w:w="1276" w:type="dxa"/>
          </w:tcPr>
          <w:p w14:paraId="2C6EDF29">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方式三</w:t>
            </w:r>
          </w:p>
        </w:tc>
        <w:tc>
          <w:tcPr>
            <w:tcW w:w="1184" w:type="dxa"/>
          </w:tcPr>
          <w:p w14:paraId="6E331DFD">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方式…</w:t>
            </w:r>
          </w:p>
        </w:tc>
      </w:tr>
      <w:tr w14:paraId="742E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bottom w:val="single" w:color="auto" w:sz="6" w:space="0"/>
            </w:tcBorders>
          </w:tcPr>
          <w:p w14:paraId="571529B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2555" w:type="dxa"/>
          </w:tcPr>
          <w:p w14:paraId="2D36AE4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关于选举董事的议案</w:t>
            </w:r>
          </w:p>
        </w:tc>
        <w:tc>
          <w:tcPr>
            <w:tcW w:w="1417" w:type="dxa"/>
          </w:tcPr>
          <w:p w14:paraId="36F93759">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1276" w:type="dxa"/>
          </w:tcPr>
          <w:p w14:paraId="7057060D">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1276" w:type="dxa"/>
          </w:tcPr>
          <w:p w14:paraId="725FEBB0">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1184" w:type="dxa"/>
          </w:tcPr>
          <w:p w14:paraId="1E83979E">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r>
      <w:tr w14:paraId="405E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tcBorders>
              <w:top w:val="single" w:color="auto" w:sz="6" w:space="0"/>
              <w:left w:val="single" w:color="auto" w:sz="6" w:space="0"/>
              <w:bottom w:val="single" w:color="auto" w:sz="6" w:space="0"/>
              <w:right w:val="single" w:color="auto" w:sz="6" w:space="0"/>
            </w:tcBorders>
          </w:tcPr>
          <w:p w14:paraId="5049A78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4.01</w:t>
            </w:r>
          </w:p>
        </w:tc>
        <w:tc>
          <w:tcPr>
            <w:tcW w:w="2555" w:type="dxa"/>
            <w:tcBorders>
              <w:top w:val="single" w:color="auto" w:sz="6" w:space="0"/>
              <w:left w:val="single" w:color="auto" w:sz="6" w:space="0"/>
              <w:bottom w:val="single" w:color="auto" w:sz="6" w:space="0"/>
              <w:right w:val="single" w:color="auto" w:sz="6" w:space="0"/>
            </w:tcBorders>
          </w:tcPr>
          <w:p w14:paraId="114268D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例：陈××</w:t>
            </w:r>
          </w:p>
        </w:tc>
        <w:tc>
          <w:tcPr>
            <w:tcW w:w="1417" w:type="dxa"/>
            <w:tcBorders>
              <w:top w:val="single" w:color="auto" w:sz="6" w:space="0"/>
              <w:left w:val="single" w:color="auto" w:sz="6" w:space="0"/>
              <w:bottom w:val="single" w:color="auto" w:sz="6" w:space="0"/>
              <w:right w:val="single" w:color="auto" w:sz="6" w:space="0"/>
            </w:tcBorders>
          </w:tcPr>
          <w:p w14:paraId="256C529E">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500</w:t>
            </w:r>
          </w:p>
        </w:tc>
        <w:tc>
          <w:tcPr>
            <w:tcW w:w="1276" w:type="dxa"/>
            <w:tcBorders>
              <w:top w:val="single" w:color="auto" w:sz="6" w:space="0"/>
              <w:left w:val="single" w:color="auto" w:sz="6" w:space="0"/>
              <w:bottom w:val="single" w:color="auto" w:sz="6" w:space="0"/>
              <w:right w:val="single" w:color="auto" w:sz="6" w:space="0"/>
            </w:tcBorders>
          </w:tcPr>
          <w:p w14:paraId="0903B3A5">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5269B3E5">
            <w:pPr>
              <w:adjustRightInd w:val="0"/>
              <w:snapToGrid w:val="0"/>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c>
          <w:tcPr>
            <w:tcW w:w="1184" w:type="dxa"/>
            <w:tcBorders>
              <w:top w:val="single" w:color="auto" w:sz="6" w:space="0"/>
              <w:left w:val="single" w:color="auto" w:sz="6" w:space="0"/>
              <w:bottom w:val="single" w:color="auto" w:sz="6" w:space="0"/>
              <w:right w:val="single" w:color="auto" w:sz="6" w:space="0"/>
            </w:tcBorders>
          </w:tcPr>
          <w:p w14:paraId="61384205">
            <w:pPr>
              <w:adjustRightInd w:val="0"/>
              <w:snapToGrid w:val="0"/>
              <w:spacing w:line="560" w:lineRule="exact"/>
              <w:jc w:val="center"/>
              <w:rPr>
                <w:rFonts w:ascii="仿宋_GB2312" w:hAnsi="仿宋_GB2312" w:eastAsia="仿宋_GB2312" w:cs="仿宋_GB2312"/>
                <w:bCs/>
                <w:sz w:val="24"/>
                <w:szCs w:val="24"/>
              </w:rPr>
            </w:pPr>
          </w:p>
        </w:tc>
      </w:tr>
      <w:tr w14:paraId="32A9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3BAE3EE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4.02</w:t>
            </w:r>
          </w:p>
        </w:tc>
        <w:tc>
          <w:tcPr>
            <w:tcW w:w="2555" w:type="dxa"/>
            <w:tcBorders>
              <w:top w:val="single" w:color="auto" w:sz="6" w:space="0"/>
              <w:left w:val="single" w:color="auto" w:sz="6" w:space="0"/>
              <w:bottom w:val="single" w:color="auto" w:sz="6" w:space="0"/>
              <w:right w:val="single" w:color="auto" w:sz="6" w:space="0"/>
            </w:tcBorders>
          </w:tcPr>
          <w:p w14:paraId="63DBD349">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例：赵××</w:t>
            </w:r>
          </w:p>
        </w:tc>
        <w:tc>
          <w:tcPr>
            <w:tcW w:w="1417" w:type="dxa"/>
            <w:tcBorders>
              <w:top w:val="single" w:color="auto" w:sz="6" w:space="0"/>
              <w:left w:val="single" w:color="auto" w:sz="6" w:space="0"/>
              <w:bottom w:val="single" w:color="auto" w:sz="6" w:space="0"/>
              <w:right w:val="single" w:color="auto" w:sz="6" w:space="0"/>
            </w:tcBorders>
          </w:tcPr>
          <w:p w14:paraId="1EF8824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6541FA6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0C6A48D4">
            <w:pPr>
              <w:tabs>
                <w:tab w:val="left" w:pos="288"/>
                <w:tab w:val="center" w:pos="530"/>
              </w:tabs>
              <w:adjustRightInd w:val="0"/>
              <w:snapToGrid w:val="0"/>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6896AC53">
            <w:pPr>
              <w:adjustRightInd w:val="0"/>
              <w:snapToGrid w:val="0"/>
              <w:spacing w:line="560" w:lineRule="exact"/>
              <w:jc w:val="center"/>
              <w:rPr>
                <w:rFonts w:ascii="仿宋_GB2312" w:hAnsi="仿宋_GB2312" w:eastAsia="仿宋_GB2312" w:cs="仿宋_GB2312"/>
                <w:sz w:val="24"/>
                <w:szCs w:val="24"/>
              </w:rPr>
            </w:pPr>
          </w:p>
        </w:tc>
      </w:tr>
      <w:tr w14:paraId="0307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30193C2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w:t>
            </w:r>
          </w:p>
        </w:tc>
        <w:tc>
          <w:tcPr>
            <w:tcW w:w="2555" w:type="dxa"/>
            <w:tcBorders>
              <w:top w:val="single" w:color="auto" w:sz="6" w:space="0"/>
              <w:left w:val="single" w:color="auto" w:sz="6" w:space="0"/>
              <w:bottom w:val="single" w:color="auto" w:sz="6" w:space="0"/>
              <w:right w:val="single" w:color="auto" w:sz="6" w:space="0"/>
            </w:tcBorders>
          </w:tcPr>
          <w:p w14:paraId="65E872F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例：蒋××</w:t>
            </w:r>
          </w:p>
        </w:tc>
        <w:tc>
          <w:tcPr>
            <w:tcW w:w="1417" w:type="dxa"/>
            <w:tcBorders>
              <w:top w:val="single" w:color="auto" w:sz="6" w:space="0"/>
              <w:left w:val="single" w:color="auto" w:sz="6" w:space="0"/>
              <w:bottom w:val="single" w:color="auto" w:sz="6" w:space="0"/>
              <w:right w:val="single" w:color="auto" w:sz="6" w:space="0"/>
            </w:tcBorders>
          </w:tcPr>
          <w:p w14:paraId="325B238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2883F26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571FB1F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184" w:type="dxa"/>
            <w:tcBorders>
              <w:top w:val="single" w:color="auto" w:sz="6" w:space="0"/>
              <w:left w:val="single" w:color="auto" w:sz="6" w:space="0"/>
              <w:bottom w:val="single" w:color="auto" w:sz="6" w:space="0"/>
              <w:right w:val="single" w:color="auto" w:sz="6" w:space="0"/>
            </w:tcBorders>
          </w:tcPr>
          <w:p w14:paraId="584410EB">
            <w:pPr>
              <w:adjustRightInd w:val="0"/>
              <w:snapToGrid w:val="0"/>
              <w:spacing w:line="560" w:lineRule="exact"/>
              <w:jc w:val="center"/>
              <w:rPr>
                <w:rFonts w:ascii="仿宋_GB2312" w:hAnsi="仿宋_GB2312" w:eastAsia="仿宋_GB2312" w:cs="仿宋_GB2312"/>
                <w:sz w:val="24"/>
                <w:szCs w:val="24"/>
              </w:rPr>
            </w:pPr>
          </w:p>
        </w:tc>
      </w:tr>
      <w:tr w14:paraId="6B8C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3810F24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555" w:type="dxa"/>
            <w:tcBorders>
              <w:top w:val="single" w:color="auto" w:sz="6" w:space="0"/>
              <w:left w:val="single" w:color="auto" w:sz="6" w:space="0"/>
              <w:bottom w:val="single" w:color="auto" w:sz="6" w:space="0"/>
              <w:right w:val="single" w:color="auto" w:sz="6" w:space="0"/>
            </w:tcBorders>
          </w:tcPr>
          <w:p w14:paraId="1D4CEE6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417" w:type="dxa"/>
            <w:tcBorders>
              <w:top w:val="single" w:color="auto" w:sz="6" w:space="0"/>
              <w:left w:val="single" w:color="auto" w:sz="6" w:space="0"/>
              <w:bottom w:val="single" w:color="auto" w:sz="6" w:space="0"/>
              <w:right w:val="single" w:color="auto" w:sz="6" w:space="0"/>
            </w:tcBorders>
          </w:tcPr>
          <w:p w14:paraId="41C94AF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4CE8A54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78C2261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84" w:type="dxa"/>
            <w:tcBorders>
              <w:top w:val="single" w:color="auto" w:sz="6" w:space="0"/>
              <w:left w:val="single" w:color="auto" w:sz="6" w:space="0"/>
              <w:bottom w:val="single" w:color="auto" w:sz="6" w:space="0"/>
              <w:right w:val="single" w:color="auto" w:sz="6" w:space="0"/>
            </w:tcBorders>
          </w:tcPr>
          <w:p w14:paraId="32830D21">
            <w:pPr>
              <w:adjustRightInd w:val="0"/>
              <w:snapToGrid w:val="0"/>
              <w:spacing w:line="560" w:lineRule="exact"/>
              <w:jc w:val="center"/>
              <w:rPr>
                <w:rFonts w:ascii="仿宋_GB2312" w:hAnsi="仿宋_GB2312" w:eastAsia="仿宋_GB2312" w:cs="仿宋_GB2312"/>
                <w:sz w:val="24"/>
                <w:szCs w:val="24"/>
              </w:rPr>
            </w:pPr>
          </w:p>
        </w:tc>
      </w:tr>
      <w:tr w14:paraId="7106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tcBorders>
              <w:top w:val="single" w:color="auto" w:sz="6" w:space="0"/>
              <w:left w:val="single" w:color="auto" w:sz="6" w:space="0"/>
              <w:bottom w:val="single" w:color="auto" w:sz="6" w:space="0"/>
              <w:right w:val="single" w:color="auto" w:sz="6" w:space="0"/>
            </w:tcBorders>
          </w:tcPr>
          <w:p w14:paraId="172EBBB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4.06</w:t>
            </w:r>
          </w:p>
        </w:tc>
        <w:tc>
          <w:tcPr>
            <w:tcW w:w="2555" w:type="dxa"/>
            <w:tcBorders>
              <w:top w:val="single" w:color="auto" w:sz="6" w:space="0"/>
              <w:left w:val="single" w:color="auto" w:sz="6" w:space="0"/>
              <w:bottom w:val="single" w:color="auto" w:sz="6" w:space="0"/>
              <w:right w:val="single" w:color="auto" w:sz="6" w:space="0"/>
            </w:tcBorders>
          </w:tcPr>
          <w:p w14:paraId="0AC7A1FB">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例：宋×× </w:t>
            </w:r>
          </w:p>
        </w:tc>
        <w:tc>
          <w:tcPr>
            <w:tcW w:w="1417" w:type="dxa"/>
            <w:tcBorders>
              <w:top w:val="single" w:color="auto" w:sz="6" w:space="0"/>
              <w:left w:val="single" w:color="auto" w:sz="6" w:space="0"/>
              <w:bottom w:val="single" w:color="auto" w:sz="6" w:space="0"/>
              <w:right w:val="single" w:color="auto" w:sz="6" w:space="0"/>
            </w:tcBorders>
          </w:tcPr>
          <w:p w14:paraId="7CB7079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64481BC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3D790E6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3359F585">
            <w:pPr>
              <w:adjustRightInd w:val="0"/>
              <w:snapToGrid w:val="0"/>
              <w:spacing w:line="560" w:lineRule="exact"/>
              <w:jc w:val="center"/>
              <w:rPr>
                <w:rFonts w:ascii="仿宋_GB2312" w:hAnsi="仿宋_GB2312" w:eastAsia="仿宋_GB2312" w:cs="仿宋_GB2312"/>
                <w:sz w:val="24"/>
                <w:szCs w:val="24"/>
              </w:rPr>
            </w:pPr>
          </w:p>
        </w:tc>
      </w:tr>
    </w:tbl>
    <w:p w14:paraId="30A8058A">
      <w:pPr>
        <w:widowControl/>
        <w:adjustRightInd w:val="0"/>
        <w:snapToGrid w:val="0"/>
        <w:spacing w:line="560" w:lineRule="exact"/>
        <w:ind w:firstLine="600" w:firstLineChars="200"/>
        <w:jc w:val="left"/>
        <w:rPr>
          <w:rFonts w:ascii="仿宋" w:hAnsi="仿宋" w:eastAsia="仿宋_GB2312" w:cs="宋体"/>
          <w:kern w:val="0"/>
          <w:sz w:val="30"/>
          <w:szCs w:val="30"/>
        </w:rPr>
      </w:pPr>
      <w:bookmarkStart w:id="12" w:name="_Toc330904161"/>
      <w:bookmarkEnd w:id="12"/>
      <w:bookmarkStart w:id="13" w:name="_Toc360193976"/>
      <w:bookmarkEnd w:id="13"/>
    </w:p>
    <w:p w14:paraId="3C6D4C4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2DE2E6DB">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EFB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337D1"/>
    <w:multiLevelType w:val="multilevel"/>
    <w:tmpl w:val="751337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78A9"/>
    <w:rsid w:val="000219CA"/>
    <w:rsid w:val="00027EA4"/>
    <w:rsid w:val="00034835"/>
    <w:rsid w:val="00093766"/>
    <w:rsid w:val="000C67B0"/>
    <w:rsid w:val="000D0338"/>
    <w:rsid w:val="000F3B90"/>
    <w:rsid w:val="00103282"/>
    <w:rsid w:val="0015284D"/>
    <w:rsid w:val="001600A1"/>
    <w:rsid w:val="001B77BC"/>
    <w:rsid w:val="001C15CF"/>
    <w:rsid w:val="001E17C0"/>
    <w:rsid w:val="001E6240"/>
    <w:rsid w:val="001F0B8C"/>
    <w:rsid w:val="002240E4"/>
    <w:rsid w:val="00234295"/>
    <w:rsid w:val="002C721C"/>
    <w:rsid w:val="00315C7F"/>
    <w:rsid w:val="003316D3"/>
    <w:rsid w:val="003A786D"/>
    <w:rsid w:val="003D0C47"/>
    <w:rsid w:val="00405786"/>
    <w:rsid w:val="004823F7"/>
    <w:rsid w:val="004C51A0"/>
    <w:rsid w:val="004E2A53"/>
    <w:rsid w:val="00507BE8"/>
    <w:rsid w:val="00525048"/>
    <w:rsid w:val="00557B02"/>
    <w:rsid w:val="00560762"/>
    <w:rsid w:val="00563231"/>
    <w:rsid w:val="00597762"/>
    <w:rsid w:val="005A585E"/>
    <w:rsid w:val="005C6D13"/>
    <w:rsid w:val="006359BA"/>
    <w:rsid w:val="00681864"/>
    <w:rsid w:val="006A467A"/>
    <w:rsid w:val="006B19E9"/>
    <w:rsid w:val="006E639C"/>
    <w:rsid w:val="00701A7D"/>
    <w:rsid w:val="0074065B"/>
    <w:rsid w:val="00742F05"/>
    <w:rsid w:val="00792E22"/>
    <w:rsid w:val="007A47EB"/>
    <w:rsid w:val="007C07D5"/>
    <w:rsid w:val="007C4F04"/>
    <w:rsid w:val="00820F54"/>
    <w:rsid w:val="008561ED"/>
    <w:rsid w:val="0086418E"/>
    <w:rsid w:val="008E06A4"/>
    <w:rsid w:val="008E15F0"/>
    <w:rsid w:val="009049EE"/>
    <w:rsid w:val="00910E37"/>
    <w:rsid w:val="009604AC"/>
    <w:rsid w:val="00967CC1"/>
    <w:rsid w:val="009D76A1"/>
    <w:rsid w:val="00A440A2"/>
    <w:rsid w:val="00A52B34"/>
    <w:rsid w:val="00A93CD2"/>
    <w:rsid w:val="00B04525"/>
    <w:rsid w:val="00B207AC"/>
    <w:rsid w:val="00B233DA"/>
    <w:rsid w:val="00B34D47"/>
    <w:rsid w:val="00B37E36"/>
    <w:rsid w:val="00C23984"/>
    <w:rsid w:val="00C253C5"/>
    <w:rsid w:val="00C41EA0"/>
    <w:rsid w:val="00C44DCB"/>
    <w:rsid w:val="00CA0037"/>
    <w:rsid w:val="00CA76B4"/>
    <w:rsid w:val="00CF1F77"/>
    <w:rsid w:val="00CF46B2"/>
    <w:rsid w:val="00DB16E5"/>
    <w:rsid w:val="00DB3C0B"/>
    <w:rsid w:val="00DB5E11"/>
    <w:rsid w:val="00DF5FE5"/>
    <w:rsid w:val="00E34420"/>
    <w:rsid w:val="00E84508"/>
    <w:rsid w:val="00E90F09"/>
    <w:rsid w:val="00E949BD"/>
    <w:rsid w:val="00EA79DB"/>
    <w:rsid w:val="00EB2F2D"/>
    <w:rsid w:val="00EB4B85"/>
    <w:rsid w:val="00F25B6A"/>
    <w:rsid w:val="00F42CEF"/>
    <w:rsid w:val="00F52959"/>
    <w:rsid w:val="00F60D7C"/>
    <w:rsid w:val="00FC6A98"/>
    <w:rsid w:val="14F95DB7"/>
    <w:rsid w:val="163B7BF3"/>
    <w:rsid w:val="3E6F4D7B"/>
    <w:rsid w:val="418B78A9"/>
    <w:rsid w:val="5B6E123F"/>
    <w:rsid w:val="747056EF"/>
    <w:rsid w:val="77463FBB"/>
    <w:rsid w:val="7C45717F"/>
    <w:rsid w:val="7D2B2706"/>
    <w:rsid w:val="D6DD6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框文本 字符"/>
    <w:basedOn w:val="9"/>
    <w:link w:val="3"/>
    <w:qFormat/>
    <w:uiPriority w:val="0"/>
    <w:rPr>
      <w:kern w:val="2"/>
      <w:sz w:val="18"/>
      <w:szCs w:val="18"/>
    </w:rPr>
  </w:style>
  <w:style w:type="character" w:customStyle="1" w:styleId="15">
    <w:name w:val="批注文字 字符"/>
    <w:basedOn w:val="9"/>
    <w:link w:val="2"/>
    <w:qFormat/>
    <w:uiPriority w:val="0"/>
    <w:rPr>
      <w:kern w:val="2"/>
      <w:sz w:val="21"/>
      <w:szCs w:val="22"/>
    </w:rPr>
  </w:style>
  <w:style w:type="character" w:customStyle="1" w:styleId="16">
    <w:name w:val="批注主题 字符"/>
    <w:basedOn w:val="15"/>
    <w:link w:val="7"/>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818</Words>
  <Characters>4668</Characters>
  <Lines>38</Lines>
  <Paragraphs>10</Paragraphs>
  <TotalTime>3</TotalTime>
  <ScaleCrop>false</ScaleCrop>
  <LinksUpToDate>false</LinksUpToDate>
  <CharactersWithSpaces>5476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2025-02-10T23:49:00Z</dcterms:created>
  <dc:creator>邢梅</dc:creator>
  <cp:lastModifiedBy>wentinglou</cp:lastModifiedBy>
  <cp:lastPrinted>2020-12-10T01:33:00Z</cp:lastPrinted>
  <dcterms:modified xsi:type="dcterms:W3CDTF">2025-08-25T16:10:44Z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7D82E6F78FF94BB3A484B8FF4A76951C_13</vt:lpwstr>
  </property>
</Properties>
</file>