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766671">
      <w:pPr>
        <w:autoSpaceDE w:val="0"/>
        <w:autoSpaceDN w:val="0"/>
        <w:adjustRightInd w:val="0"/>
        <w:spacing w:line="560" w:lineRule="exact"/>
        <w:jc w:val="center"/>
        <w:rPr>
          <w:rFonts w:ascii="黑体" w:hAnsi="黑体" w:eastAsia="黑体"/>
          <w:b/>
          <w:bCs/>
          <w:sz w:val="36"/>
          <w:szCs w:val="36"/>
        </w:rPr>
      </w:pPr>
      <w:bookmarkStart w:id="2" w:name="_GoBack"/>
      <w:bookmarkEnd w:id="2"/>
      <w:bookmarkStart w:id="0" w:name="_Toc50034110"/>
      <w:bookmarkStart w:id="1" w:name="_Toc356840104"/>
      <w:r>
        <w:rPr>
          <w:rFonts w:hint="eastAsia" w:ascii="黑体" w:hAnsi="黑体" w:eastAsia="黑体"/>
          <w:b/>
          <w:bCs/>
          <w:sz w:val="36"/>
          <w:szCs w:val="36"/>
        </w:rPr>
        <w:t>第四十五号</w:t>
      </w:r>
      <w:r>
        <w:rPr>
          <w:rFonts w:ascii="黑体" w:hAnsi="黑体" w:eastAsia="黑体"/>
          <w:b/>
          <w:bCs/>
          <w:sz w:val="36"/>
          <w:szCs w:val="36"/>
        </w:rPr>
        <w:t xml:space="preserve"> </w:t>
      </w:r>
      <w:r>
        <w:rPr>
          <w:rFonts w:hint="eastAsia" w:ascii="黑体" w:hAnsi="黑体" w:eastAsia="黑体"/>
          <w:b/>
          <w:bCs/>
          <w:sz w:val="36"/>
          <w:szCs w:val="36"/>
        </w:rPr>
        <w:t>上市公司股东公开征集股份受让方公告</w:t>
      </w:r>
      <w:bookmarkEnd w:id="0"/>
      <w:bookmarkEnd w:id="1"/>
    </w:p>
    <w:p w14:paraId="5A854267">
      <w:pPr>
        <w:autoSpaceDE w:val="0"/>
        <w:autoSpaceDN w:val="0"/>
        <w:adjustRightInd w:val="0"/>
        <w:spacing w:line="560" w:lineRule="exact"/>
        <w:jc w:val="center"/>
        <w:rPr>
          <w:rFonts w:ascii="宋体" w:hAnsi="宋体" w:cs="楷体_GB2312-WinCharSetFFFF-H"/>
          <w:color w:val="000000"/>
          <w:kern w:val="0"/>
          <w:sz w:val="32"/>
          <w:szCs w:val="32"/>
        </w:rPr>
      </w:pPr>
    </w:p>
    <w:p w14:paraId="39353276">
      <w:pPr>
        <w:autoSpaceDE w:val="0"/>
        <w:autoSpaceDN w:val="0"/>
        <w:adjustRightInd w:val="0"/>
        <w:snapToGrid w:val="0"/>
        <w:spacing w:line="560" w:lineRule="exact"/>
        <w:rPr>
          <w:rFonts w:ascii="仿宋_GB2312" w:hAnsi="宋体" w:eastAsia="仿宋_GB2312"/>
          <w:b/>
          <w:sz w:val="30"/>
          <w:szCs w:val="30"/>
        </w:rPr>
      </w:pPr>
      <w:r>
        <w:rPr>
          <w:rFonts w:hint="eastAsia" w:ascii="仿宋_GB2312" w:hAnsi="宋体" w:eastAsia="仿宋_GB2312"/>
          <w:b/>
          <w:sz w:val="30"/>
          <w:szCs w:val="30"/>
        </w:rPr>
        <w:t>适用情形：</w:t>
      </w:r>
    </w:p>
    <w:p w14:paraId="5406D887">
      <w:pPr>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1.本公告格式适用于持有上市公司</w:t>
      </w:r>
      <w:r>
        <w:rPr>
          <w:rFonts w:ascii="仿宋_GB2312" w:eastAsia="仿宋_GB2312"/>
          <w:color w:val="000000"/>
          <w:sz w:val="30"/>
          <w:szCs w:val="30"/>
        </w:rPr>
        <w:t>5</w:t>
      </w:r>
      <w:r>
        <w:rPr>
          <w:rFonts w:hint="eastAsia" w:ascii="仿宋_GB2312" w:eastAsia="仿宋_GB2312"/>
          <w:color w:val="000000"/>
          <w:sz w:val="30"/>
          <w:szCs w:val="30"/>
        </w:rPr>
        <w:t>％以上股份的股东，拟通过协议转让方式公开征集股份受让方事项的信息披露。</w:t>
      </w:r>
    </w:p>
    <w:p w14:paraId="6B8EC4A3">
      <w:pPr>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2.上市公司股份被公开拍卖不适用本公告格式。</w:t>
      </w:r>
    </w:p>
    <w:p w14:paraId="3C5FD5A3">
      <w:pPr>
        <w:spacing w:line="560" w:lineRule="exact"/>
        <w:rPr>
          <w:rFonts w:ascii="仿宋_GB2312" w:hAnsi="宋体" w:eastAsia="仿宋_GB2312" w:cs="宋体"/>
          <w:sz w:val="30"/>
          <w:szCs w:val="30"/>
        </w:rPr>
      </w:pPr>
    </w:p>
    <w:p w14:paraId="6214A2EC">
      <w:pPr>
        <w:adjustRightInd w:val="0"/>
        <w:snapToGrid w:val="0"/>
        <w:spacing w:line="560" w:lineRule="exact"/>
        <w:rPr>
          <w:rFonts w:ascii="仿宋_GB2312" w:hAnsi="宋体" w:eastAsia="仿宋_GB2312"/>
          <w:sz w:val="30"/>
          <w:szCs w:val="30"/>
        </w:rPr>
      </w:pPr>
      <w:r>
        <w:rPr>
          <w:rFonts w:hint="eastAsia" w:ascii="仿宋_GB2312" w:hAnsi="宋体" w:eastAsia="仿宋_GB2312"/>
          <w:sz w:val="30"/>
          <w:szCs w:val="30"/>
        </w:rPr>
        <w:t>证券代码：             证券简称：            公告编号：</w:t>
      </w:r>
    </w:p>
    <w:p w14:paraId="111F56B6">
      <w:pPr>
        <w:adjustRightInd w:val="0"/>
        <w:snapToGrid w:val="0"/>
        <w:spacing w:line="560" w:lineRule="exact"/>
        <w:jc w:val="center"/>
        <w:rPr>
          <w:rFonts w:ascii="仿宋_GB2312" w:hAnsi="宋体" w:eastAsia="仿宋_GB2312"/>
          <w:color w:val="000000"/>
          <w:sz w:val="30"/>
          <w:szCs w:val="30"/>
        </w:rPr>
      </w:pPr>
    </w:p>
    <w:p w14:paraId="17618A5C">
      <w:pPr>
        <w:snapToGrid w:val="0"/>
        <w:spacing w:line="560" w:lineRule="exact"/>
        <w:jc w:val="center"/>
        <w:rPr>
          <w:rFonts w:ascii="仿宋_GB2312" w:hAnsi="宋体" w:eastAsia="仿宋_GB2312" w:cs="黑体-WinCharSetFFFF-H"/>
          <w:kern w:val="0"/>
          <w:sz w:val="30"/>
          <w:szCs w:val="30"/>
        </w:rPr>
      </w:pPr>
      <w:r>
        <w:rPr>
          <w:rFonts w:hint="eastAsia" w:ascii="仿宋_GB2312" w:hAnsi="宋体" w:eastAsia="仿宋_GB2312"/>
          <w:color w:val="000000"/>
          <w:sz w:val="30"/>
          <w:szCs w:val="30"/>
        </w:rPr>
        <w:t>X</w:t>
      </w:r>
      <w:r>
        <w:rPr>
          <w:rFonts w:ascii="仿宋_GB2312" w:hAnsi="宋体" w:eastAsia="仿宋_GB2312"/>
          <w:color w:val="000000"/>
          <w:sz w:val="30"/>
          <w:szCs w:val="30"/>
        </w:rPr>
        <w:t>XXX</w:t>
      </w:r>
      <w:r>
        <w:rPr>
          <w:rFonts w:hint="eastAsia" w:ascii="仿宋_GB2312" w:hAnsi="宋体" w:eastAsia="仿宋_GB2312"/>
          <w:color w:val="000000"/>
          <w:sz w:val="30"/>
          <w:szCs w:val="30"/>
        </w:rPr>
        <w:t>股份有限公司</w:t>
      </w:r>
      <w:r>
        <w:rPr>
          <w:rFonts w:hint="eastAsia" w:ascii="仿宋_GB2312" w:hAnsi="宋体" w:eastAsia="仿宋_GB2312" w:cs="黑体-WinCharSetFFFF-H"/>
          <w:kern w:val="0"/>
          <w:sz w:val="30"/>
          <w:szCs w:val="30"/>
        </w:rPr>
        <w:t>股东公开征集股份受让方公告</w:t>
      </w:r>
    </w:p>
    <w:p w14:paraId="1FC0716B">
      <w:pPr>
        <w:snapToGrid w:val="0"/>
        <w:spacing w:line="560" w:lineRule="exact"/>
        <w:jc w:val="center"/>
        <w:rPr>
          <w:rFonts w:ascii="仿宋_GB2312" w:hAnsi="宋体" w:eastAsia="仿宋_GB2312"/>
          <w:color w:val="000000"/>
          <w:sz w:val="30"/>
          <w:szCs w:val="30"/>
        </w:rPr>
      </w:pPr>
    </w:p>
    <w:p w14:paraId="5489A595">
      <w:pPr>
        <w:pBdr>
          <w:top w:val="single" w:color="auto" w:sz="4" w:space="1"/>
          <w:left w:val="single" w:color="auto" w:sz="4" w:space="4"/>
          <w:bottom w:val="single" w:color="auto" w:sz="4" w:space="2"/>
          <w:right w:val="single" w:color="auto" w:sz="4" w:space="4"/>
        </w:pBdr>
        <w:adjustRightInd w:val="0"/>
        <w:spacing w:line="560" w:lineRule="exact"/>
        <w:rPr>
          <w:rFonts w:ascii="仿宋_GB2312" w:hAnsi="宋体" w:eastAsia="仿宋_GB2312"/>
          <w:color w:val="000000"/>
          <w:sz w:val="30"/>
          <w:szCs w:val="30"/>
        </w:rPr>
      </w:pPr>
      <w:r>
        <w:rPr>
          <w:rFonts w:hint="eastAsia" w:ascii="仿宋_GB2312" w:hAnsi="宋体" w:eastAsia="仿宋_GB2312"/>
          <w:color w:val="000000"/>
          <w:sz w:val="30"/>
          <w:szCs w:val="30"/>
        </w:rPr>
        <w:t xml:space="preserve">    本公司董事会及全体董事保证本公告内容不存在任何虚假记载、误导性陈述或者重大遗漏，并对其内容的真实性、准确性和完整性依法承担法律责任。</w:t>
      </w:r>
    </w:p>
    <w:p w14:paraId="38F70565">
      <w:pPr>
        <w:pBdr>
          <w:top w:val="single" w:color="auto" w:sz="4" w:space="1"/>
          <w:left w:val="single" w:color="auto" w:sz="4" w:space="4"/>
          <w:bottom w:val="single" w:color="auto" w:sz="4" w:space="2"/>
          <w:right w:val="single" w:color="auto" w:sz="4" w:space="4"/>
        </w:pBdr>
        <w:adjustRightInd w:val="0"/>
        <w:spacing w:line="560" w:lineRule="exact"/>
        <w:rPr>
          <w:rFonts w:ascii="仿宋_GB2312" w:hAnsi="宋体" w:eastAsia="仿宋_GB2312"/>
          <w:color w:val="000000"/>
          <w:sz w:val="30"/>
          <w:szCs w:val="30"/>
        </w:rPr>
      </w:pPr>
      <w:r>
        <w:rPr>
          <w:rFonts w:hint="eastAsia" w:ascii="仿宋_GB2312" w:hAnsi="宋体" w:eastAsia="仿宋_GB2312"/>
          <w:color w:val="000000"/>
          <w:sz w:val="30"/>
          <w:szCs w:val="30"/>
        </w:rPr>
        <w:t xml:space="preserve">    如有董事对临时公告内容的真实性、准确性和完整性无法保证或存在异议的，公司应当在公告中作特别提示。</w:t>
      </w:r>
    </w:p>
    <w:p w14:paraId="47B0BA47">
      <w:pPr>
        <w:adjustRightInd w:val="0"/>
        <w:snapToGrid w:val="0"/>
        <w:spacing w:line="560" w:lineRule="exact"/>
        <w:rPr>
          <w:rFonts w:ascii="仿宋_GB2312" w:hAnsi="宋体" w:eastAsia="仿宋_GB2312"/>
          <w:sz w:val="30"/>
          <w:szCs w:val="30"/>
        </w:rPr>
      </w:pPr>
    </w:p>
    <w:p w14:paraId="7272DCCE">
      <w:pPr>
        <w:adjustRightInd w:val="0"/>
        <w:snapToGrid w:val="0"/>
        <w:spacing w:line="56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重要内容提示：</w:t>
      </w:r>
    </w:p>
    <w:p w14:paraId="341AE7E2">
      <w:pPr>
        <w:numPr>
          <w:ilvl w:val="0"/>
          <w:numId w:val="1"/>
        </w:numPr>
        <w:adjustRightInd w:val="0"/>
        <w:snapToGrid w:val="0"/>
        <w:spacing w:line="560" w:lineRule="exact"/>
        <w:rPr>
          <w:rFonts w:ascii="仿宋_GB2312" w:eastAsia="仿宋_GB2312"/>
          <w:color w:val="000000"/>
          <w:sz w:val="30"/>
          <w:szCs w:val="30"/>
        </w:rPr>
      </w:pPr>
      <w:r>
        <w:rPr>
          <w:rFonts w:hint="eastAsia" w:ascii="仿宋_GB2312" w:eastAsia="仿宋_GB2312"/>
          <w:color w:val="000000"/>
          <w:sz w:val="30"/>
          <w:szCs w:val="30"/>
        </w:rPr>
        <w:t>拟转让股份的基本情况</w:t>
      </w:r>
    </w:p>
    <w:p w14:paraId="6F721CB4">
      <w:pPr>
        <w:numPr>
          <w:ilvl w:val="0"/>
          <w:numId w:val="1"/>
        </w:numPr>
        <w:adjustRightInd w:val="0"/>
        <w:snapToGrid w:val="0"/>
        <w:spacing w:line="560" w:lineRule="exact"/>
        <w:rPr>
          <w:rFonts w:ascii="仿宋_GB2312" w:eastAsia="仿宋_GB2312"/>
          <w:color w:val="000000"/>
          <w:sz w:val="30"/>
          <w:szCs w:val="30"/>
        </w:rPr>
      </w:pPr>
      <w:r>
        <w:rPr>
          <w:rFonts w:hint="eastAsia" w:ascii="仿宋_GB2312" w:eastAsia="仿宋_GB2312"/>
          <w:color w:val="000000"/>
          <w:sz w:val="30"/>
          <w:szCs w:val="30"/>
        </w:rPr>
        <w:t>本次公开征集是否会导致上市公司控股股东变更</w:t>
      </w:r>
    </w:p>
    <w:p w14:paraId="2F4D7F72">
      <w:pPr>
        <w:numPr>
          <w:ilvl w:val="0"/>
          <w:numId w:val="1"/>
        </w:numPr>
        <w:adjustRightInd w:val="0"/>
        <w:snapToGrid w:val="0"/>
        <w:spacing w:line="560" w:lineRule="exact"/>
        <w:rPr>
          <w:rFonts w:ascii="仿宋_GB2312" w:eastAsia="仿宋_GB2312"/>
          <w:color w:val="000000"/>
          <w:sz w:val="30"/>
          <w:szCs w:val="30"/>
        </w:rPr>
      </w:pPr>
      <w:r>
        <w:rPr>
          <w:rFonts w:hint="eastAsia" w:ascii="仿宋_GB2312" w:eastAsia="仿宋_GB2312" w:hAnsiTheme="minorEastAsia"/>
          <w:color w:val="000000" w:themeColor="text1"/>
          <w:kern w:val="0"/>
          <w:sz w:val="30"/>
          <w:szCs w:val="30"/>
          <w14:textFill>
            <w14:solidFill>
              <w14:schemeClr w14:val="tx1"/>
            </w14:solidFill>
          </w14:textFill>
        </w:rPr>
        <w:t>本次公开征集的</w:t>
      </w:r>
      <w:r>
        <w:rPr>
          <w:rFonts w:hint="eastAsia" w:ascii="仿宋_GB2312" w:eastAsia="仿宋_GB2312"/>
          <w:color w:val="000000"/>
          <w:sz w:val="30"/>
          <w:szCs w:val="30"/>
        </w:rPr>
        <w:t>相关风险提示</w:t>
      </w:r>
    </w:p>
    <w:p w14:paraId="76446AD7">
      <w:pPr>
        <w:adjustRightInd w:val="0"/>
        <w:snapToGrid w:val="0"/>
        <w:spacing w:line="560" w:lineRule="exact"/>
        <w:rPr>
          <w:rFonts w:ascii="仿宋_GB2312" w:hAnsi="宋体" w:eastAsia="仿宋_GB2312"/>
          <w:sz w:val="30"/>
          <w:szCs w:val="30"/>
        </w:rPr>
      </w:pPr>
    </w:p>
    <w:p w14:paraId="036BF95F">
      <w:pPr>
        <w:autoSpaceDE w:val="0"/>
        <w:autoSpaceDN w:val="0"/>
        <w:adjustRightInd w:val="0"/>
        <w:spacing w:line="560" w:lineRule="exact"/>
        <w:ind w:firstLine="600" w:firstLineChars="200"/>
        <w:jc w:val="left"/>
        <w:rPr>
          <w:rFonts w:ascii="仿宋_GB2312" w:hAnsi="宋体" w:eastAsia="仿宋_GB2312"/>
          <w:sz w:val="30"/>
          <w:szCs w:val="30"/>
        </w:rPr>
      </w:pPr>
      <w:r>
        <w:rPr>
          <w:rFonts w:hint="eastAsia" w:ascii="仿宋_GB2312" w:hAnsi="宋体" w:eastAsia="仿宋_GB2312"/>
          <w:sz w:val="30"/>
          <w:szCs w:val="30"/>
        </w:rPr>
        <w:t>XXXX年XX月XX日，本公司收到XX股东的通知，XX股东拟采取协议转让方式转让所持本公司的全部股份或部分股份共XX股（如有相关主管部门的批复，也应当在公告中披露），现将</w:t>
      </w:r>
      <w:r>
        <w:rPr>
          <w:rFonts w:ascii="仿宋_GB2312" w:hAnsi="宋体" w:eastAsia="仿宋_GB2312"/>
          <w:sz w:val="30"/>
          <w:szCs w:val="30"/>
        </w:rPr>
        <w:t>xx</w:t>
      </w:r>
      <w:r>
        <w:rPr>
          <w:rFonts w:hint="eastAsia" w:ascii="仿宋_GB2312" w:hAnsi="宋体" w:eastAsia="仿宋_GB2312"/>
          <w:sz w:val="30"/>
          <w:szCs w:val="30"/>
        </w:rPr>
        <w:t>股东本次拟协议转让本公司股份的具体情况和要求公告如下：</w:t>
      </w:r>
    </w:p>
    <w:p w14:paraId="70C2E0CC">
      <w:pPr>
        <w:autoSpaceDE w:val="0"/>
        <w:autoSpaceDN w:val="0"/>
        <w:adjustRightInd w:val="0"/>
        <w:spacing w:line="560" w:lineRule="exact"/>
        <w:ind w:firstLine="600" w:firstLineChars="200"/>
        <w:jc w:val="left"/>
        <w:rPr>
          <w:rFonts w:ascii="仿宋_GB2312" w:hAnsi="宋体" w:eastAsia="仿宋_GB2312"/>
          <w:sz w:val="30"/>
          <w:szCs w:val="30"/>
        </w:rPr>
      </w:pPr>
    </w:p>
    <w:p w14:paraId="6BDCDF54">
      <w:pPr>
        <w:autoSpaceDE w:val="0"/>
        <w:autoSpaceDN w:val="0"/>
        <w:adjustRightInd w:val="0"/>
        <w:snapToGrid w:val="0"/>
        <w:spacing w:line="560" w:lineRule="exact"/>
        <w:ind w:firstLine="602" w:firstLineChars="200"/>
        <w:rPr>
          <w:rFonts w:ascii="黑体" w:hAnsi="黑体" w:eastAsia="黑体"/>
          <w:b/>
          <w:sz w:val="30"/>
          <w:szCs w:val="30"/>
        </w:rPr>
      </w:pPr>
      <w:r>
        <w:rPr>
          <w:rFonts w:hint="eastAsia" w:ascii="黑体" w:hAnsi="黑体" w:eastAsia="黑体"/>
          <w:b/>
          <w:sz w:val="30"/>
          <w:szCs w:val="30"/>
        </w:rPr>
        <w:t>一、拟转让股份的基本情况</w:t>
      </w:r>
    </w:p>
    <w:p w14:paraId="2852BDA0">
      <w:pPr>
        <w:autoSpaceDE w:val="0"/>
        <w:autoSpaceDN w:val="0"/>
        <w:adjustRightInd w:val="0"/>
        <w:snapToGrid w:val="0"/>
        <w:spacing w:line="560" w:lineRule="exact"/>
        <w:ind w:firstLine="600" w:firstLineChars="200"/>
        <w:rPr>
          <w:rFonts w:ascii="仿宋_GB2312" w:hAnsi="宋体" w:eastAsia="仿宋_GB2312"/>
          <w:color w:val="000000"/>
          <w:kern w:val="0"/>
          <w:sz w:val="30"/>
          <w:szCs w:val="30"/>
        </w:rPr>
      </w:pPr>
      <w:r>
        <w:rPr>
          <w:rFonts w:hint="eastAsia" w:ascii="仿宋_GB2312" w:hAnsi="宋体" w:eastAsia="仿宋_GB2312"/>
          <w:color w:val="000000"/>
          <w:kern w:val="0"/>
          <w:sz w:val="30"/>
          <w:szCs w:val="30"/>
        </w:rPr>
        <w:t>（一）转让背景。</w:t>
      </w:r>
    </w:p>
    <w:p w14:paraId="00F0DAEB">
      <w:pPr>
        <w:autoSpaceDE w:val="0"/>
        <w:autoSpaceDN w:val="0"/>
        <w:adjustRightInd w:val="0"/>
        <w:snapToGrid w:val="0"/>
        <w:spacing w:line="560" w:lineRule="exact"/>
        <w:ind w:firstLine="600" w:firstLineChars="200"/>
        <w:rPr>
          <w:rFonts w:ascii="仿宋_GB2312" w:hAnsi="宋体" w:eastAsia="仿宋_GB2312"/>
          <w:color w:val="000000"/>
          <w:kern w:val="0"/>
          <w:sz w:val="30"/>
          <w:szCs w:val="30"/>
        </w:rPr>
      </w:pPr>
      <w:r>
        <w:rPr>
          <w:rFonts w:hint="eastAsia" w:ascii="仿宋_GB2312" w:hAnsi="宋体" w:eastAsia="仿宋_GB2312"/>
          <w:color w:val="000000"/>
          <w:kern w:val="0"/>
          <w:sz w:val="30"/>
          <w:szCs w:val="30"/>
        </w:rPr>
        <w:t>（二）上市公司股权结构及转让方最近持有上市公司的股份数量及比例。</w:t>
      </w:r>
    </w:p>
    <w:p w14:paraId="1E934877">
      <w:pPr>
        <w:autoSpaceDE w:val="0"/>
        <w:autoSpaceDN w:val="0"/>
        <w:adjustRightInd w:val="0"/>
        <w:snapToGrid w:val="0"/>
        <w:spacing w:line="560" w:lineRule="exact"/>
        <w:ind w:firstLine="600" w:firstLineChars="200"/>
        <w:rPr>
          <w:rFonts w:ascii="仿宋_GB2312" w:hAnsi="宋体" w:eastAsia="仿宋_GB2312"/>
          <w:color w:val="000000"/>
          <w:kern w:val="0"/>
          <w:sz w:val="30"/>
          <w:szCs w:val="30"/>
        </w:rPr>
      </w:pPr>
      <w:r>
        <w:rPr>
          <w:rFonts w:hint="eastAsia" w:ascii="仿宋_GB2312" w:hAnsi="宋体" w:eastAsia="仿宋_GB2312"/>
          <w:color w:val="000000"/>
          <w:kern w:val="0"/>
          <w:sz w:val="30"/>
          <w:szCs w:val="30"/>
        </w:rPr>
        <w:t>（三）本次转让方拟转让的股份数量、比例及性质。</w:t>
      </w:r>
    </w:p>
    <w:p w14:paraId="2FFAEDEE">
      <w:pPr>
        <w:autoSpaceDE w:val="0"/>
        <w:autoSpaceDN w:val="0"/>
        <w:adjustRightInd w:val="0"/>
        <w:snapToGrid w:val="0"/>
        <w:spacing w:line="560" w:lineRule="exact"/>
        <w:ind w:firstLine="600" w:firstLineChars="200"/>
        <w:rPr>
          <w:rFonts w:ascii="仿宋_GB2312" w:hAnsi="宋体" w:eastAsia="仿宋_GB2312"/>
          <w:color w:val="000000"/>
          <w:kern w:val="0"/>
          <w:sz w:val="30"/>
          <w:szCs w:val="30"/>
        </w:rPr>
      </w:pPr>
      <w:r>
        <w:rPr>
          <w:rFonts w:hint="eastAsia" w:ascii="仿宋_GB2312" w:hAnsi="宋体" w:eastAsia="仿宋_GB2312"/>
          <w:color w:val="000000"/>
          <w:kern w:val="0"/>
          <w:sz w:val="30"/>
          <w:szCs w:val="30"/>
        </w:rPr>
        <w:t>（四）股份转让价格。</w:t>
      </w:r>
    </w:p>
    <w:p w14:paraId="37561465">
      <w:pPr>
        <w:autoSpaceDE w:val="0"/>
        <w:autoSpaceDN w:val="0"/>
        <w:adjustRightInd w:val="0"/>
        <w:snapToGrid w:val="0"/>
        <w:spacing w:line="560" w:lineRule="exact"/>
        <w:ind w:firstLine="600" w:firstLineChars="200"/>
        <w:rPr>
          <w:rFonts w:ascii="仿宋_GB2312" w:hAnsi="宋体" w:eastAsia="仿宋_GB2312"/>
          <w:color w:val="000000"/>
          <w:kern w:val="0"/>
          <w:sz w:val="30"/>
          <w:szCs w:val="30"/>
        </w:rPr>
      </w:pPr>
      <w:r>
        <w:rPr>
          <w:rFonts w:hint="eastAsia" w:ascii="仿宋_GB2312" w:hAnsi="宋体" w:eastAsia="仿宋_GB2312"/>
          <w:color w:val="000000"/>
          <w:kern w:val="0"/>
          <w:sz w:val="30"/>
          <w:szCs w:val="30"/>
        </w:rPr>
        <w:t>公告应当明确若发生派息、送股、转增股本、配股等除权、除息事项，则转让股份的价格和数量的调整方式。</w:t>
      </w:r>
    </w:p>
    <w:p w14:paraId="79728D3A">
      <w:pPr>
        <w:autoSpaceDE w:val="0"/>
        <w:autoSpaceDN w:val="0"/>
        <w:adjustRightInd w:val="0"/>
        <w:snapToGrid w:val="0"/>
        <w:spacing w:line="560" w:lineRule="exact"/>
        <w:ind w:firstLine="600" w:firstLineChars="200"/>
        <w:rPr>
          <w:rFonts w:ascii="仿宋_GB2312" w:hAnsi="宋体" w:eastAsia="仿宋_GB2312"/>
          <w:color w:val="000000"/>
          <w:kern w:val="0"/>
          <w:sz w:val="30"/>
          <w:szCs w:val="30"/>
        </w:rPr>
      </w:pPr>
    </w:p>
    <w:p w14:paraId="1DAEAF25">
      <w:pPr>
        <w:autoSpaceDE w:val="0"/>
        <w:autoSpaceDN w:val="0"/>
        <w:adjustRightInd w:val="0"/>
        <w:spacing w:line="560" w:lineRule="exact"/>
        <w:ind w:firstLine="602" w:firstLineChars="200"/>
        <w:rPr>
          <w:rFonts w:ascii="黑体" w:hAnsi="黑体" w:eastAsia="黑体" w:cs="宋体-WinCharSetFFFF-H"/>
          <w:b/>
          <w:color w:val="000000"/>
          <w:kern w:val="0"/>
          <w:sz w:val="30"/>
          <w:szCs w:val="30"/>
        </w:rPr>
      </w:pPr>
      <w:r>
        <w:rPr>
          <w:rFonts w:hint="eastAsia" w:ascii="黑体" w:hAnsi="黑体" w:eastAsia="黑体" w:cs="宋体-WinCharSetFFFF-H"/>
          <w:b/>
          <w:color w:val="000000"/>
          <w:kern w:val="0"/>
          <w:sz w:val="30"/>
          <w:szCs w:val="30"/>
        </w:rPr>
        <w:t>二、拟受让方应当具备的资格条件</w:t>
      </w:r>
    </w:p>
    <w:p w14:paraId="51D13B94">
      <w:pPr>
        <w:autoSpaceDE w:val="0"/>
        <w:autoSpaceDN w:val="0"/>
        <w:adjustRightInd w:val="0"/>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转让方可根据实际情况或监（主）管部门的相关要求确定拟受让方的资格条件（以下内容仅供参考）。</w:t>
      </w:r>
    </w:p>
    <w:p w14:paraId="6428E100">
      <w:pPr>
        <w:autoSpaceDE w:val="0"/>
        <w:autoSpaceDN w:val="0"/>
        <w:adjustRightInd w:val="0"/>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（一）主体资格。</w:t>
      </w:r>
    </w:p>
    <w:p w14:paraId="185572EA">
      <w:pPr>
        <w:autoSpaceDE w:val="0"/>
        <w:autoSpaceDN w:val="0"/>
        <w:adjustRightInd w:val="0"/>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（二）资产和盈利情况。</w:t>
      </w:r>
    </w:p>
    <w:p w14:paraId="295E9253">
      <w:pPr>
        <w:autoSpaceDE w:val="0"/>
        <w:autoSpaceDN w:val="0"/>
        <w:adjustRightInd w:val="0"/>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（三）是否具有促进上市公司持续发展和改善上市公司法人治理结构的能力。</w:t>
      </w:r>
    </w:p>
    <w:p w14:paraId="11A8D1C1">
      <w:pPr>
        <w:autoSpaceDE w:val="0"/>
        <w:autoSpaceDN w:val="0"/>
        <w:adjustRightInd w:val="0"/>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（四）是否有收购及重组目的及是否具备收购及重组上市公司的实力。</w:t>
      </w:r>
    </w:p>
    <w:p w14:paraId="7817BC00">
      <w:pPr>
        <w:autoSpaceDE w:val="0"/>
        <w:autoSpaceDN w:val="0"/>
        <w:adjustRightInd w:val="0"/>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（五）现金支付能力。</w:t>
      </w:r>
    </w:p>
    <w:p w14:paraId="0AC2799F">
      <w:pPr>
        <w:autoSpaceDE w:val="0"/>
        <w:autoSpaceDN w:val="0"/>
        <w:adjustRightInd w:val="0"/>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（六）有无重大违法违规行为。</w:t>
      </w:r>
    </w:p>
    <w:p w14:paraId="34DA4234">
      <w:pPr>
        <w:autoSpaceDE w:val="0"/>
        <w:autoSpaceDN w:val="0"/>
        <w:adjustRightInd w:val="0"/>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（七）是否接受两个或两个以上法人组成的非法人形式的联合体共同作为拟受让方。</w:t>
      </w:r>
    </w:p>
    <w:p w14:paraId="0DEEEC1F">
      <w:pPr>
        <w:autoSpaceDE w:val="0"/>
        <w:autoSpaceDN w:val="0"/>
        <w:adjustRightInd w:val="0"/>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（八）履行决策程序。</w:t>
      </w:r>
    </w:p>
    <w:p w14:paraId="44AB6908">
      <w:pPr>
        <w:autoSpaceDE w:val="0"/>
        <w:autoSpaceDN w:val="0"/>
        <w:adjustRightInd w:val="0"/>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（九）转让方认为必要的其他资格条件。</w:t>
      </w:r>
    </w:p>
    <w:p w14:paraId="3227D105">
      <w:pPr>
        <w:autoSpaceDE w:val="0"/>
        <w:autoSpaceDN w:val="0"/>
        <w:adjustRightInd w:val="0"/>
        <w:spacing w:line="560" w:lineRule="exact"/>
        <w:ind w:firstLine="600" w:firstLineChars="200"/>
        <w:rPr>
          <w:rFonts w:ascii="仿宋_GB2312" w:eastAsia="仿宋_GB2312"/>
          <w:color w:val="000000"/>
          <w:sz w:val="30"/>
          <w:szCs w:val="30"/>
        </w:rPr>
      </w:pPr>
    </w:p>
    <w:p w14:paraId="7A6E53B7">
      <w:pPr>
        <w:autoSpaceDE w:val="0"/>
        <w:autoSpaceDN w:val="0"/>
        <w:adjustRightInd w:val="0"/>
        <w:spacing w:line="560" w:lineRule="exact"/>
        <w:ind w:firstLine="602" w:firstLineChars="200"/>
        <w:rPr>
          <w:rFonts w:ascii="黑体" w:hAnsi="黑体" w:eastAsia="黑体" w:cs="宋体-WinCharSetFFFF-H"/>
          <w:b/>
          <w:color w:val="000000"/>
          <w:kern w:val="0"/>
          <w:sz w:val="30"/>
          <w:szCs w:val="30"/>
        </w:rPr>
      </w:pPr>
      <w:r>
        <w:rPr>
          <w:rFonts w:hint="eastAsia" w:ascii="黑体" w:hAnsi="黑体" w:eastAsia="黑体" w:cs="宋体-WinCharSetFFFF-H"/>
          <w:b/>
          <w:color w:val="000000"/>
          <w:kern w:val="0"/>
          <w:sz w:val="30"/>
          <w:szCs w:val="30"/>
        </w:rPr>
        <w:t>三、拟受让方递交受让申请的资料要求、递交方式和截止日期</w:t>
      </w:r>
    </w:p>
    <w:p w14:paraId="3F29B6D8">
      <w:pPr>
        <w:autoSpaceDE w:val="0"/>
        <w:autoSpaceDN w:val="0"/>
        <w:adjustRightInd w:val="0"/>
        <w:spacing w:line="560" w:lineRule="exact"/>
        <w:ind w:firstLine="578" w:firstLineChars="192"/>
        <w:jc w:val="left"/>
        <w:outlineLvl w:val="0"/>
        <w:rPr>
          <w:rFonts w:ascii="仿宋_GB2312" w:eastAsia="仿宋_GB2312"/>
          <w:b/>
          <w:color w:val="000000"/>
          <w:sz w:val="30"/>
          <w:szCs w:val="30"/>
        </w:rPr>
      </w:pPr>
      <w:r>
        <w:rPr>
          <w:rFonts w:hint="eastAsia" w:ascii="仿宋_GB2312" w:eastAsia="仿宋_GB2312"/>
          <w:b/>
          <w:color w:val="000000"/>
          <w:sz w:val="30"/>
          <w:szCs w:val="30"/>
        </w:rPr>
        <w:t>（一）</w:t>
      </w:r>
      <w:r>
        <w:rPr>
          <w:rFonts w:ascii="仿宋_GB2312" w:eastAsia="仿宋_GB2312"/>
          <w:b/>
          <w:color w:val="000000"/>
          <w:sz w:val="30"/>
          <w:szCs w:val="30"/>
        </w:rPr>
        <w:t>递交受让申请的资料要求</w:t>
      </w:r>
    </w:p>
    <w:p w14:paraId="49B42ADB">
      <w:pPr>
        <w:autoSpaceDE w:val="0"/>
        <w:autoSpaceDN w:val="0"/>
        <w:adjustRightInd w:val="0"/>
        <w:spacing w:line="560" w:lineRule="exact"/>
        <w:ind w:firstLine="576" w:firstLineChars="192"/>
        <w:jc w:val="left"/>
        <w:rPr>
          <w:rFonts w:ascii="仿宋_GB2312" w:eastAsia="仿宋_GB2312"/>
          <w:color w:val="000000"/>
          <w:sz w:val="30"/>
          <w:szCs w:val="30"/>
        </w:rPr>
      </w:pPr>
      <w:r>
        <w:rPr>
          <w:rFonts w:hint="eastAsia" w:ascii="仿宋_GB2312" w:eastAsia="仿宋_GB2312"/>
          <w:color w:val="000000"/>
          <w:sz w:val="30"/>
          <w:szCs w:val="30"/>
        </w:rPr>
        <w:t>转让方可根据实际情况或监（主）管部门的相关要求确定拟受让方应当提供的资料要求（以下内容仅供参考）。</w:t>
      </w:r>
    </w:p>
    <w:p w14:paraId="58B5A84C">
      <w:pPr>
        <w:autoSpaceDE w:val="0"/>
        <w:autoSpaceDN w:val="0"/>
        <w:adjustRightInd w:val="0"/>
        <w:spacing w:line="560" w:lineRule="exact"/>
        <w:ind w:firstLine="576" w:firstLineChars="192"/>
        <w:jc w:val="left"/>
        <w:rPr>
          <w:rFonts w:ascii="仿宋_GB2312" w:eastAsia="仿宋_GB2312"/>
          <w:color w:val="000000"/>
          <w:sz w:val="30"/>
          <w:szCs w:val="30"/>
        </w:rPr>
      </w:pPr>
      <w:r>
        <w:rPr>
          <w:rFonts w:hint="eastAsia" w:ascii="仿宋_GB2312" w:eastAsia="仿宋_GB2312"/>
          <w:color w:val="000000"/>
          <w:sz w:val="30"/>
          <w:szCs w:val="30"/>
        </w:rPr>
        <w:t>1.受让意向书。 </w:t>
      </w:r>
    </w:p>
    <w:p w14:paraId="7486DF71">
      <w:pPr>
        <w:autoSpaceDE w:val="0"/>
        <w:autoSpaceDN w:val="0"/>
        <w:adjustRightInd w:val="0"/>
        <w:spacing w:line="560" w:lineRule="exact"/>
        <w:ind w:firstLine="576" w:firstLineChars="192"/>
        <w:jc w:val="left"/>
        <w:rPr>
          <w:rFonts w:ascii="仿宋_GB2312" w:eastAsia="仿宋_GB2312"/>
          <w:color w:val="000000"/>
          <w:sz w:val="30"/>
          <w:szCs w:val="30"/>
        </w:rPr>
      </w:pPr>
      <w:r>
        <w:rPr>
          <w:rFonts w:hint="eastAsia" w:ascii="仿宋_GB2312" w:eastAsia="仿宋_GB2312"/>
          <w:color w:val="000000"/>
          <w:sz w:val="30"/>
          <w:szCs w:val="30"/>
        </w:rPr>
        <w:t>2.拟受让方及实际控制人简介。</w:t>
      </w:r>
      <w:r>
        <w:rPr>
          <w:rFonts w:ascii="仿宋_GB2312" w:eastAsia="仿宋_GB2312"/>
          <w:color w:val="000000"/>
          <w:sz w:val="30"/>
          <w:szCs w:val="30"/>
        </w:rPr>
        <w:t xml:space="preserve">   </w:t>
      </w:r>
    </w:p>
    <w:p w14:paraId="0E1F8E50">
      <w:pPr>
        <w:autoSpaceDE w:val="0"/>
        <w:autoSpaceDN w:val="0"/>
        <w:adjustRightInd w:val="0"/>
        <w:spacing w:line="560" w:lineRule="exact"/>
        <w:ind w:firstLine="576" w:firstLineChars="192"/>
        <w:jc w:val="left"/>
        <w:rPr>
          <w:rFonts w:ascii="仿宋_GB2312" w:eastAsia="仿宋_GB2312"/>
          <w:color w:val="000000"/>
          <w:sz w:val="30"/>
          <w:szCs w:val="30"/>
        </w:rPr>
      </w:pPr>
      <w:r>
        <w:rPr>
          <w:rFonts w:hint="eastAsia" w:ascii="仿宋_GB2312" w:eastAsia="仿宋_GB2312"/>
          <w:color w:val="000000"/>
          <w:sz w:val="30"/>
          <w:szCs w:val="30"/>
        </w:rPr>
        <w:t>3.拟受让方及其实际控制人的财务会计报告。 </w:t>
      </w:r>
    </w:p>
    <w:p w14:paraId="33789A6F">
      <w:pPr>
        <w:autoSpaceDE w:val="0"/>
        <w:autoSpaceDN w:val="0"/>
        <w:adjustRightInd w:val="0"/>
        <w:spacing w:line="560" w:lineRule="exact"/>
        <w:ind w:firstLine="576" w:firstLineChars="192"/>
        <w:jc w:val="left"/>
        <w:rPr>
          <w:rFonts w:ascii="仿宋_GB2312" w:eastAsia="仿宋_GB2312"/>
          <w:color w:val="000000"/>
          <w:sz w:val="30"/>
          <w:szCs w:val="30"/>
        </w:rPr>
      </w:pPr>
      <w:r>
        <w:rPr>
          <w:rFonts w:hint="eastAsia" w:ascii="仿宋_GB2312" w:eastAsia="仿宋_GB2312"/>
          <w:color w:val="000000"/>
          <w:sz w:val="30"/>
          <w:szCs w:val="30"/>
        </w:rPr>
        <w:t>4.报价及报价说明。 </w:t>
      </w:r>
    </w:p>
    <w:p w14:paraId="389E5911">
      <w:pPr>
        <w:autoSpaceDE w:val="0"/>
        <w:autoSpaceDN w:val="0"/>
        <w:adjustRightInd w:val="0"/>
        <w:spacing w:line="560" w:lineRule="exact"/>
        <w:ind w:firstLine="576" w:firstLineChars="192"/>
        <w:jc w:val="left"/>
        <w:rPr>
          <w:rFonts w:ascii="仿宋_GB2312" w:eastAsia="仿宋_GB2312"/>
          <w:color w:val="000000"/>
          <w:sz w:val="30"/>
          <w:szCs w:val="30"/>
        </w:rPr>
      </w:pPr>
      <w:r>
        <w:rPr>
          <w:rFonts w:hint="eastAsia" w:ascii="仿宋_GB2312" w:eastAsia="仿宋_GB2312"/>
          <w:color w:val="000000"/>
          <w:sz w:val="30"/>
          <w:szCs w:val="30"/>
        </w:rPr>
        <w:t>5.收购资金来源及支付安排与保证。 </w:t>
      </w:r>
    </w:p>
    <w:p w14:paraId="0FEEA5F0">
      <w:pPr>
        <w:autoSpaceDE w:val="0"/>
        <w:autoSpaceDN w:val="0"/>
        <w:adjustRightInd w:val="0"/>
        <w:spacing w:line="560" w:lineRule="exact"/>
        <w:ind w:firstLine="576" w:firstLineChars="192"/>
        <w:jc w:val="left"/>
        <w:rPr>
          <w:rFonts w:ascii="仿宋_GB2312" w:eastAsia="仿宋_GB2312"/>
          <w:color w:val="000000"/>
          <w:sz w:val="30"/>
          <w:szCs w:val="30"/>
        </w:rPr>
      </w:pPr>
      <w:r>
        <w:rPr>
          <w:rFonts w:hint="eastAsia" w:ascii="仿宋_GB2312" w:eastAsia="仿宋_GB2312"/>
          <w:color w:val="000000"/>
          <w:sz w:val="30"/>
          <w:szCs w:val="30"/>
        </w:rPr>
        <w:t>6.拟受让方内部决策文件。 </w:t>
      </w:r>
    </w:p>
    <w:p w14:paraId="62D00680">
      <w:pPr>
        <w:autoSpaceDE w:val="0"/>
        <w:autoSpaceDN w:val="0"/>
        <w:adjustRightInd w:val="0"/>
        <w:spacing w:line="560" w:lineRule="exact"/>
        <w:ind w:firstLine="576" w:firstLineChars="192"/>
        <w:jc w:val="left"/>
        <w:rPr>
          <w:rFonts w:ascii="仿宋_GB2312" w:eastAsia="仿宋_GB2312"/>
          <w:color w:val="000000"/>
          <w:sz w:val="30"/>
          <w:szCs w:val="30"/>
        </w:rPr>
      </w:pPr>
      <w:r>
        <w:rPr>
          <w:rFonts w:hint="eastAsia" w:ascii="仿宋_GB2312" w:eastAsia="仿宋_GB2312"/>
          <w:color w:val="000000"/>
          <w:sz w:val="30"/>
          <w:szCs w:val="30"/>
        </w:rPr>
        <w:t>7.递交受让意向文件人员的授权资料。 </w:t>
      </w:r>
    </w:p>
    <w:p w14:paraId="263E4A41">
      <w:pPr>
        <w:autoSpaceDE w:val="0"/>
        <w:autoSpaceDN w:val="0"/>
        <w:adjustRightInd w:val="0"/>
        <w:spacing w:line="560" w:lineRule="exact"/>
        <w:ind w:firstLine="576" w:firstLineChars="192"/>
        <w:jc w:val="left"/>
        <w:rPr>
          <w:rFonts w:ascii="仿宋_GB2312" w:eastAsia="仿宋_GB2312"/>
          <w:color w:val="000000"/>
          <w:sz w:val="30"/>
          <w:szCs w:val="30"/>
        </w:rPr>
      </w:pPr>
      <w:r>
        <w:rPr>
          <w:rFonts w:hint="eastAsia" w:ascii="仿宋_GB2312" w:eastAsia="仿宋_GB2312"/>
          <w:color w:val="000000"/>
          <w:sz w:val="30"/>
          <w:szCs w:val="30"/>
        </w:rPr>
        <w:t>8.转让方认为必要的其他资料。 </w:t>
      </w:r>
    </w:p>
    <w:p w14:paraId="3E21F4CA">
      <w:pPr>
        <w:autoSpaceDE w:val="0"/>
        <w:autoSpaceDN w:val="0"/>
        <w:adjustRightInd w:val="0"/>
        <w:spacing w:line="560" w:lineRule="exact"/>
        <w:ind w:firstLine="578" w:firstLineChars="192"/>
        <w:jc w:val="left"/>
        <w:outlineLvl w:val="0"/>
        <w:rPr>
          <w:rFonts w:ascii="仿宋_GB2312" w:eastAsia="仿宋_GB2312"/>
          <w:b/>
          <w:color w:val="000000"/>
          <w:sz w:val="30"/>
          <w:szCs w:val="30"/>
        </w:rPr>
      </w:pPr>
      <w:r>
        <w:rPr>
          <w:rFonts w:hint="eastAsia" w:ascii="仿宋_GB2312" w:eastAsia="仿宋_GB2312"/>
          <w:b/>
          <w:color w:val="000000"/>
          <w:sz w:val="30"/>
          <w:szCs w:val="30"/>
        </w:rPr>
        <w:t>（二）受让申请资料的递交方式</w:t>
      </w:r>
    </w:p>
    <w:p w14:paraId="77FFF419">
      <w:pPr>
        <w:autoSpaceDE w:val="0"/>
        <w:autoSpaceDN w:val="0"/>
        <w:adjustRightInd w:val="0"/>
        <w:spacing w:line="560" w:lineRule="exact"/>
        <w:ind w:firstLine="576" w:firstLineChars="192"/>
        <w:jc w:val="left"/>
        <w:rPr>
          <w:rFonts w:ascii="仿宋_GB2312" w:eastAsia="仿宋_GB2312"/>
          <w:b/>
          <w:color w:val="000000"/>
          <w:sz w:val="30"/>
          <w:szCs w:val="30"/>
        </w:rPr>
      </w:pPr>
      <w:r>
        <w:rPr>
          <w:rFonts w:hint="eastAsia" w:ascii="仿宋_GB2312" w:eastAsia="仿宋_GB2312"/>
          <w:color w:val="000000"/>
          <w:sz w:val="30"/>
          <w:szCs w:val="30"/>
        </w:rPr>
        <w:t>转让方可根据实际情况或监（主）管部门的相关要求确定拟受让申请材料的递交方式、时间、地址、联系人等。</w:t>
      </w:r>
    </w:p>
    <w:p w14:paraId="0A1F1948">
      <w:pPr>
        <w:autoSpaceDE w:val="0"/>
        <w:autoSpaceDN w:val="0"/>
        <w:adjustRightInd w:val="0"/>
        <w:spacing w:line="560" w:lineRule="exact"/>
        <w:ind w:firstLine="578" w:firstLineChars="192"/>
        <w:jc w:val="left"/>
        <w:rPr>
          <w:rFonts w:ascii="仿宋_GB2312" w:eastAsia="仿宋_GB2312"/>
          <w:b/>
          <w:color w:val="000000"/>
          <w:sz w:val="30"/>
          <w:szCs w:val="30"/>
        </w:rPr>
      </w:pPr>
      <w:r>
        <w:rPr>
          <w:rFonts w:hint="eastAsia" w:ascii="仿宋_GB2312" w:eastAsia="仿宋_GB2312"/>
          <w:b/>
          <w:color w:val="000000"/>
          <w:sz w:val="30"/>
          <w:szCs w:val="30"/>
        </w:rPr>
        <w:t>（三）受让申请资料递交的截止日期</w:t>
      </w:r>
    </w:p>
    <w:p w14:paraId="0D529177">
      <w:pPr>
        <w:autoSpaceDE w:val="0"/>
        <w:autoSpaceDN w:val="0"/>
        <w:adjustRightInd w:val="0"/>
        <w:spacing w:line="560" w:lineRule="exact"/>
        <w:ind w:firstLine="578" w:firstLineChars="192"/>
        <w:jc w:val="left"/>
        <w:rPr>
          <w:rFonts w:ascii="仿宋_GB2312" w:eastAsia="仿宋_GB2312"/>
          <w:b/>
          <w:color w:val="000000"/>
          <w:sz w:val="30"/>
          <w:szCs w:val="30"/>
        </w:rPr>
      </w:pPr>
    </w:p>
    <w:p w14:paraId="6E163CD1">
      <w:pPr>
        <w:autoSpaceDE w:val="0"/>
        <w:autoSpaceDN w:val="0"/>
        <w:adjustRightInd w:val="0"/>
        <w:spacing w:line="560" w:lineRule="exact"/>
        <w:ind w:firstLine="578" w:firstLineChars="192"/>
        <w:jc w:val="left"/>
        <w:outlineLvl w:val="0"/>
        <w:rPr>
          <w:rFonts w:ascii="黑体" w:hAnsi="黑体" w:eastAsia="黑体" w:cs="宋体-WinCharSetFFFF-H"/>
          <w:b/>
          <w:color w:val="000000"/>
          <w:kern w:val="0"/>
          <w:sz w:val="30"/>
          <w:szCs w:val="30"/>
        </w:rPr>
      </w:pPr>
      <w:r>
        <w:rPr>
          <w:rFonts w:hint="eastAsia" w:ascii="黑体" w:hAnsi="黑体" w:eastAsia="黑体" w:cs="宋体-WinCharSetFFFF-H"/>
          <w:b/>
          <w:color w:val="000000"/>
          <w:kern w:val="0"/>
          <w:sz w:val="30"/>
          <w:szCs w:val="30"/>
        </w:rPr>
        <w:t>四、保证金及股权转让价款的支付</w:t>
      </w:r>
    </w:p>
    <w:p w14:paraId="77BD76DB">
      <w:pPr>
        <w:autoSpaceDE w:val="0"/>
        <w:autoSpaceDN w:val="0"/>
        <w:adjustRightInd w:val="0"/>
        <w:spacing w:line="560" w:lineRule="exact"/>
        <w:ind w:firstLine="576" w:firstLineChars="192"/>
        <w:jc w:val="left"/>
        <w:rPr>
          <w:rFonts w:ascii="仿宋_GB2312" w:eastAsia="仿宋_GB2312"/>
          <w:color w:val="000000"/>
          <w:sz w:val="30"/>
          <w:szCs w:val="30"/>
        </w:rPr>
      </w:pPr>
      <w:r>
        <w:rPr>
          <w:rFonts w:hint="eastAsia" w:ascii="仿宋_GB2312" w:eastAsia="仿宋_GB2312"/>
          <w:color w:val="000000"/>
          <w:sz w:val="30"/>
          <w:szCs w:val="30"/>
        </w:rPr>
        <w:t>转让方可根据实际情况或监（主）管部门的相关要求确定拟受让方应当提供的保证金缴纳、退换等具体要求及后续股权转让价款的支付要求。</w:t>
      </w:r>
    </w:p>
    <w:p w14:paraId="36414D63">
      <w:pPr>
        <w:autoSpaceDE w:val="0"/>
        <w:autoSpaceDN w:val="0"/>
        <w:adjustRightInd w:val="0"/>
        <w:spacing w:line="560" w:lineRule="exact"/>
        <w:ind w:firstLine="576" w:firstLineChars="192"/>
        <w:jc w:val="left"/>
        <w:rPr>
          <w:rFonts w:ascii="仿宋_GB2312" w:eastAsia="仿宋_GB2312"/>
          <w:color w:val="000000"/>
          <w:sz w:val="30"/>
          <w:szCs w:val="30"/>
        </w:rPr>
      </w:pPr>
    </w:p>
    <w:p w14:paraId="5B0BC679">
      <w:pPr>
        <w:autoSpaceDE w:val="0"/>
        <w:autoSpaceDN w:val="0"/>
        <w:adjustRightInd w:val="0"/>
        <w:spacing w:line="560" w:lineRule="exact"/>
        <w:ind w:firstLine="578" w:firstLineChars="192"/>
        <w:jc w:val="left"/>
        <w:outlineLvl w:val="0"/>
        <w:rPr>
          <w:rFonts w:ascii="黑体" w:hAnsi="黑体" w:eastAsia="黑体" w:cs="宋体-WinCharSetFFFF-H"/>
          <w:b/>
          <w:color w:val="000000"/>
          <w:kern w:val="0"/>
          <w:sz w:val="30"/>
          <w:szCs w:val="30"/>
        </w:rPr>
      </w:pPr>
      <w:r>
        <w:rPr>
          <w:rFonts w:hint="eastAsia" w:ascii="黑体" w:hAnsi="黑体" w:eastAsia="黑体" w:cs="宋体-WinCharSetFFFF-H"/>
          <w:b/>
          <w:color w:val="000000"/>
          <w:kern w:val="0"/>
          <w:sz w:val="30"/>
          <w:szCs w:val="30"/>
        </w:rPr>
        <w:t>五、本次股份转让的程序及审批情况</w:t>
      </w:r>
    </w:p>
    <w:p w14:paraId="30D9ABC1">
      <w:pPr>
        <w:autoSpaceDE w:val="0"/>
        <w:autoSpaceDN w:val="0"/>
        <w:adjustRightInd w:val="0"/>
        <w:spacing w:line="560" w:lineRule="exact"/>
        <w:ind w:firstLine="576" w:firstLineChars="192"/>
        <w:jc w:val="left"/>
        <w:rPr>
          <w:rFonts w:ascii="仿宋_GB2312" w:eastAsia="仿宋_GB2312"/>
          <w:color w:val="000000"/>
          <w:sz w:val="30"/>
          <w:szCs w:val="30"/>
        </w:rPr>
      </w:pPr>
      <w:r>
        <w:rPr>
          <w:rFonts w:hint="eastAsia" w:ascii="仿宋_GB2312" w:eastAsia="仿宋_GB2312"/>
          <w:color w:val="000000"/>
          <w:sz w:val="30"/>
          <w:szCs w:val="30"/>
        </w:rPr>
        <w:t>公告应当描述本次股份转让的程序和步骤，包括材料受理，相关协议签署，主管部门审批情况，是否有其他审批程序等。</w:t>
      </w:r>
    </w:p>
    <w:p w14:paraId="4F4F20B9">
      <w:pPr>
        <w:autoSpaceDE w:val="0"/>
        <w:autoSpaceDN w:val="0"/>
        <w:adjustRightInd w:val="0"/>
        <w:spacing w:line="560" w:lineRule="exact"/>
        <w:ind w:firstLine="576" w:firstLineChars="192"/>
        <w:jc w:val="left"/>
        <w:rPr>
          <w:rFonts w:ascii="仿宋_GB2312" w:eastAsia="仿宋_GB2312"/>
          <w:color w:val="000000"/>
          <w:sz w:val="30"/>
          <w:szCs w:val="30"/>
        </w:rPr>
      </w:pPr>
      <w:r>
        <w:rPr>
          <w:rFonts w:hint="eastAsia" w:ascii="仿宋_GB2312" w:eastAsia="仿宋_GB2312"/>
          <w:color w:val="000000"/>
          <w:sz w:val="30"/>
          <w:szCs w:val="30"/>
        </w:rPr>
        <w:t>主管部门批文的主要内容（如适用）</w:t>
      </w:r>
    </w:p>
    <w:p w14:paraId="50E9A100">
      <w:pPr>
        <w:autoSpaceDE w:val="0"/>
        <w:autoSpaceDN w:val="0"/>
        <w:adjustRightInd w:val="0"/>
        <w:spacing w:line="560" w:lineRule="exact"/>
        <w:ind w:firstLine="576" w:firstLineChars="192"/>
        <w:jc w:val="left"/>
        <w:rPr>
          <w:rFonts w:ascii="仿宋_GB2312" w:eastAsia="仿宋_GB2312"/>
          <w:color w:val="000000"/>
          <w:sz w:val="30"/>
          <w:szCs w:val="30"/>
        </w:rPr>
      </w:pPr>
    </w:p>
    <w:p w14:paraId="595D2BB3">
      <w:pPr>
        <w:autoSpaceDE w:val="0"/>
        <w:autoSpaceDN w:val="0"/>
        <w:adjustRightInd w:val="0"/>
        <w:spacing w:line="560" w:lineRule="exact"/>
        <w:ind w:firstLine="578" w:firstLineChars="192"/>
        <w:jc w:val="left"/>
        <w:outlineLvl w:val="0"/>
        <w:rPr>
          <w:rFonts w:ascii="黑体" w:hAnsi="黑体" w:eastAsia="黑体" w:cs="宋体-WinCharSetFFFF-H"/>
          <w:b/>
          <w:color w:val="000000"/>
          <w:kern w:val="0"/>
          <w:sz w:val="30"/>
          <w:szCs w:val="30"/>
        </w:rPr>
      </w:pPr>
      <w:r>
        <w:rPr>
          <w:rFonts w:hint="eastAsia" w:ascii="黑体" w:hAnsi="黑体" w:eastAsia="黑体" w:cs="宋体-WinCharSetFFFF-H"/>
          <w:b/>
          <w:color w:val="000000"/>
          <w:kern w:val="0"/>
          <w:sz w:val="30"/>
          <w:szCs w:val="30"/>
        </w:rPr>
        <w:t>六、本次股权转让不确定性的风险提示</w:t>
      </w:r>
    </w:p>
    <w:p w14:paraId="27704F86">
      <w:pPr>
        <w:autoSpaceDE w:val="0"/>
        <w:autoSpaceDN w:val="0"/>
        <w:adjustRightInd w:val="0"/>
        <w:spacing w:line="560" w:lineRule="exact"/>
        <w:ind w:firstLine="600" w:firstLineChars="200"/>
        <w:jc w:val="left"/>
        <w:rPr>
          <w:rFonts w:ascii="仿宋_GB2312" w:eastAsia="仿宋_GB2312"/>
          <w:color w:val="000000"/>
          <w:sz w:val="30"/>
          <w:szCs w:val="30"/>
        </w:rPr>
      </w:pPr>
      <w:r>
        <w:rPr>
          <w:rFonts w:hint="eastAsia" w:ascii="仿宋_GB2312" w:eastAsia="仿宋_GB2312"/>
          <w:color w:val="000000"/>
          <w:sz w:val="30"/>
          <w:szCs w:val="30"/>
        </w:rPr>
        <w:t>（一）在公开征集完成后，是否仍需报相关部门审批。</w:t>
      </w:r>
    </w:p>
    <w:p w14:paraId="0AEA3671">
      <w:pPr>
        <w:autoSpaceDE w:val="0"/>
        <w:autoSpaceDN w:val="0"/>
        <w:adjustRightInd w:val="0"/>
        <w:spacing w:line="560" w:lineRule="exact"/>
        <w:ind w:firstLine="600" w:firstLineChars="200"/>
        <w:jc w:val="left"/>
        <w:rPr>
          <w:rFonts w:ascii="仿宋_GB2312" w:eastAsia="仿宋_GB2312"/>
          <w:color w:val="000000"/>
          <w:sz w:val="30"/>
          <w:szCs w:val="30"/>
        </w:rPr>
      </w:pPr>
      <w:r>
        <w:rPr>
          <w:rFonts w:hint="eastAsia" w:ascii="仿宋_GB2312" w:eastAsia="仿宋_GB2312"/>
          <w:color w:val="000000"/>
          <w:sz w:val="30"/>
          <w:szCs w:val="30"/>
        </w:rPr>
        <w:t>（二）在本次公开征集所规定的到期日，是否能征集到受让方。</w:t>
      </w:r>
    </w:p>
    <w:p w14:paraId="4479AB0A">
      <w:pPr>
        <w:autoSpaceDE w:val="0"/>
        <w:autoSpaceDN w:val="0"/>
        <w:adjustRightInd w:val="0"/>
        <w:spacing w:line="560" w:lineRule="exact"/>
        <w:ind w:firstLine="600" w:firstLineChars="200"/>
        <w:jc w:val="left"/>
        <w:rPr>
          <w:rFonts w:ascii="仿宋_GB2312" w:eastAsia="仿宋_GB2312"/>
          <w:color w:val="000000"/>
          <w:sz w:val="30"/>
          <w:szCs w:val="30"/>
        </w:rPr>
      </w:pPr>
      <w:r>
        <w:rPr>
          <w:rFonts w:hint="eastAsia" w:ascii="仿宋_GB2312" w:eastAsia="仿宋_GB2312"/>
          <w:color w:val="000000"/>
          <w:sz w:val="30"/>
          <w:szCs w:val="30"/>
        </w:rPr>
        <w:t>（三）在规定日期内征集到受让方后，是否能够获得相关部门的批准以及股份转让是否能够实施。</w:t>
      </w:r>
    </w:p>
    <w:p w14:paraId="7250CAF1">
      <w:pPr>
        <w:autoSpaceDE w:val="0"/>
        <w:autoSpaceDN w:val="0"/>
        <w:adjustRightInd w:val="0"/>
        <w:spacing w:line="560" w:lineRule="exact"/>
        <w:ind w:firstLine="600" w:firstLineChars="200"/>
        <w:jc w:val="left"/>
        <w:rPr>
          <w:rFonts w:ascii="仿宋_GB2312" w:eastAsia="仿宋_GB2312"/>
          <w:color w:val="000000"/>
          <w:sz w:val="30"/>
          <w:szCs w:val="30"/>
        </w:rPr>
      </w:pPr>
      <w:r>
        <w:rPr>
          <w:rFonts w:hint="eastAsia" w:ascii="仿宋_GB2312" w:eastAsia="仿宋_GB2312"/>
          <w:color w:val="000000"/>
          <w:sz w:val="30"/>
          <w:szCs w:val="30"/>
        </w:rPr>
        <w:t>（四）其他风险提示。</w:t>
      </w:r>
    </w:p>
    <w:p w14:paraId="77B62A65">
      <w:pPr>
        <w:autoSpaceDE w:val="0"/>
        <w:autoSpaceDN w:val="0"/>
        <w:adjustRightInd w:val="0"/>
        <w:spacing w:line="560" w:lineRule="exact"/>
        <w:ind w:firstLine="576" w:firstLineChars="192"/>
        <w:jc w:val="left"/>
        <w:rPr>
          <w:rFonts w:ascii="仿宋_GB2312" w:eastAsia="仿宋_GB2312"/>
          <w:color w:val="000000"/>
          <w:sz w:val="30"/>
          <w:szCs w:val="30"/>
        </w:rPr>
      </w:pPr>
    </w:p>
    <w:p w14:paraId="0496346F">
      <w:pPr>
        <w:autoSpaceDE w:val="0"/>
        <w:autoSpaceDN w:val="0"/>
        <w:adjustRightInd w:val="0"/>
        <w:spacing w:line="560" w:lineRule="exact"/>
        <w:ind w:firstLine="576" w:firstLineChars="192"/>
        <w:jc w:val="left"/>
        <w:rPr>
          <w:rFonts w:ascii="仿宋_GB2312" w:hAnsi="宋体" w:eastAsia="仿宋_GB2312" w:cs="宋体-WinCharSetFFFF-H"/>
          <w:color w:val="000000"/>
          <w:kern w:val="0"/>
          <w:sz w:val="30"/>
          <w:szCs w:val="30"/>
        </w:rPr>
      </w:pPr>
      <w:r>
        <w:rPr>
          <w:rFonts w:hint="eastAsia" w:ascii="仿宋_GB2312" w:hAnsi="宋体" w:eastAsia="仿宋_GB2312" w:cs="宋体-WinCharSetFFFF-H"/>
          <w:color w:val="000000"/>
          <w:kern w:val="0"/>
          <w:sz w:val="30"/>
          <w:szCs w:val="30"/>
        </w:rPr>
        <w:t>特此公告。</w:t>
      </w:r>
    </w:p>
    <w:p w14:paraId="75B2A27D">
      <w:pPr>
        <w:autoSpaceDE w:val="0"/>
        <w:autoSpaceDN w:val="0"/>
        <w:adjustRightInd w:val="0"/>
        <w:spacing w:line="560" w:lineRule="exact"/>
        <w:ind w:firstLine="576" w:firstLineChars="192"/>
        <w:jc w:val="left"/>
        <w:rPr>
          <w:rFonts w:ascii="仿宋_GB2312" w:hAnsi="宋体" w:eastAsia="仿宋_GB2312" w:cs="宋体-WinCharSetFFFF-H"/>
          <w:color w:val="000000"/>
          <w:kern w:val="0"/>
          <w:sz w:val="30"/>
          <w:szCs w:val="30"/>
        </w:rPr>
      </w:pPr>
    </w:p>
    <w:p w14:paraId="22EAED3C">
      <w:pPr>
        <w:autoSpaceDE w:val="0"/>
        <w:autoSpaceDN w:val="0"/>
        <w:adjustRightInd w:val="0"/>
        <w:spacing w:line="560" w:lineRule="exact"/>
        <w:jc w:val="right"/>
        <w:rPr>
          <w:rFonts w:ascii="仿宋_GB2312" w:hAnsi="宋体" w:eastAsia="仿宋_GB2312" w:cs="宋体-WinCharSetFFFF-H"/>
          <w:color w:val="000000"/>
          <w:kern w:val="0"/>
          <w:sz w:val="30"/>
          <w:szCs w:val="30"/>
        </w:rPr>
      </w:pPr>
      <w:r>
        <w:rPr>
          <w:rFonts w:hint="eastAsia" w:ascii="仿宋_GB2312" w:hAnsi="宋体" w:eastAsia="仿宋_GB2312" w:cs="宋体"/>
          <w:color w:val="000000"/>
          <w:kern w:val="0"/>
          <w:sz w:val="30"/>
          <w:szCs w:val="30"/>
        </w:rPr>
        <w:t>××××</w:t>
      </w:r>
      <w:r>
        <w:rPr>
          <w:rFonts w:hint="eastAsia" w:ascii="仿宋_GB2312" w:hAnsi="宋体" w:eastAsia="仿宋_GB2312" w:cs="宋体-WinCharSetFFFF-H"/>
          <w:color w:val="000000"/>
          <w:kern w:val="0"/>
          <w:sz w:val="30"/>
          <w:szCs w:val="30"/>
        </w:rPr>
        <w:t>股份有限公司董事会</w:t>
      </w:r>
    </w:p>
    <w:p w14:paraId="6067DE8B">
      <w:pPr>
        <w:spacing w:line="560" w:lineRule="exact"/>
        <w:jc w:val="right"/>
        <w:rPr>
          <w:rFonts w:ascii="仿宋_GB2312" w:hAnsi="宋体" w:eastAsia="仿宋_GB2312" w:cs="宋体-WinCharSetFFFF-H"/>
          <w:color w:val="000000"/>
          <w:kern w:val="0"/>
          <w:sz w:val="30"/>
          <w:szCs w:val="30"/>
        </w:rPr>
      </w:pPr>
      <w:r>
        <w:rPr>
          <w:rFonts w:hint="eastAsia" w:ascii="仿宋_GB2312" w:hAnsi="宋体" w:eastAsia="仿宋_GB2312" w:cs="宋体-WinCharSetFFFF-H"/>
          <w:color w:val="000000"/>
          <w:kern w:val="0"/>
          <w:sz w:val="30"/>
          <w:szCs w:val="30"/>
        </w:rPr>
        <w:t xml:space="preserve"> 年  月  日</w:t>
      </w:r>
    </w:p>
    <w:p w14:paraId="4FD0BCCF">
      <w:pPr>
        <w:spacing w:line="560" w:lineRule="exact"/>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楷体_GB2312-WinCharSetFFFF-H">
    <w:altName w:val="楷体_GB2312"/>
    <w:panose1 w:val="00000000000000000000"/>
    <w:charset w:val="86"/>
    <w:family w:val="auto"/>
    <w:pitch w:val="default"/>
    <w:sig w:usb0="00000000" w:usb1="00000000" w:usb2="00000010" w:usb3="00000000" w:csb0="00040000" w:csb1="00000000"/>
  </w:font>
  <w:font w:name="楷体_GB2312">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黑体-WinCharSetFFFF-H">
    <w:altName w:val="黑体"/>
    <w:panose1 w:val="00000000000000000000"/>
    <w:charset w:val="86"/>
    <w:family w:val="auto"/>
    <w:pitch w:val="default"/>
    <w:sig w:usb0="00000000" w:usb1="00000000" w:usb2="00000010" w:usb3="00000000" w:csb0="00040000" w:csb1="00000000"/>
  </w:font>
  <w:font w:name="宋体-WinCharSetFFFF-H">
    <w:altName w:val="宋体"/>
    <w:panose1 w:val="00000000000000000000"/>
    <w:charset w:val="86"/>
    <w:family w:val="auto"/>
    <w:pitch w:val="default"/>
    <w:sig w:usb0="00000000" w:usb1="00000000" w:usb2="00000010" w:usb3="00000000" w:csb0="00040000" w:csb1="0000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5501252"/>
      <w:docPartObj>
        <w:docPartGallery w:val="autotext"/>
      </w:docPartObj>
    </w:sdtPr>
    <w:sdtContent>
      <w:p w14:paraId="3D371A9A">
        <w:pPr>
          <w:pStyle w:val="4"/>
          <w:jc w:val="cente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lang w:val="zh-CN"/>
          </w:rPr>
          <w:t>4</w:t>
        </w:r>
        <w:r>
          <w:rPr>
            <w:rFonts w:ascii="Times New Roman" w:hAnsi="Times New Roman"/>
          </w:rPr>
          <w:fldChar w:fldCharType="end"/>
        </w:r>
      </w:p>
    </w:sdtContent>
  </w:sdt>
  <w:p w14:paraId="71273FA2">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BB9F95">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293B7B"/>
    <w:multiLevelType w:val="multilevel"/>
    <w:tmpl w:val="5D293B7B"/>
    <w:lvl w:ilvl="0" w:tentative="0">
      <w:start w:val="1"/>
      <w:numFmt w:val="bullet"/>
      <w:lvlText w:val=""/>
      <w:lvlJc w:val="left"/>
      <w:pPr>
        <w:ind w:left="1020" w:hanging="420"/>
      </w:pPr>
      <w:rPr>
        <w:rFonts w:hint="default" w:ascii="Wingdings" w:hAnsi="Wingdings"/>
      </w:rPr>
    </w:lvl>
    <w:lvl w:ilvl="1" w:tentative="0">
      <w:start w:val="1"/>
      <w:numFmt w:val="bullet"/>
      <w:lvlText w:val=""/>
      <w:lvlJc w:val="left"/>
      <w:pPr>
        <w:ind w:left="1440" w:hanging="420"/>
      </w:pPr>
      <w:rPr>
        <w:rFonts w:hint="default" w:ascii="Wingdings" w:hAnsi="Wingdings"/>
      </w:rPr>
    </w:lvl>
    <w:lvl w:ilvl="2" w:tentative="0">
      <w:start w:val="1"/>
      <w:numFmt w:val="bullet"/>
      <w:lvlText w:val=""/>
      <w:lvlJc w:val="left"/>
      <w:pPr>
        <w:ind w:left="1860" w:hanging="420"/>
      </w:pPr>
      <w:rPr>
        <w:rFonts w:hint="default" w:ascii="Wingdings" w:hAnsi="Wingdings"/>
      </w:rPr>
    </w:lvl>
    <w:lvl w:ilvl="3" w:tentative="0">
      <w:start w:val="1"/>
      <w:numFmt w:val="bullet"/>
      <w:lvlText w:val=""/>
      <w:lvlJc w:val="left"/>
      <w:pPr>
        <w:ind w:left="2280" w:hanging="420"/>
      </w:pPr>
      <w:rPr>
        <w:rFonts w:hint="default" w:ascii="Wingdings" w:hAnsi="Wingdings"/>
      </w:rPr>
    </w:lvl>
    <w:lvl w:ilvl="4" w:tentative="0">
      <w:start w:val="1"/>
      <w:numFmt w:val="bullet"/>
      <w:lvlText w:val=""/>
      <w:lvlJc w:val="left"/>
      <w:pPr>
        <w:ind w:left="2700" w:hanging="420"/>
      </w:pPr>
      <w:rPr>
        <w:rFonts w:hint="default" w:ascii="Wingdings" w:hAnsi="Wingdings"/>
      </w:rPr>
    </w:lvl>
    <w:lvl w:ilvl="5" w:tentative="0">
      <w:start w:val="1"/>
      <w:numFmt w:val="bullet"/>
      <w:lvlText w:val=""/>
      <w:lvlJc w:val="left"/>
      <w:pPr>
        <w:ind w:left="3120" w:hanging="420"/>
      </w:pPr>
      <w:rPr>
        <w:rFonts w:hint="default" w:ascii="Wingdings" w:hAnsi="Wingdings"/>
      </w:rPr>
    </w:lvl>
    <w:lvl w:ilvl="6" w:tentative="0">
      <w:start w:val="1"/>
      <w:numFmt w:val="bullet"/>
      <w:lvlText w:val=""/>
      <w:lvlJc w:val="left"/>
      <w:pPr>
        <w:ind w:left="3540" w:hanging="420"/>
      </w:pPr>
      <w:rPr>
        <w:rFonts w:hint="default" w:ascii="Wingdings" w:hAnsi="Wingdings"/>
      </w:rPr>
    </w:lvl>
    <w:lvl w:ilvl="7" w:tentative="0">
      <w:start w:val="1"/>
      <w:numFmt w:val="bullet"/>
      <w:lvlText w:val=""/>
      <w:lvlJc w:val="left"/>
      <w:pPr>
        <w:ind w:left="3960" w:hanging="420"/>
      </w:pPr>
      <w:rPr>
        <w:rFonts w:hint="default" w:ascii="Wingdings" w:hAnsi="Wingdings"/>
      </w:rPr>
    </w:lvl>
    <w:lvl w:ilvl="8" w:tentative="0">
      <w:start w:val="1"/>
      <w:numFmt w:val="bullet"/>
      <w:lvlText w:val=""/>
      <w:lvlJc w:val="left"/>
      <w:pPr>
        <w:ind w:left="43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ECD"/>
    <w:rsid w:val="00000558"/>
    <w:rsid w:val="00023A3F"/>
    <w:rsid w:val="00075712"/>
    <w:rsid w:val="00077B1F"/>
    <w:rsid w:val="000D1DF9"/>
    <w:rsid w:val="000D47C3"/>
    <w:rsid w:val="00126188"/>
    <w:rsid w:val="001368F4"/>
    <w:rsid w:val="001C4BDF"/>
    <w:rsid w:val="001F305E"/>
    <w:rsid w:val="001F6B14"/>
    <w:rsid w:val="00212377"/>
    <w:rsid w:val="0022543C"/>
    <w:rsid w:val="00292AB2"/>
    <w:rsid w:val="002A5124"/>
    <w:rsid w:val="00313A26"/>
    <w:rsid w:val="003D59E6"/>
    <w:rsid w:val="003E09AF"/>
    <w:rsid w:val="00412966"/>
    <w:rsid w:val="0049547A"/>
    <w:rsid w:val="004F4B41"/>
    <w:rsid w:val="00517156"/>
    <w:rsid w:val="00531655"/>
    <w:rsid w:val="005E3DA8"/>
    <w:rsid w:val="00631267"/>
    <w:rsid w:val="006754DD"/>
    <w:rsid w:val="006B45CE"/>
    <w:rsid w:val="007315A3"/>
    <w:rsid w:val="007D0FB9"/>
    <w:rsid w:val="007D36E8"/>
    <w:rsid w:val="00801418"/>
    <w:rsid w:val="00882D45"/>
    <w:rsid w:val="008850CC"/>
    <w:rsid w:val="008B62B5"/>
    <w:rsid w:val="008E2FF0"/>
    <w:rsid w:val="008F3912"/>
    <w:rsid w:val="00977EFB"/>
    <w:rsid w:val="009B292F"/>
    <w:rsid w:val="009B3F0D"/>
    <w:rsid w:val="00A13123"/>
    <w:rsid w:val="00A16AE4"/>
    <w:rsid w:val="00A317FA"/>
    <w:rsid w:val="00AA1DF6"/>
    <w:rsid w:val="00AC1EDC"/>
    <w:rsid w:val="00AC6182"/>
    <w:rsid w:val="00B3338B"/>
    <w:rsid w:val="00B87E45"/>
    <w:rsid w:val="00BB7E31"/>
    <w:rsid w:val="00BC7DE8"/>
    <w:rsid w:val="00BF2ECD"/>
    <w:rsid w:val="00C47A65"/>
    <w:rsid w:val="00C578DC"/>
    <w:rsid w:val="00C81A4D"/>
    <w:rsid w:val="00C94491"/>
    <w:rsid w:val="00CA713C"/>
    <w:rsid w:val="00CB24DA"/>
    <w:rsid w:val="00CD0630"/>
    <w:rsid w:val="00D13B8A"/>
    <w:rsid w:val="00D14999"/>
    <w:rsid w:val="00DB09F7"/>
    <w:rsid w:val="00DD5D73"/>
    <w:rsid w:val="00DF10DD"/>
    <w:rsid w:val="00E26B63"/>
    <w:rsid w:val="00EA2C5A"/>
    <w:rsid w:val="00F071AF"/>
    <w:rsid w:val="09CB3560"/>
    <w:rsid w:val="5A1369D0"/>
    <w:rsid w:val="7FA7C4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2"/>
    <w:semiHidden/>
    <w:unhideWhenUsed/>
    <w:qFormat/>
    <w:uiPriority w:val="99"/>
    <w:rPr>
      <w:rFonts w:ascii="宋体"/>
      <w:sz w:val="18"/>
      <w:szCs w:val="18"/>
    </w:rPr>
  </w:style>
  <w:style w:type="paragraph" w:styleId="3">
    <w:name w:val="Balloon Text"/>
    <w:basedOn w:val="1"/>
    <w:link w:val="11"/>
    <w:semiHidden/>
    <w:unhideWhenUsed/>
    <w:qFormat/>
    <w:uiPriority w:val="99"/>
    <w:rPr>
      <w:sz w:val="18"/>
      <w:szCs w:val="18"/>
    </w:rPr>
  </w:style>
  <w:style w:type="paragraph" w:styleId="4">
    <w:name w:val="footer"/>
    <w:basedOn w:val="1"/>
    <w:link w:val="8"/>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脚 字符"/>
    <w:basedOn w:val="7"/>
    <w:link w:val="4"/>
    <w:qFormat/>
    <w:uiPriority w:val="99"/>
    <w:rPr>
      <w:rFonts w:ascii="Calibri" w:hAnsi="Calibri" w:eastAsia="宋体" w:cs="Times New Roman"/>
      <w:sz w:val="18"/>
      <w:szCs w:val="18"/>
    </w:rPr>
  </w:style>
  <w:style w:type="paragraph" w:styleId="9">
    <w:name w:val="List Paragraph"/>
    <w:basedOn w:val="1"/>
    <w:qFormat/>
    <w:uiPriority w:val="34"/>
    <w:pPr>
      <w:ind w:firstLine="420" w:firstLineChars="200"/>
    </w:pPr>
  </w:style>
  <w:style w:type="character" w:customStyle="1" w:styleId="10">
    <w:name w:val="页眉 字符"/>
    <w:basedOn w:val="7"/>
    <w:link w:val="5"/>
    <w:qFormat/>
    <w:uiPriority w:val="99"/>
    <w:rPr>
      <w:rFonts w:ascii="Calibri" w:hAnsi="Calibri" w:eastAsia="宋体" w:cs="Times New Roman"/>
      <w:sz w:val="18"/>
      <w:szCs w:val="18"/>
    </w:rPr>
  </w:style>
  <w:style w:type="character" w:customStyle="1" w:styleId="11">
    <w:name w:val="批注框文本 字符"/>
    <w:basedOn w:val="7"/>
    <w:link w:val="3"/>
    <w:semiHidden/>
    <w:qFormat/>
    <w:uiPriority w:val="99"/>
    <w:rPr>
      <w:rFonts w:ascii="Calibri" w:hAnsi="Calibri" w:eastAsia="宋体" w:cs="Times New Roman"/>
      <w:sz w:val="18"/>
      <w:szCs w:val="18"/>
    </w:rPr>
  </w:style>
  <w:style w:type="character" w:customStyle="1" w:styleId="12">
    <w:name w:val="文档结构图 字符"/>
    <w:basedOn w:val="7"/>
    <w:link w:val="2"/>
    <w:semiHidden/>
    <w:uiPriority w:val="99"/>
    <w:rPr>
      <w:rFonts w:ascii="宋体" w:hAnsi="Calibri"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223</Words>
  <Characters>1273</Characters>
  <Lines>10</Lines>
  <Paragraphs>2</Paragraphs>
  <TotalTime>46</TotalTime>
  <ScaleCrop>false</ScaleCrop>
  <LinksUpToDate>false</LinksUpToDate>
  <CharactersWithSpaces>1494</CharactersWithSpaces>
  <Application>WPS Office_12.8.2.19313_F1E327BC-269C-435d-A152-05C5408002CA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2022-03-02T09:30:00Z</dcterms:created>
  <dc:creator>whzhou</dc:creator>
  <cp:lastModifiedBy>wentinglou</cp:lastModifiedBy>
  <dcterms:modified xsi:type="dcterms:W3CDTF">2025-08-25T16:19:47Z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2052-12.8.2.19313</vt:lpwstr>
  </property>
  <property fmtid="{D5CDD505-2E9C-101B-9397-08002B2CF9AE}" pid="3" name="ICV">
    <vt:lpwstr>0D2CE39A09E24102964522CC1C378548_13</vt:lpwstr>
  </property>
</Properties>
</file>