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9587ED">
      <w:pPr>
        <w:autoSpaceDE w:val="0"/>
        <w:autoSpaceDN w:val="0"/>
        <w:adjustRightInd w:val="0"/>
        <w:spacing w:line="560" w:lineRule="exact"/>
        <w:jc w:val="center"/>
        <w:rPr>
          <w:rFonts w:ascii="黑体" w:hAnsi="黑体" w:eastAsia="黑体"/>
          <w:b/>
          <w:bCs/>
          <w:sz w:val="36"/>
          <w:szCs w:val="36"/>
        </w:rPr>
      </w:pPr>
      <w:bookmarkStart w:id="4" w:name="_GoBack"/>
      <w:bookmarkEnd w:id="4"/>
      <w:bookmarkStart w:id="0" w:name="_Toc50034149"/>
      <w:r>
        <w:rPr>
          <w:rFonts w:hint="eastAsia" w:ascii="黑体" w:hAnsi="黑体" w:eastAsia="黑体"/>
          <w:b/>
          <w:bCs/>
          <w:sz w:val="36"/>
          <w:szCs w:val="36"/>
        </w:rPr>
        <w:t>第三十九号</w:t>
      </w:r>
      <w:r>
        <w:rPr>
          <w:rFonts w:ascii="黑体" w:hAnsi="黑体" w:eastAsia="黑体"/>
          <w:b/>
          <w:bCs/>
          <w:sz w:val="36"/>
          <w:szCs w:val="36"/>
        </w:rPr>
        <w:t xml:space="preserve"> </w:t>
      </w:r>
      <w:r>
        <w:rPr>
          <w:rFonts w:hint="eastAsia" w:ascii="黑体" w:hAnsi="黑体" w:eastAsia="黑体"/>
          <w:b/>
          <w:bCs/>
          <w:sz w:val="36"/>
          <w:szCs w:val="36"/>
        </w:rPr>
        <w:t>上市公司回购股份实施结果暨股份变动公告</w:t>
      </w:r>
      <w:bookmarkEnd w:id="0"/>
    </w:p>
    <w:p w14:paraId="6A593F16">
      <w:pPr>
        <w:autoSpaceDE w:val="0"/>
        <w:autoSpaceDN w:val="0"/>
        <w:adjustRightInd w:val="0"/>
        <w:spacing w:line="560" w:lineRule="exact"/>
        <w:jc w:val="center"/>
        <w:rPr>
          <w:rFonts w:ascii="宋体" w:hAnsi="宋体" w:cs="楷体_GB2312-WinCharSetFFFF-H"/>
          <w:color w:val="000000"/>
          <w:kern w:val="0"/>
          <w:sz w:val="32"/>
          <w:szCs w:val="32"/>
        </w:rPr>
      </w:pPr>
    </w:p>
    <w:p w14:paraId="4829B733">
      <w:pPr>
        <w:autoSpaceDE w:val="0"/>
        <w:autoSpaceDN w:val="0"/>
        <w:adjustRightInd w:val="0"/>
        <w:snapToGrid w:val="0"/>
        <w:spacing w:line="560" w:lineRule="exact"/>
        <w:rPr>
          <w:rFonts w:ascii="仿宋_GB2312" w:hAnsi="宋体" w:eastAsia="仿宋_GB2312"/>
          <w:b/>
          <w:sz w:val="30"/>
          <w:szCs w:val="30"/>
        </w:rPr>
      </w:pPr>
      <w:r>
        <w:rPr>
          <w:rFonts w:hint="eastAsia" w:ascii="仿宋_GB2312" w:hAnsi="宋体" w:eastAsia="仿宋_GB2312"/>
          <w:b/>
          <w:sz w:val="30"/>
          <w:szCs w:val="30"/>
        </w:rPr>
        <w:t>适用情形：</w:t>
      </w:r>
    </w:p>
    <w:p w14:paraId="3BFC3256">
      <w:pPr>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1.</w:t>
      </w:r>
      <w:r>
        <w:rPr>
          <w:rFonts w:hint="eastAsia" w:ascii="仿宋_GB2312" w:eastAsia="仿宋_GB2312"/>
          <w:bCs/>
          <w:color w:val="000000"/>
          <w:sz w:val="30"/>
          <w:szCs w:val="30"/>
        </w:rPr>
        <w:t>上市公司以集中竞价交易方式回购股份，编制披露股份回购实施结果暨股份变动公告的，适用本公告格式</w:t>
      </w:r>
      <w:r>
        <w:rPr>
          <w:rFonts w:hint="eastAsia" w:ascii="仿宋_GB2312" w:eastAsia="仿宋_GB2312"/>
          <w:color w:val="000000"/>
          <w:sz w:val="30"/>
          <w:szCs w:val="30"/>
        </w:rPr>
        <w:t>。</w:t>
      </w:r>
    </w:p>
    <w:p w14:paraId="624D8C0F">
      <w:pPr>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2.上市公司以要约方式回购股份，</w:t>
      </w:r>
      <w:r>
        <w:rPr>
          <w:rFonts w:hint="eastAsia" w:ascii="仿宋_GB2312" w:eastAsia="仿宋_GB2312"/>
          <w:bCs/>
          <w:color w:val="000000"/>
          <w:sz w:val="30"/>
          <w:szCs w:val="30"/>
        </w:rPr>
        <w:t>编制披露股份回购实施结果暨股份变动公告</w:t>
      </w:r>
      <w:r>
        <w:rPr>
          <w:rFonts w:hint="eastAsia" w:ascii="仿宋_GB2312" w:eastAsia="仿宋_GB2312"/>
          <w:color w:val="000000"/>
          <w:sz w:val="30"/>
          <w:szCs w:val="30"/>
        </w:rPr>
        <w:t>的，参照适用本公告格式。</w:t>
      </w:r>
    </w:p>
    <w:p w14:paraId="3A001AA7">
      <w:pPr>
        <w:spacing w:line="560" w:lineRule="exact"/>
        <w:rPr>
          <w:rFonts w:ascii="仿宋_GB2312" w:hAnsi="宋体" w:eastAsia="仿宋_GB2312" w:cs="宋体"/>
          <w:sz w:val="30"/>
          <w:szCs w:val="30"/>
        </w:rPr>
      </w:pPr>
    </w:p>
    <w:p w14:paraId="196D1467">
      <w:pPr>
        <w:adjustRightInd w:val="0"/>
        <w:snapToGrid w:val="0"/>
        <w:spacing w:line="560" w:lineRule="exact"/>
        <w:rPr>
          <w:rFonts w:ascii="仿宋_GB2312" w:hAnsi="宋体" w:eastAsia="仿宋_GB2312"/>
          <w:sz w:val="30"/>
          <w:szCs w:val="30"/>
        </w:rPr>
      </w:pPr>
      <w:r>
        <w:rPr>
          <w:rFonts w:hint="eastAsia" w:ascii="仿宋_GB2312" w:hAnsi="宋体" w:eastAsia="仿宋_GB2312"/>
          <w:sz w:val="30"/>
          <w:szCs w:val="30"/>
        </w:rPr>
        <w:t>证券代码：             证券简称：            公告编号：</w:t>
      </w:r>
    </w:p>
    <w:p w14:paraId="772252E5">
      <w:pPr>
        <w:adjustRightInd w:val="0"/>
        <w:snapToGrid w:val="0"/>
        <w:spacing w:line="560" w:lineRule="exact"/>
        <w:jc w:val="center"/>
        <w:rPr>
          <w:rFonts w:ascii="仿宋_GB2312" w:hAnsi="宋体" w:eastAsia="仿宋_GB2312"/>
          <w:color w:val="000000"/>
          <w:sz w:val="30"/>
          <w:szCs w:val="30"/>
        </w:rPr>
      </w:pPr>
    </w:p>
    <w:p w14:paraId="364C32A6">
      <w:pPr>
        <w:snapToGrid w:val="0"/>
        <w:spacing w:line="560" w:lineRule="exact"/>
        <w:jc w:val="center"/>
        <w:outlineLvl w:val="0"/>
        <w:rPr>
          <w:rFonts w:ascii="仿宋_GB2312" w:hAnsi="宋体" w:eastAsia="仿宋_GB2312" w:cs="黑体-WinCharSetFFFF-H"/>
          <w:kern w:val="0"/>
          <w:sz w:val="30"/>
          <w:szCs w:val="30"/>
        </w:rPr>
      </w:pPr>
      <w:r>
        <w:rPr>
          <w:rFonts w:hint="eastAsia" w:ascii="仿宋_GB2312" w:hAnsi="宋体" w:eastAsia="仿宋_GB2312"/>
          <w:color w:val="000000"/>
          <w:sz w:val="30"/>
          <w:szCs w:val="30"/>
        </w:rPr>
        <w:t>XXXX股份有限公司关于股份回购实施结果暨股份变动公告</w:t>
      </w:r>
    </w:p>
    <w:p w14:paraId="04F0CC63">
      <w:pPr>
        <w:snapToGrid w:val="0"/>
        <w:spacing w:line="560" w:lineRule="exact"/>
        <w:jc w:val="center"/>
        <w:rPr>
          <w:rFonts w:ascii="仿宋_GB2312" w:hAnsi="宋体" w:eastAsia="仿宋_GB2312"/>
          <w:color w:val="000000"/>
          <w:sz w:val="30"/>
          <w:szCs w:val="30"/>
        </w:rPr>
      </w:pPr>
    </w:p>
    <w:p w14:paraId="4106D4B7">
      <w:pPr>
        <w:pBdr>
          <w:top w:val="single" w:color="auto" w:sz="4" w:space="1"/>
          <w:left w:val="single" w:color="auto" w:sz="4" w:space="4"/>
          <w:bottom w:val="single" w:color="auto" w:sz="4" w:space="2"/>
          <w:right w:val="single" w:color="auto" w:sz="4" w:space="4"/>
        </w:pBdr>
        <w:adjustRightInd w:val="0"/>
        <w:spacing w:line="560" w:lineRule="exact"/>
        <w:rPr>
          <w:rFonts w:ascii="仿宋_GB2312" w:hAnsi="宋体" w:eastAsia="仿宋_GB2312"/>
          <w:color w:val="000000"/>
          <w:sz w:val="30"/>
          <w:szCs w:val="30"/>
        </w:rPr>
      </w:pPr>
      <w:r>
        <w:rPr>
          <w:rFonts w:hint="eastAsia" w:ascii="仿宋_GB2312" w:hAnsi="宋体" w:eastAsia="仿宋_GB2312"/>
          <w:color w:val="000000"/>
          <w:sz w:val="30"/>
          <w:szCs w:val="30"/>
        </w:rPr>
        <w:t xml:space="preserve">    本公司董事会及全体董事保证本公告内容不存在任何虚假记载、误导性陈述或者重大遗漏，并对其内容的真实性、准确性和完整性依法承担法律责任。</w:t>
      </w:r>
    </w:p>
    <w:p w14:paraId="03508A28">
      <w:pPr>
        <w:pBdr>
          <w:top w:val="single" w:color="auto" w:sz="4" w:space="1"/>
          <w:left w:val="single" w:color="auto" w:sz="4" w:space="4"/>
          <w:bottom w:val="single" w:color="auto" w:sz="4" w:space="2"/>
          <w:right w:val="single" w:color="auto" w:sz="4" w:space="4"/>
        </w:pBdr>
        <w:adjustRightInd w:val="0"/>
        <w:spacing w:line="560" w:lineRule="exact"/>
        <w:rPr>
          <w:rFonts w:ascii="仿宋_GB2312" w:hAnsi="宋体" w:eastAsia="仿宋_GB2312"/>
          <w:color w:val="000000"/>
          <w:sz w:val="30"/>
          <w:szCs w:val="30"/>
        </w:rPr>
      </w:pPr>
      <w:r>
        <w:rPr>
          <w:rFonts w:hint="eastAsia" w:ascii="仿宋_GB2312" w:hAnsi="宋体" w:eastAsia="仿宋_GB2312"/>
          <w:color w:val="000000"/>
          <w:sz w:val="30"/>
          <w:szCs w:val="30"/>
        </w:rPr>
        <w:t xml:space="preserve">    如有董事对临时公告内容的真实性、准确性和完整性无法保证或存在异议的，公司应当在公告中作特别提示。</w:t>
      </w:r>
    </w:p>
    <w:p w14:paraId="5107A2B1">
      <w:pPr>
        <w:autoSpaceDE w:val="0"/>
        <w:autoSpaceDN w:val="0"/>
        <w:adjustRightInd w:val="0"/>
        <w:spacing w:line="560" w:lineRule="exact"/>
        <w:ind w:firstLine="576" w:firstLineChars="192"/>
        <w:jc w:val="left"/>
        <w:rPr>
          <w:rFonts w:ascii="仿宋_GB2312" w:hAnsi="宋体" w:eastAsia="仿宋_GB2312" w:cs="黑体-WinCharSetFFFF-H"/>
          <w:kern w:val="0"/>
          <w:sz w:val="30"/>
          <w:szCs w:val="30"/>
        </w:rPr>
      </w:pPr>
    </w:p>
    <w:p w14:paraId="1C288A34">
      <w:pPr>
        <w:autoSpaceDE w:val="0"/>
        <w:autoSpaceDN w:val="0"/>
        <w:adjustRightInd w:val="0"/>
        <w:snapToGrid w:val="0"/>
        <w:spacing w:line="560" w:lineRule="exact"/>
        <w:ind w:firstLine="602" w:firstLineChars="200"/>
        <w:outlineLvl w:val="0"/>
        <w:rPr>
          <w:rFonts w:ascii="黑体" w:hAnsi="黑体" w:eastAsia="黑体"/>
          <w:b/>
          <w:sz w:val="30"/>
          <w:szCs w:val="30"/>
        </w:rPr>
      </w:pPr>
      <w:r>
        <w:rPr>
          <w:rFonts w:hint="eastAsia" w:ascii="黑体" w:hAnsi="黑体" w:eastAsia="黑体"/>
          <w:b/>
          <w:sz w:val="30"/>
          <w:szCs w:val="30"/>
        </w:rPr>
        <w:t>一、回购审批情况和回购方案内容</w:t>
      </w:r>
    </w:p>
    <w:p w14:paraId="1B21268A">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XXXX年XX月XX日公司召开第XX届董事会第XX次会议/XXXX年第XX次股东会，审议通过了回购股份方案。XXXX年XX月XX日，公司披露回购报告书。本次回购股份方案的主要内容如下……</w:t>
      </w:r>
    </w:p>
    <w:p w14:paraId="72C110C5">
      <w:pPr>
        <w:autoSpaceDE w:val="0"/>
        <w:autoSpaceDN w:val="0"/>
        <w:adjustRightInd w:val="0"/>
        <w:snapToGrid w:val="0"/>
        <w:spacing w:line="560" w:lineRule="exact"/>
        <w:ind w:firstLine="480" w:firstLineChars="200"/>
        <w:rPr>
          <w:rFonts w:ascii="楷体" w:hAnsi="楷体" w:eastAsia="楷体" w:cs="宋体-WinCharSetFFFF-H"/>
          <w:color w:val="000000"/>
          <w:kern w:val="0"/>
          <w:sz w:val="24"/>
          <w:szCs w:val="24"/>
        </w:rPr>
      </w:pPr>
      <w:r>
        <w:rPr>
          <w:rFonts w:hint="eastAsia" w:ascii="楷体" w:hAnsi="楷体" w:eastAsia="楷体" w:cs="宋体-WinCharSetFFFF-H"/>
          <w:color w:val="000000"/>
          <w:kern w:val="0"/>
          <w:sz w:val="24"/>
          <w:szCs w:val="24"/>
        </w:rPr>
        <w:t>（编制提醒：公司根据回购股份方案简要披露方案内容）</w:t>
      </w:r>
    </w:p>
    <w:p w14:paraId="55F8D605">
      <w:pPr>
        <w:autoSpaceDE w:val="0"/>
        <w:autoSpaceDN w:val="0"/>
        <w:adjustRightInd w:val="0"/>
        <w:spacing w:line="560" w:lineRule="exact"/>
        <w:ind w:firstLine="578" w:firstLineChars="192"/>
        <w:jc w:val="left"/>
        <w:outlineLvl w:val="0"/>
        <w:rPr>
          <w:rFonts w:ascii="黑体" w:hAnsi="黑体" w:eastAsia="黑体" w:cs="宋体-WinCharSetFFFF-H"/>
          <w:b/>
          <w:color w:val="000000"/>
          <w:kern w:val="0"/>
          <w:sz w:val="30"/>
          <w:szCs w:val="30"/>
        </w:rPr>
      </w:pPr>
    </w:p>
    <w:p w14:paraId="4313CB48">
      <w:pPr>
        <w:autoSpaceDE w:val="0"/>
        <w:autoSpaceDN w:val="0"/>
        <w:adjustRightInd w:val="0"/>
        <w:spacing w:line="560" w:lineRule="exact"/>
        <w:ind w:firstLine="578" w:firstLineChars="192"/>
        <w:jc w:val="left"/>
        <w:outlineLvl w:val="0"/>
        <w:rPr>
          <w:rFonts w:ascii="黑体" w:hAnsi="黑体" w:eastAsia="黑体" w:cs="宋体-WinCharSetFFFF-H"/>
          <w:b/>
          <w:color w:val="000000"/>
          <w:kern w:val="0"/>
          <w:sz w:val="30"/>
          <w:szCs w:val="30"/>
        </w:rPr>
      </w:pPr>
      <w:r>
        <w:rPr>
          <w:rFonts w:hint="eastAsia" w:ascii="黑体" w:hAnsi="黑体" w:eastAsia="黑体" w:cs="宋体-WinCharSetFFFF-H"/>
          <w:b/>
          <w:color w:val="000000"/>
          <w:kern w:val="0"/>
          <w:sz w:val="30"/>
          <w:szCs w:val="30"/>
        </w:rPr>
        <w:t>二、回购实施情况</w:t>
      </w:r>
    </w:p>
    <w:p w14:paraId="45A76326">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（一）XXXX年XX月XX日，公司首次实施回购股份，并于XXXX年XX月XX日披露了首次回购股份情况，详见公司XXXX年-XX号公告。</w:t>
      </w:r>
    </w:p>
    <w:p w14:paraId="02A422E4">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（二）XXXX年XX月XX日，公司完成回购，已实际回购公司股份XX股，占公司总股本的XX%，回购最高价格XX元/股，回购最低价格XX元/股，回购均价XX元/股，使用资金总额XX万元。</w:t>
      </w:r>
    </w:p>
    <w:p w14:paraId="200A071E">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（三）回购方案实际执行情况与原披露的回购方案是/否存在差异。</w:t>
      </w:r>
    </w:p>
    <w:p w14:paraId="77C84330">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如是，差异情况如下……产生差异的原因为……</w:t>
      </w:r>
    </w:p>
    <w:p w14:paraId="4A4A779D">
      <w:pPr>
        <w:autoSpaceDE w:val="0"/>
        <w:autoSpaceDN w:val="0"/>
        <w:adjustRightInd w:val="0"/>
        <w:spacing w:line="560" w:lineRule="exact"/>
        <w:ind w:firstLine="600" w:firstLineChars="200"/>
        <w:rPr>
          <w:rFonts w:ascii="楷体" w:hAnsi="楷体" w:eastAsia="楷体" w:cs="宋体-WinCharSetFFFF-H"/>
          <w:color w:val="000000"/>
          <w:kern w:val="0"/>
          <w:sz w:val="24"/>
          <w:szCs w:val="24"/>
        </w:rPr>
      </w:pPr>
      <w:r>
        <w:rPr>
          <w:rFonts w:hint="eastAsia" w:ascii="仿宋_GB2312" w:eastAsia="仿宋_GB2312"/>
          <w:color w:val="000000"/>
          <w:sz w:val="30"/>
          <w:szCs w:val="30"/>
        </w:rPr>
        <w:t>如否，说明：回购方案实际执行情况与原披露的回购方案不存在差异，公司已按披露的方案完成回购。</w:t>
      </w:r>
    </w:p>
    <w:p w14:paraId="7D2EAEBD">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（四）本次股份回购方案的实施对公司的影响</w:t>
      </w:r>
    </w:p>
    <w:p w14:paraId="56524E47">
      <w:pPr>
        <w:autoSpaceDE w:val="0"/>
        <w:autoSpaceDN w:val="0"/>
        <w:adjustRightInd w:val="0"/>
        <w:spacing w:line="560" w:lineRule="exact"/>
        <w:ind w:firstLine="602" w:firstLineChars="200"/>
        <w:outlineLvl w:val="0"/>
        <w:rPr>
          <w:rFonts w:ascii="黑体" w:hAnsi="黑体" w:eastAsia="黑体" w:cs="宋体-WinCharSetFFFF-H"/>
          <w:b/>
          <w:color w:val="000000"/>
          <w:kern w:val="0"/>
          <w:sz w:val="30"/>
          <w:szCs w:val="30"/>
        </w:rPr>
      </w:pPr>
    </w:p>
    <w:p w14:paraId="179C58CA">
      <w:pPr>
        <w:autoSpaceDE w:val="0"/>
        <w:autoSpaceDN w:val="0"/>
        <w:adjustRightInd w:val="0"/>
        <w:spacing w:line="560" w:lineRule="exact"/>
        <w:ind w:firstLine="602" w:firstLineChars="200"/>
        <w:outlineLvl w:val="0"/>
        <w:rPr>
          <w:rFonts w:ascii="黑体" w:hAnsi="黑体" w:eastAsia="黑体" w:cs="宋体-WinCharSetFFFF-H"/>
          <w:b/>
          <w:color w:val="000000"/>
          <w:kern w:val="0"/>
          <w:sz w:val="30"/>
          <w:szCs w:val="30"/>
        </w:rPr>
      </w:pPr>
      <w:r>
        <w:rPr>
          <w:rFonts w:hint="eastAsia" w:ascii="黑体" w:hAnsi="黑体" w:eastAsia="黑体" w:cs="宋体-WinCharSetFFFF-H"/>
          <w:b/>
          <w:color w:val="000000"/>
          <w:kern w:val="0"/>
          <w:sz w:val="30"/>
          <w:szCs w:val="30"/>
        </w:rPr>
        <w:t>三、回购期间相关主体买卖股票情况</w:t>
      </w:r>
    </w:p>
    <w:p w14:paraId="5C27F19D">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XXXX年XX月XX日，公司首次披露了回购股份事项，详见公司XXXX年-XX号公告。截至本公告披露前，董事、高级管理人员、控股股东、实际控制人、回购股份提议人在此期间买卖公司股票的情况及理由如下</w:t>
      </w:r>
    </w:p>
    <w:p w14:paraId="597CE979">
      <w:pPr>
        <w:autoSpaceDE w:val="0"/>
        <w:autoSpaceDN w:val="0"/>
        <w:adjustRightInd w:val="0"/>
        <w:spacing w:line="560" w:lineRule="exact"/>
        <w:ind w:firstLine="480" w:firstLineChars="200"/>
        <w:rPr>
          <w:rFonts w:ascii="楷体" w:hAnsi="楷体" w:eastAsia="楷体" w:cs="宋体-WinCharSetFFFF-H"/>
          <w:color w:val="000000"/>
          <w:kern w:val="0"/>
          <w:sz w:val="24"/>
          <w:szCs w:val="24"/>
        </w:rPr>
      </w:pPr>
      <w:r>
        <w:rPr>
          <w:rFonts w:hint="eastAsia" w:ascii="楷体" w:hAnsi="楷体" w:eastAsia="楷体" w:cs="宋体-WinCharSetFFFF-H"/>
          <w:color w:val="000000"/>
          <w:kern w:val="0"/>
          <w:sz w:val="24"/>
          <w:szCs w:val="24"/>
        </w:rPr>
        <w:t>（编制提醒：公司应当在公告中披露，董事、高级管理人员、控股股东、实际控制人、回购股份提议人，在公司首次披露回购股份事项之日起至发布回购结果暨股份变动公告前一日买卖股票的情况及理由。如上述主体在此期间未有买卖公司股票，也应当予</w:t>
      </w:r>
      <w:r>
        <w:rPr>
          <w:rFonts w:hint="eastAsia" w:ascii="楷体" w:hAnsi="楷体" w:eastAsia="楷体" w:cs="宋体-WinCharSetFFFF-H"/>
          <w:color w:val="000000"/>
          <w:kern w:val="0"/>
          <w:sz w:val="24"/>
          <w:szCs w:val="24"/>
          <w:lang w:eastAsia="zh-CN"/>
        </w:rPr>
        <w:t>以</w:t>
      </w:r>
      <w:r>
        <w:rPr>
          <w:rFonts w:hint="eastAsia" w:ascii="楷体" w:hAnsi="楷体" w:eastAsia="楷体" w:cs="宋体-WinCharSetFFFF-H"/>
          <w:color w:val="000000"/>
          <w:kern w:val="0"/>
          <w:sz w:val="24"/>
          <w:szCs w:val="24"/>
        </w:rPr>
        <w:t>说明）</w:t>
      </w:r>
    </w:p>
    <w:p w14:paraId="11A0BAA2">
      <w:pPr>
        <w:autoSpaceDE w:val="0"/>
        <w:autoSpaceDN w:val="0"/>
        <w:adjustRightInd w:val="0"/>
        <w:spacing w:line="560" w:lineRule="exact"/>
        <w:ind w:firstLine="480" w:firstLineChars="200"/>
        <w:rPr>
          <w:rFonts w:ascii="楷体" w:hAnsi="楷体" w:eastAsia="楷体" w:cs="宋体-WinCharSetFFFF-H"/>
          <w:color w:val="000000"/>
          <w:kern w:val="0"/>
          <w:sz w:val="24"/>
          <w:szCs w:val="24"/>
        </w:rPr>
      </w:pPr>
    </w:p>
    <w:p w14:paraId="2D5EDCF2">
      <w:pPr>
        <w:autoSpaceDE w:val="0"/>
        <w:autoSpaceDN w:val="0"/>
        <w:adjustRightInd w:val="0"/>
        <w:spacing w:line="560" w:lineRule="exact"/>
        <w:ind w:firstLine="602" w:firstLineChars="200"/>
        <w:outlineLvl w:val="0"/>
        <w:rPr>
          <w:rFonts w:ascii="黑体" w:hAnsi="黑体" w:eastAsia="黑体" w:cs="宋体-WinCharSetFFFF-H"/>
          <w:b/>
          <w:color w:val="000000"/>
          <w:kern w:val="0"/>
          <w:sz w:val="30"/>
          <w:szCs w:val="30"/>
        </w:rPr>
      </w:pPr>
      <w:r>
        <w:rPr>
          <w:rFonts w:hint="eastAsia" w:ascii="黑体" w:hAnsi="黑体" w:eastAsia="黑体" w:cs="宋体-WinCharSetFFFF-H"/>
          <w:b/>
          <w:color w:val="000000"/>
          <w:kern w:val="0"/>
          <w:sz w:val="30"/>
          <w:szCs w:val="30"/>
        </w:rPr>
        <w:t>四、股份注销安排（如适用）</w:t>
      </w:r>
    </w:p>
    <w:p w14:paraId="35EE658B">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经公司申请，公司将于XXXX年XX月XX日在中国证券登记结算有限责任公司注销本次所回购的股份XX股，并及时办理变更登记手续等相关事宜。</w:t>
      </w:r>
    </w:p>
    <w:p w14:paraId="55ED9BA7">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如公司在首次注销后，后续根据使用情况继续注销已回购股份的，还需披露此前注销的相关情况，包括已注销的股份数量、注销日期以及注销是否符合相关规定等。</w:t>
      </w:r>
    </w:p>
    <w:p w14:paraId="1EAB9755">
      <w:pPr>
        <w:autoSpaceDE w:val="0"/>
        <w:autoSpaceDN w:val="0"/>
        <w:adjustRightInd w:val="0"/>
        <w:spacing w:line="560" w:lineRule="exact"/>
        <w:ind w:firstLine="480" w:firstLineChars="200"/>
        <w:rPr>
          <w:rFonts w:ascii="楷体" w:hAnsi="楷体" w:eastAsia="楷体" w:cs="宋体-WinCharSetFFFF-H"/>
          <w:color w:val="000000"/>
          <w:kern w:val="0"/>
          <w:sz w:val="24"/>
          <w:szCs w:val="24"/>
        </w:rPr>
      </w:pPr>
      <w:r>
        <w:rPr>
          <w:rFonts w:hint="eastAsia" w:ascii="楷体" w:hAnsi="楷体" w:eastAsia="楷体" w:cs="宋体-WinCharSetFFFF-H"/>
          <w:color w:val="000000"/>
          <w:kern w:val="0"/>
          <w:sz w:val="24"/>
          <w:szCs w:val="24"/>
        </w:rPr>
        <w:t>（编制提醒：</w:t>
      </w:r>
    </w:p>
    <w:p w14:paraId="24A35AB5">
      <w:pPr>
        <w:autoSpaceDE w:val="0"/>
        <w:autoSpaceDN w:val="0"/>
        <w:adjustRightInd w:val="0"/>
        <w:spacing w:line="560" w:lineRule="exact"/>
        <w:ind w:firstLine="480" w:firstLineChars="200"/>
        <w:rPr>
          <w:rFonts w:ascii="楷体" w:hAnsi="楷体" w:eastAsia="楷体" w:cs="宋体-WinCharSetFFFF-H"/>
          <w:color w:val="000000"/>
          <w:kern w:val="0"/>
          <w:sz w:val="24"/>
          <w:szCs w:val="24"/>
        </w:rPr>
      </w:pPr>
      <w:r>
        <w:rPr>
          <w:rFonts w:hint="eastAsia" w:ascii="楷体" w:hAnsi="楷体" w:eastAsia="楷体" w:cs="宋体-WinCharSetFFFF-H"/>
          <w:color w:val="000000"/>
          <w:kern w:val="0"/>
          <w:sz w:val="24"/>
          <w:szCs w:val="24"/>
        </w:rPr>
        <w:t>1.公司回购股份用于减少注册资本的，应当在回购完成后按规定及时注销；</w:t>
      </w:r>
    </w:p>
    <w:p w14:paraId="533D9C79">
      <w:pPr>
        <w:autoSpaceDE w:val="0"/>
        <w:autoSpaceDN w:val="0"/>
        <w:adjustRightInd w:val="0"/>
        <w:spacing w:line="560" w:lineRule="exact"/>
        <w:ind w:firstLine="480" w:firstLineChars="200"/>
        <w:rPr>
          <w:rFonts w:ascii="楷体" w:hAnsi="楷体" w:eastAsia="楷体" w:cs="宋体-WinCharSetFFFF-H"/>
          <w:color w:val="000000"/>
          <w:kern w:val="0"/>
          <w:sz w:val="24"/>
          <w:szCs w:val="24"/>
        </w:rPr>
      </w:pPr>
      <w:r>
        <w:rPr>
          <w:rFonts w:hint="eastAsia" w:ascii="楷体" w:hAnsi="楷体" w:eastAsia="楷体" w:cs="宋体-WinCharSetFFFF-H"/>
          <w:color w:val="000000"/>
          <w:kern w:val="0"/>
          <w:sz w:val="24"/>
          <w:szCs w:val="24"/>
        </w:rPr>
        <w:t>2.公司在首次注销后，后续根据使用情况继续注销已回购股份的，应当另行单独披露股份注销公告，并说明此前注销的相关情况，包括已注销的股份数量、注销日期以及注销是否符合相关规定等。）</w:t>
      </w:r>
    </w:p>
    <w:p w14:paraId="5EEF93D6">
      <w:pPr>
        <w:autoSpaceDE w:val="0"/>
        <w:autoSpaceDN w:val="0"/>
        <w:adjustRightInd w:val="0"/>
        <w:spacing w:line="560" w:lineRule="exact"/>
        <w:ind w:firstLine="602" w:firstLineChars="200"/>
        <w:outlineLvl w:val="0"/>
        <w:rPr>
          <w:rFonts w:ascii="黑体" w:hAnsi="黑体" w:eastAsia="黑体" w:cs="宋体-WinCharSetFFFF-H"/>
          <w:b/>
          <w:color w:val="000000"/>
          <w:kern w:val="0"/>
          <w:sz w:val="30"/>
          <w:szCs w:val="30"/>
        </w:rPr>
      </w:pPr>
    </w:p>
    <w:p w14:paraId="57C3EB08">
      <w:pPr>
        <w:autoSpaceDE w:val="0"/>
        <w:autoSpaceDN w:val="0"/>
        <w:adjustRightInd w:val="0"/>
        <w:spacing w:line="560" w:lineRule="exact"/>
        <w:ind w:firstLine="602" w:firstLineChars="200"/>
        <w:outlineLvl w:val="0"/>
        <w:rPr>
          <w:rFonts w:ascii="黑体" w:hAnsi="黑体" w:eastAsia="黑体" w:cs="宋体-WinCharSetFFFF-H"/>
          <w:b/>
          <w:color w:val="000000"/>
          <w:kern w:val="0"/>
          <w:sz w:val="30"/>
          <w:szCs w:val="30"/>
        </w:rPr>
      </w:pPr>
      <w:r>
        <w:rPr>
          <w:rFonts w:hint="eastAsia" w:ascii="黑体" w:hAnsi="黑体" w:eastAsia="黑体" w:cs="宋体-WinCharSetFFFF-H"/>
          <w:b/>
          <w:color w:val="000000"/>
          <w:kern w:val="0"/>
          <w:sz w:val="30"/>
          <w:szCs w:val="30"/>
        </w:rPr>
        <w:t>五、股份变动表（如适用）</w:t>
      </w:r>
    </w:p>
    <w:p w14:paraId="55018BFD">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本次股份回购及注销前后，公司股份变动情况如下：</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1276"/>
        <w:gridCol w:w="992"/>
        <w:gridCol w:w="1417"/>
        <w:gridCol w:w="1418"/>
        <w:gridCol w:w="983"/>
        <w:gridCol w:w="910"/>
      </w:tblGrid>
      <w:tr w14:paraId="10088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vAlign w:val="center"/>
          </w:tcPr>
          <w:p w14:paraId="650AD1F5">
            <w:pPr>
              <w:autoSpaceDE w:val="0"/>
              <w:autoSpaceDN w:val="0"/>
              <w:adjustRightInd w:val="0"/>
              <w:snapToGrid w:val="0"/>
              <w:spacing w:before="156" w:beforeLines="50" w:after="156"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股份类别</w:t>
            </w:r>
          </w:p>
        </w:tc>
        <w:tc>
          <w:tcPr>
            <w:tcW w:w="2268" w:type="dxa"/>
            <w:gridSpan w:val="2"/>
          </w:tcPr>
          <w:p w14:paraId="3EE21553">
            <w:pPr>
              <w:autoSpaceDE w:val="0"/>
              <w:autoSpaceDN w:val="0"/>
              <w:adjustRightInd w:val="0"/>
              <w:snapToGrid w:val="0"/>
              <w:spacing w:before="156" w:beforeLines="50" w:after="156"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本次回购前</w:t>
            </w:r>
          </w:p>
        </w:tc>
        <w:tc>
          <w:tcPr>
            <w:tcW w:w="2835" w:type="dxa"/>
            <w:gridSpan w:val="2"/>
          </w:tcPr>
          <w:p w14:paraId="1594E813">
            <w:pPr>
              <w:autoSpaceDE w:val="0"/>
              <w:autoSpaceDN w:val="0"/>
              <w:adjustRightInd w:val="0"/>
              <w:snapToGrid w:val="0"/>
              <w:spacing w:before="156" w:beforeLines="50" w:after="156"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本次回购股份总数</w:t>
            </w:r>
          </w:p>
        </w:tc>
        <w:tc>
          <w:tcPr>
            <w:tcW w:w="1893" w:type="dxa"/>
            <w:gridSpan w:val="2"/>
          </w:tcPr>
          <w:p w14:paraId="2CFEFB58">
            <w:pPr>
              <w:autoSpaceDE w:val="0"/>
              <w:autoSpaceDN w:val="0"/>
              <w:adjustRightInd w:val="0"/>
              <w:snapToGrid w:val="0"/>
              <w:spacing w:before="156" w:beforeLines="50" w:after="156"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本次注销后</w:t>
            </w:r>
          </w:p>
        </w:tc>
      </w:tr>
      <w:tr w14:paraId="3AEC2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4BAF53A8">
            <w:pPr>
              <w:autoSpaceDE w:val="0"/>
              <w:autoSpaceDN w:val="0"/>
              <w:adjustRightInd w:val="0"/>
              <w:snapToGrid w:val="0"/>
              <w:spacing w:before="156" w:beforeLines="50" w:after="156" w:afterLines="50" w:line="560" w:lineRule="exact"/>
              <w:jc w:val="center"/>
              <w:rPr>
                <w:rFonts w:ascii="仿宋_GB2312" w:hAnsi="宋体" w:eastAsia="仿宋_GB2312" w:cs="宋体"/>
                <w:color w:val="000000"/>
                <w:kern w:val="0"/>
                <w:sz w:val="24"/>
                <w:szCs w:val="21"/>
              </w:rPr>
            </w:pPr>
          </w:p>
        </w:tc>
        <w:tc>
          <w:tcPr>
            <w:tcW w:w="1276" w:type="dxa"/>
          </w:tcPr>
          <w:p w14:paraId="5DA9204E">
            <w:pPr>
              <w:autoSpaceDE w:val="0"/>
              <w:autoSpaceDN w:val="0"/>
              <w:adjustRightInd w:val="0"/>
              <w:snapToGrid w:val="0"/>
              <w:spacing w:before="156" w:beforeLines="50" w:after="156"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股份数</w:t>
            </w:r>
          </w:p>
          <w:p w14:paraId="26E06FDB">
            <w:pPr>
              <w:autoSpaceDE w:val="0"/>
              <w:autoSpaceDN w:val="0"/>
              <w:adjustRightInd w:val="0"/>
              <w:snapToGrid w:val="0"/>
              <w:spacing w:before="156" w:beforeLines="50" w:after="156"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（股）</w:t>
            </w:r>
          </w:p>
        </w:tc>
        <w:tc>
          <w:tcPr>
            <w:tcW w:w="992" w:type="dxa"/>
          </w:tcPr>
          <w:p w14:paraId="23049D6A">
            <w:pPr>
              <w:autoSpaceDE w:val="0"/>
              <w:autoSpaceDN w:val="0"/>
              <w:adjustRightInd w:val="0"/>
              <w:snapToGrid w:val="0"/>
              <w:spacing w:before="156" w:beforeLines="50" w:after="156"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比例</w:t>
            </w:r>
          </w:p>
          <w:p w14:paraId="29FF9E92">
            <w:pPr>
              <w:autoSpaceDE w:val="0"/>
              <w:autoSpaceDN w:val="0"/>
              <w:adjustRightInd w:val="0"/>
              <w:snapToGrid w:val="0"/>
              <w:spacing w:before="156" w:beforeLines="50" w:after="156"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w:t>
            </w:r>
          </w:p>
        </w:tc>
        <w:tc>
          <w:tcPr>
            <w:tcW w:w="1417" w:type="dxa"/>
          </w:tcPr>
          <w:p w14:paraId="5EAEE328">
            <w:pPr>
              <w:autoSpaceDE w:val="0"/>
              <w:autoSpaceDN w:val="0"/>
              <w:adjustRightInd w:val="0"/>
              <w:snapToGrid w:val="0"/>
              <w:spacing w:before="156" w:beforeLines="50" w:after="156"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本次注销</w:t>
            </w:r>
          </w:p>
          <w:p w14:paraId="2E19C0B5">
            <w:pPr>
              <w:autoSpaceDE w:val="0"/>
              <w:autoSpaceDN w:val="0"/>
              <w:adjustRightInd w:val="0"/>
              <w:snapToGrid w:val="0"/>
              <w:spacing w:before="156" w:beforeLines="50" w:after="156"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股份</w:t>
            </w:r>
          </w:p>
          <w:p w14:paraId="0246F0CC">
            <w:pPr>
              <w:autoSpaceDE w:val="0"/>
              <w:autoSpaceDN w:val="0"/>
              <w:adjustRightInd w:val="0"/>
              <w:snapToGrid w:val="0"/>
              <w:spacing w:before="156" w:beforeLines="50" w:after="156"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（股）</w:t>
            </w:r>
          </w:p>
        </w:tc>
        <w:tc>
          <w:tcPr>
            <w:tcW w:w="1418" w:type="dxa"/>
          </w:tcPr>
          <w:p w14:paraId="2D85A741">
            <w:pPr>
              <w:autoSpaceDE w:val="0"/>
              <w:autoSpaceDN w:val="0"/>
              <w:adjustRightInd w:val="0"/>
              <w:snapToGrid w:val="0"/>
              <w:spacing w:before="156" w:beforeLines="50" w:after="156"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本次不注销</w:t>
            </w:r>
          </w:p>
          <w:p w14:paraId="06E4C318">
            <w:pPr>
              <w:autoSpaceDE w:val="0"/>
              <w:autoSpaceDN w:val="0"/>
              <w:adjustRightInd w:val="0"/>
              <w:snapToGrid w:val="0"/>
              <w:spacing w:before="156" w:beforeLines="50" w:after="156"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股份</w:t>
            </w:r>
          </w:p>
          <w:p w14:paraId="566CD849">
            <w:pPr>
              <w:autoSpaceDE w:val="0"/>
              <w:autoSpaceDN w:val="0"/>
              <w:adjustRightInd w:val="0"/>
              <w:snapToGrid w:val="0"/>
              <w:spacing w:before="156" w:beforeLines="50" w:after="156"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（股）</w:t>
            </w:r>
          </w:p>
        </w:tc>
        <w:tc>
          <w:tcPr>
            <w:tcW w:w="983" w:type="dxa"/>
          </w:tcPr>
          <w:p w14:paraId="7BC37781">
            <w:pPr>
              <w:autoSpaceDE w:val="0"/>
              <w:autoSpaceDN w:val="0"/>
              <w:adjustRightInd w:val="0"/>
              <w:snapToGrid w:val="0"/>
              <w:spacing w:before="156" w:beforeLines="50" w:after="156"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股份数</w:t>
            </w:r>
          </w:p>
          <w:p w14:paraId="1D129F36">
            <w:pPr>
              <w:autoSpaceDE w:val="0"/>
              <w:autoSpaceDN w:val="0"/>
              <w:adjustRightInd w:val="0"/>
              <w:snapToGrid w:val="0"/>
              <w:spacing w:before="156" w:beforeLines="50" w:after="156"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（股）</w:t>
            </w:r>
          </w:p>
        </w:tc>
        <w:tc>
          <w:tcPr>
            <w:tcW w:w="910" w:type="dxa"/>
          </w:tcPr>
          <w:p w14:paraId="0A24339E">
            <w:pPr>
              <w:autoSpaceDE w:val="0"/>
              <w:autoSpaceDN w:val="0"/>
              <w:adjustRightInd w:val="0"/>
              <w:snapToGrid w:val="0"/>
              <w:spacing w:before="156" w:beforeLines="50" w:after="156"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比例</w:t>
            </w:r>
          </w:p>
          <w:p w14:paraId="079930E1">
            <w:pPr>
              <w:autoSpaceDE w:val="0"/>
              <w:autoSpaceDN w:val="0"/>
              <w:adjustRightInd w:val="0"/>
              <w:snapToGrid w:val="0"/>
              <w:spacing w:before="156" w:beforeLines="50" w:after="156"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w:t>
            </w:r>
          </w:p>
        </w:tc>
      </w:tr>
      <w:tr w14:paraId="1332B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14:paraId="477B7A4E">
            <w:pPr>
              <w:autoSpaceDE w:val="0"/>
              <w:autoSpaceDN w:val="0"/>
              <w:adjustRightInd w:val="0"/>
              <w:snapToGrid w:val="0"/>
              <w:spacing w:before="156" w:beforeLines="50" w:after="156"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有限售股份</w:t>
            </w:r>
          </w:p>
        </w:tc>
        <w:tc>
          <w:tcPr>
            <w:tcW w:w="1276" w:type="dxa"/>
          </w:tcPr>
          <w:p w14:paraId="2647BFF2">
            <w:pPr>
              <w:autoSpaceDE w:val="0"/>
              <w:autoSpaceDN w:val="0"/>
              <w:adjustRightInd w:val="0"/>
              <w:snapToGrid w:val="0"/>
              <w:spacing w:before="156" w:beforeLines="50" w:after="156" w:afterLines="50" w:line="560" w:lineRule="exact"/>
              <w:jc w:val="center"/>
              <w:rPr>
                <w:rFonts w:ascii="仿宋_GB2312" w:hAnsi="宋体" w:eastAsia="仿宋_GB2312" w:cs="宋体"/>
                <w:color w:val="000000"/>
                <w:kern w:val="0"/>
                <w:sz w:val="24"/>
                <w:szCs w:val="21"/>
              </w:rPr>
            </w:pPr>
          </w:p>
        </w:tc>
        <w:tc>
          <w:tcPr>
            <w:tcW w:w="992" w:type="dxa"/>
          </w:tcPr>
          <w:p w14:paraId="46E599A2">
            <w:pPr>
              <w:autoSpaceDE w:val="0"/>
              <w:autoSpaceDN w:val="0"/>
              <w:adjustRightInd w:val="0"/>
              <w:snapToGrid w:val="0"/>
              <w:spacing w:before="156" w:beforeLines="50" w:after="156" w:afterLines="50" w:line="560" w:lineRule="exact"/>
              <w:jc w:val="center"/>
              <w:rPr>
                <w:rFonts w:ascii="仿宋_GB2312" w:hAnsi="宋体" w:eastAsia="仿宋_GB2312" w:cs="宋体"/>
                <w:color w:val="000000"/>
                <w:kern w:val="0"/>
                <w:sz w:val="24"/>
                <w:szCs w:val="21"/>
              </w:rPr>
            </w:pPr>
          </w:p>
        </w:tc>
        <w:tc>
          <w:tcPr>
            <w:tcW w:w="1417" w:type="dxa"/>
          </w:tcPr>
          <w:p w14:paraId="2397EE49">
            <w:pPr>
              <w:autoSpaceDE w:val="0"/>
              <w:autoSpaceDN w:val="0"/>
              <w:adjustRightInd w:val="0"/>
              <w:snapToGrid w:val="0"/>
              <w:spacing w:before="156" w:beforeLines="50" w:after="156" w:afterLines="50" w:line="560" w:lineRule="exact"/>
              <w:jc w:val="center"/>
              <w:rPr>
                <w:rFonts w:ascii="仿宋_GB2312" w:hAnsi="宋体" w:eastAsia="仿宋_GB2312" w:cs="宋体"/>
                <w:color w:val="000000"/>
                <w:kern w:val="0"/>
                <w:sz w:val="24"/>
                <w:szCs w:val="21"/>
              </w:rPr>
            </w:pPr>
          </w:p>
        </w:tc>
        <w:tc>
          <w:tcPr>
            <w:tcW w:w="1418" w:type="dxa"/>
          </w:tcPr>
          <w:p w14:paraId="5D6A0DA3">
            <w:pPr>
              <w:autoSpaceDE w:val="0"/>
              <w:autoSpaceDN w:val="0"/>
              <w:adjustRightInd w:val="0"/>
              <w:snapToGrid w:val="0"/>
              <w:spacing w:before="156" w:beforeLines="50" w:after="156" w:afterLines="50" w:line="560" w:lineRule="exact"/>
              <w:jc w:val="center"/>
              <w:rPr>
                <w:rFonts w:ascii="仿宋_GB2312" w:hAnsi="宋体" w:eastAsia="仿宋_GB2312" w:cs="宋体"/>
                <w:color w:val="000000"/>
                <w:kern w:val="0"/>
                <w:sz w:val="24"/>
                <w:szCs w:val="21"/>
              </w:rPr>
            </w:pPr>
          </w:p>
        </w:tc>
        <w:tc>
          <w:tcPr>
            <w:tcW w:w="983" w:type="dxa"/>
          </w:tcPr>
          <w:p w14:paraId="5BB5009E">
            <w:pPr>
              <w:autoSpaceDE w:val="0"/>
              <w:autoSpaceDN w:val="0"/>
              <w:adjustRightInd w:val="0"/>
              <w:snapToGrid w:val="0"/>
              <w:spacing w:before="156" w:beforeLines="50" w:after="156" w:afterLines="50" w:line="560" w:lineRule="exact"/>
              <w:jc w:val="center"/>
              <w:rPr>
                <w:rFonts w:ascii="仿宋_GB2312" w:hAnsi="宋体" w:eastAsia="仿宋_GB2312" w:cs="宋体"/>
                <w:color w:val="000000"/>
                <w:kern w:val="0"/>
                <w:sz w:val="24"/>
                <w:szCs w:val="21"/>
              </w:rPr>
            </w:pPr>
          </w:p>
        </w:tc>
        <w:tc>
          <w:tcPr>
            <w:tcW w:w="910" w:type="dxa"/>
          </w:tcPr>
          <w:p w14:paraId="4E17A755">
            <w:pPr>
              <w:autoSpaceDE w:val="0"/>
              <w:autoSpaceDN w:val="0"/>
              <w:adjustRightInd w:val="0"/>
              <w:snapToGrid w:val="0"/>
              <w:spacing w:before="156" w:beforeLines="50" w:after="156" w:afterLines="50" w:line="560" w:lineRule="exact"/>
              <w:jc w:val="center"/>
              <w:rPr>
                <w:rFonts w:ascii="仿宋_GB2312" w:hAnsi="宋体" w:eastAsia="仿宋_GB2312" w:cs="宋体"/>
                <w:color w:val="000000"/>
                <w:kern w:val="0"/>
                <w:sz w:val="24"/>
                <w:szCs w:val="21"/>
              </w:rPr>
            </w:pPr>
          </w:p>
        </w:tc>
      </w:tr>
      <w:tr w14:paraId="0B905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14:paraId="03BFACE8">
            <w:pPr>
              <w:autoSpaceDE w:val="0"/>
              <w:autoSpaceDN w:val="0"/>
              <w:adjustRightInd w:val="0"/>
              <w:snapToGrid w:val="0"/>
              <w:spacing w:before="156" w:beforeLines="50" w:after="156"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无限售股份</w:t>
            </w:r>
          </w:p>
        </w:tc>
        <w:tc>
          <w:tcPr>
            <w:tcW w:w="1276" w:type="dxa"/>
          </w:tcPr>
          <w:p w14:paraId="071A6A9B">
            <w:pPr>
              <w:autoSpaceDE w:val="0"/>
              <w:autoSpaceDN w:val="0"/>
              <w:adjustRightInd w:val="0"/>
              <w:snapToGrid w:val="0"/>
              <w:spacing w:before="156" w:beforeLines="50" w:after="156" w:afterLines="50" w:line="560" w:lineRule="exact"/>
              <w:jc w:val="center"/>
              <w:rPr>
                <w:rFonts w:ascii="仿宋_GB2312" w:hAnsi="宋体" w:eastAsia="仿宋_GB2312" w:cs="宋体"/>
                <w:color w:val="000000"/>
                <w:kern w:val="0"/>
                <w:sz w:val="24"/>
                <w:szCs w:val="21"/>
              </w:rPr>
            </w:pPr>
          </w:p>
        </w:tc>
        <w:tc>
          <w:tcPr>
            <w:tcW w:w="992" w:type="dxa"/>
          </w:tcPr>
          <w:p w14:paraId="233FD7E7">
            <w:pPr>
              <w:autoSpaceDE w:val="0"/>
              <w:autoSpaceDN w:val="0"/>
              <w:adjustRightInd w:val="0"/>
              <w:snapToGrid w:val="0"/>
              <w:spacing w:before="156" w:beforeLines="50" w:after="156" w:afterLines="50" w:line="560" w:lineRule="exact"/>
              <w:jc w:val="center"/>
              <w:rPr>
                <w:rFonts w:ascii="仿宋_GB2312" w:hAnsi="宋体" w:eastAsia="仿宋_GB2312" w:cs="宋体"/>
                <w:color w:val="000000"/>
                <w:kern w:val="0"/>
                <w:sz w:val="24"/>
                <w:szCs w:val="21"/>
              </w:rPr>
            </w:pPr>
          </w:p>
        </w:tc>
        <w:tc>
          <w:tcPr>
            <w:tcW w:w="1417" w:type="dxa"/>
          </w:tcPr>
          <w:p w14:paraId="63CA457B">
            <w:pPr>
              <w:autoSpaceDE w:val="0"/>
              <w:autoSpaceDN w:val="0"/>
              <w:adjustRightInd w:val="0"/>
              <w:snapToGrid w:val="0"/>
              <w:spacing w:before="156" w:beforeLines="50" w:after="156" w:afterLines="50" w:line="560" w:lineRule="exact"/>
              <w:jc w:val="center"/>
              <w:rPr>
                <w:rFonts w:ascii="仿宋_GB2312" w:hAnsi="宋体" w:eastAsia="仿宋_GB2312" w:cs="宋体"/>
                <w:color w:val="000000"/>
                <w:kern w:val="0"/>
                <w:sz w:val="24"/>
                <w:szCs w:val="21"/>
              </w:rPr>
            </w:pPr>
          </w:p>
        </w:tc>
        <w:tc>
          <w:tcPr>
            <w:tcW w:w="1418" w:type="dxa"/>
          </w:tcPr>
          <w:p w14:paraId="0314189D">
            <w:pPr>
              <w:autoSpaceDE w:val="0"/>
              <w:autoSpaceDN w:val="0"/>
              <w:adjustRightInd w:val="0"/>
              <w:snapToGrid w:val="0"/>
              <w:spacing w:before="156" w:beforeLines="50" w:after="156" w:afterLines="50" w:line="560" w:lineRule="exact"/>
              <w:jc w:val="center"/>
              <w:rPr>
                <w:rFonts w:ascii="仿宋_GB2312" w:hAnsi="宋体" w:eastAsia="仿宋_GB2312" w:cs="宋体"/>
                <w:color w:val="000000"/>
                <w:kern w:val="0"/>
                <w:sz w:val="24"/>
                <w:szCs w:val="21"/>
              </w:rPr>
            </w:pPr>
          </w:p>
        </w:tc>
        <w:tc>
          <w:tcPr>
            <w:tcW w:w="983" w:type="dxa"/>
          </w:tcPr>
          <w:p w14:paraId="214FAD2F">
            <w:pPr>
              <w:autoSpaceDE w:val="0"/>
              <w:autoSpaceDN w:val="0"/>
              <w:adjustRightInd w:val="0"/>
              <w:snapToGrid w:val="0"/>
              <w:spacing w:before="156" w:beforeLines="50" w:after="156" w:afterLines="50" w:line="560" w:lineRule="exact"/>
              <w:jc w:val="center"/>
              <w:rPr>
                <w:rFonts w:ascii="仿宋_GB2312" w:hAnsi="宋体" w:eastAsia="仿宋_GB2312" w:cs="宋体"/>
                <w:color w:val="000000"/>
                <w:kern w:val="0"/>
                <w:sz w:val="24"/>
                <w:szCs w:val="21"/>
              </w:rPr>
            </w:pPr>
          </w:p>
        </w:tc>
        <w:tc>
          <w:tcPr>
            <w:tcW w:w="910" w:type="dxa"/>
          </w:tcPr>
          <w:p w14:paraId="2B46CE51">
            <w:pPr>
              <w:autoSpaceDE w:val="0"/>
              <w:autoSpaceDN w:val="0"/>
              <w:adjustRightInd w:val="0"/>
              <w:snapToGrid w:val="0"/>
              <w:spacing w:before="156" w:beforeLines="50" w:after="156" w:afterLines="50" w:line="560" w:lineRule="exact"/>
              <w:jc w:val="center"/>
              <w:rPr>
                <w:rFonts w:ascii="仿宋_GB2312" w:hAnsi="宋体" w:eastAsia="仿宋_GB2312" w:cs="宋体"/>
                <w:color w:val="000000"/>
                <w:kern w:val="0"/>
                <w:sz w:val="24"/>
                <w:szCs w:val="21"/>
              </w:rPr>
            </w:pPr>
          </w:p>
        </w:tc>
      </w:tr>
      <w:tr w14:paraId="742BB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14:paraId="4C90E5BE">
            <w:pPr>
              <w:autoSpaceDE w:val="0"/>
              <w:autoSpaceDN w:val="0"/>
              <w:adjustRightInd w:val="0"/>
              <w:snapToGrid w:val="0"/>
              <w:spacing w:before="156" w:beforeLines="50" w:after="156" w:afterLines="50" w:line="560" w:lineRule="exact"/>
              <w:jc w:val="center"/>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股份总数</w:t>
            </w:r>
          </w:p>
        </w:tc>
        <w:tc>
          <w:tcPr>
            <w:tcW w:w="1276" w:type="dxa"/>
          </w:tcPr>
          <w:p w14:paraId="5375AD5B">
            <w:pPr>
              <w:autoSpaceDE w:val="0"/>
              <w:autoSpaceDN w:val="0"/>
              <w:adjustRightInd w:val="0"/>
              <w:snapToGrid w:val="0"/>
              <w:spacing w:before="156" w:beforeLines="50" w:after="156" w:afterLines="50" w:line="560" w:lineRule="exact"/>
              <w:jc w:val="center"/>
              <w:rPr>
                <w:rFonts w:ascii="仿宋_GB2312" w:hAnsi="宋体" w:eastAsia="仿宋_GB2312" w:cs="宋体"/>
                <w:color w:val="000000"/>
                <w:kern w:val="0"/>
                <w:sz w:val="24"/>
                <w:szCs w:val="21"/>
              </w:rPr>
            </w:pPr>
          </w:p>
        </w:tc>
        <w:tc>
          <w:tcPr>
            <w:tcW w:w="992" w:type="dxa"/>
          </w:tcPr>
          <w:p w14:paraId="4CDA2826">
            <w:pPr>
              <w:autoSpaceDE w:val="0"/>
              <w:autoSpaceDN w:val="0"/>
              <w:adjustRightInd w:val="0"/>
              <w:snapToGrid w:val="0"/>
              <w:spacing w:before="156" w:beforeLines="50" w:after="156" w:afterLines="50" w:line="560" w:lineRule="exact"/>
              <w:jc w:val="center"/>
              <w:rPr>
                <w:rFonts w:ascii="仿宋_GB2312" w:hAnsi="宋体" w:eastAsia="仿宋_GB2312" w:cs="宋体"/>
                <w:color w:val="000000"/>
                <w:kern w:val="0"/>
                <w:sz w:val="24"/>
                <w:szCs w:val="21"/>
              </w:rPr>
            </w:pPr>
          </w:p>
        </w:tc>
        <w:tc>
          <w:tcPr>
            <w:tcW w:w="2835" w:type="dxa"/>
            <w:gridSpan w:val="2"/>
          </w:tcPr>
          <w:p w14:paraId="3B361FB1">
            <w:pPr>
              <w:autoSpaceDE w:val="0"/>
              <w:autoSpaceDN w:val="0"/>
              <w:adjustRightInd w:val="0"/>
              <w:snapToGrid w:val="0"/>
              <w:spacing w:before="156" w:beforeLines="50" w:after="156" w:afterLines="50" w:line="560" w:lineRule="exact"/>
              <w:jc w:val="center"/>
              <w:rPr>
                <w:rFonts w:ascii="仿宋_GB2312" w:hAnsi="宋体" w:eastAsia="仿宋_GB2312" w:cs="宋体"/>
                <w:color w:val="000000"/>
                <w:kern w:val="0"/>
                <w:sz w:val="24"/>
                <w:szCs w:val="21"/>
              </w:rPr>
            </w:pPr>
          </w:p>
        </w:tc>
        <w:tc>
          <w:tcPr>
            <w:tcW w:w="983" w:type="dxa"/>
          </w:tcPr>
          <w:p w14:paraId="76BA43C6">
            <w:pPr>
              <w:autoSpaceDE w:val="0"/>
              <w:autoSpaceDN w:val="0"/>
              <w:adjustRightInd w:val="0"/>
              <w:snapToGrid w:val="0"/>
              <w:spacing w:before="156" w:beforeLines="50" w:after="156" w:afterLines="50" w:line="560" w:lineRule="exact"/>
              <w:jc w:val="center"/>
              <w:rPr>
                <w:rFonts w:ascii="仿宋_GB2312" w:hAnsi="宋体" w:eastAsia="仿宋_GB2312" w:cs="宋体"/>
                <w:color w:val="000000"/>
                <w:kern w:val="0"/>
                <w:sz w:val="24"/>
                <w:szCs w:val="21"/>
              </w:rPr>
            </w:pPr>
          </w:p>
        </w:tc>
        <w:tc>
          <w:tcPr>
            <w:tcW w:w="910" w:type="dxa"/>
          </w:tcPr>
          <w:p w14:paraId="77009C31">
            <w:pPr>
              <w:autoSpaceDE w:val="0"/>
              <w:autoSpaceDN w:val="0"/>
              <w:adjustRightInd w:val="0"/>
              <w:snapToGrid w:val="0"/>
              <w:spacing w:before="156" w:beforeLines="50" w:after="156" w:afterLines="50" w:line="560" w:lineRule="exact"/>
              <w:jc w:val="center"/>
              <w:rPr>
                <w:rFonts w:ascii="仿宋_GB2312" w:hAnsi="宋体" w:eastAsia="仿宋_GB2312" w:cs="宋体"/>
                <w:color w:val="000000"/>
                <w:kern w:val="0"/>
                <w:sz w:val="24"/>
                <w:szCs w:val="21"/>
              </w:rPr>
            </w:pPr>
          </w:p>
        </w:tc>
      </w:tr>
    </w:tbl>
    <w:p w14:paraId="264FB6D4">
      <w:pPr>
        <w:autoSpaceDE w:val="0"/>
        <w:autoSpaceDN w:val="0"/>
        <w:adjustRightInd w:val="0"/>
        <w:spacing w:line="560" w:lineRule="exact"/>
        <w:ind w:firstLine="602" w:firstLineChars="200"/>
        <w:outlineLvl w:val="0"/>
        <w:rPr>
          <w:rFonts w:ascii="黑体" w:hAnsi="黑体" w:eastAsia="黑体" w:cs="宋体-WinCharSetFFFF-H"/>
          <w:b/>
          <w:color w:val="000000"/>
          <w:kern w:val="0"/>
          <w:sz w:val="30"/>
          <w:szCs w:val="30"/>
        </w:rPr>
      </w:pPr>
    </w:p>
    <w:p w14:paraId="0577C6D9">
      <w:pPr>
        <w:snapToGrid w:val="0"/>
        <w:spacing w:line="560" w:lineRule="exact"/>
        <w:ind w:firstLine="602" w:firstLineChars="200"/>
        <w:rPr>
          <w:rFonts w:ascii="黑体" w:hAnsi="黑体" w:eastAsia="黑体"/>
          <w:b/>
          <w:sz w:val="30"/>
          <w:szCs w:val="30"/>
        </w:rPr>
      </w:pPr>
      <w:r>
        <w:rPr>
          <w:rFonts w:hint="eastAsia" w:ascii="黑体" w:hAnsi="黑体" w:eastAsia="黑体"/>
          <w:b/>
          <w:sz w:val="30"/>
          <w:szCs w:val="30"/>
        </w:rPr>
        <w:t>六、回购注销后公司相关股东持股变化</w:t>
      </w:r>
      <w:r>
        <w:rPr>
          <w:rFonts w:hint="eastAsia" w:ascii="黑体" w:hAnsi="黑体" w:eastAsia="黑体" w:cs="宋体-WinCharSetFFFF-H"/>
          <w:b/>
          <w:color w:val="000000"/>
          <w:kern w:val="0"/>
          <w:sz w:val="30"/>
          <w:szCs w:val="30"/>
        </w:rPr>
        <w:t>（如适用）</w:t>
      </w:r>
    </w:p>
    <w:p w14:paraId="4785B0E6">
      <w:pPr>
        <w:adjustRightInd w:val="0"/>
        <w:snapToGrid w:val="0"/>
        <w:spacing w:line="560" w:lineRule="exact"/>
        <w:ind w:firstLine="600" w:firstLineChars="200"/>
        <w:rPr>
          <w:rFonts w:ascii="仿宋" w:hAnsi="仿宋" w:eastAsia="仿宋_GB2312"/>
          <w:sz w:val="30"/>
          <w:szCs w:val="30"/>
        </w:rPr>
      </w:pPr>
      <w:r>
        <w:rPr>
          <w:rFonts w:hint="eastAsia" w:ascii="Times New Roman" w:hAnsi="Times New Roman" w:eastAsia="仿宋_GB2312"/>
          <w:color w:val="000000"/>
          <w:sz w:val="30"/>
          <w:szCs w:val="30"/>
        </w:rPr>
        <w:t>上市公司回购注销股份，可能导致股东及其一致行动人拥有权益的股份比例触及或者跨越</w:t>
      </w:r>
      <w:r>
        <w:rPr>
          <w:rFonts w:ascii="Times New Roman" w:hAnsi="Times New Roman" w:eastAsia="仿宋_GB2312"/>
          <w:color w:val="000000"/>
          <w:sz w:val="30"/>
          <w:szCs w:val="30"/>
        </w:rPr>
        <w:t>5%</w:t>
      </w:r>
      <w:r>
        <w:rPr>
          <w:rFonts w:hint="eastAsia" w:ascii="Times New Roman" w:hAnsi="Times New Roman" w:eastAsia="仿宋_GB2312"/>
          <w:color w:val="000000"/>
          <w:sz w:val="30"/>
          <w:szCs w:val="30"/>
        </w:rPr>
        <w:t>及</w:t>
      </w:r>
      <w:r>
        <w:rPr>
          <w:rFonts w:ascii="Times New Roman" w:hAnsi="Times New Roman" w:eastAsia="仿宋_GB2312"/>
          <w:color w:val="000000"/>
          <w:sz w:val="30"/>
          <w:szCs w:val="30"/>
        </w:rPr>
        <w:t>5%</w:t>
      </w:r>
      <w:r>
        <w:rPr>
          <w:rFonts w:hint="eastAsia" w:ascii="Times New Roman" w:hAnsi="Times New Roman" w:eastAsia="仿宋_GB2312"/>
          <w:color w:val="000000"/>
          <w:sz w:val="30"/>
          <w:szCs w:val="30"/>
        </w:rPr>
        <w:t>的整数倍，或者导致持股</w:t>
      </w:r>
      <w:r>
        <w:rPr>
          <w:rFonts w:ascii="Times New Roman" w:hAnsi="Times New Roman" w:eastAsia="仿宋_GB2312"/>
          <w:color w:val="000000"/>
          <w:sz w:val="30"/>
          <w:szCs w:val="30"/>
        </w:rPr>
        <w:t>5%</w:t>
      </w:r>
      <w:r>
        <w:rPr>
          <w:rFonts w:hint="eastAsia" w:ascii="Times New Roman" w:hAnsi="Times New Roman" w:eastAsia="仿宋_GB2312"/>
          <w:color w:val="000000"/>
          <w:sz w:val="30"/>
          <w:szCs w:val="30"/>
        </w:rPr>
        <w:t>以上的股东及其一致行动人拥有权益的股份比例触及</w:t>
      </w:r>
      <w:r>
        <w:rPr>
          <w:rFonts w:ascii="Times New Roman" w:hAnsi="Times New Roman" w:eastAsia="仿宋_GB2312"/>
          <w:color w:val="000000"/>
          <w:sz w:val="30"/>
          <w:szCs w:val="30"/>
        </w:rPr>
        <w:t>1%</w:t>
      </w:r>
      <w:r>
        <w:rPr>
          <w:rFonts w:hint="eastAsia" w:ascii="Times New Roman" w:hAnsi="Times New Roman" w:eastAsia="仿宋_GB2312"/>
          <w:color w:val="000000"/>
          <w:sz w:val="30"/>
          <w:szCs w:val="30"/>
        </w:rPr>
        <w:t>的整数倍。存在前述情况的，公司应当</w:t>
      </w:r>
      <w:r>
        <w:rPr>
          <w:rFonts w:hint="eastAsia" w:ascii="仿宋" w:hAnsi="仿宋" w:eastAsia="仿宋_GB2312"/>
          <w:bCs/>
          <w:sz w:val="30"/>
          <w:szCs w:val="30"/>
        </w:rPr>
        <w:t>列示注销前后，上述股东及其一致行动人的持股数量和持股比例变动情况。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15" w:type="dxa"/>
          <w:left w:w="15" w:type="dxa"/>
          <w:bottom w:w="15" w:type="dxa"/>
          <w:right w:w="15" w:type="dxa"/>
        </w:tblCellMar>
      </w:tblPr>
      <w:tblGrid>
        <w:gridCol w:w="2830"/>
        <w:gridCol w:w="1418"/>
        <w:gridCol w:w="1417"/>
        <w:gridCol w:w="1248"/>
        <w:gridCol w:w="1438"/>
      </w:tblGrid>
      <w:tr w14:paraId="0B39F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5" w:type="dxa"/>
            <w:left w:w="15" w:type="dxa"/>
            <w:bottom w:w="15" w:type="dxa"/>
            <w:right w:w="15" w:type="dxa"/>
          </w:tblCellMar>
        </w:tblPrEx>
        <w:tc>
          <w:tcPr>
            <w:tcW w:w="2830" w:type="dxa"/>
            <w:shd w:val="clear" w:color="auto" w:fill="FFFFFF" w:themeFill="background1"/>
            <w:tcMar>
              <w:top w:w="0" w:type="dxa"/>
              <w:left w:w="30" w:type="dxa"/>
              <w:bottom w:w="0" w:type="dxa"/>
              <w:right w:w="30" w:type="dxa"/>
            </w:tcMar>
            <w:vAlign w:val="center"/>
          </w:tcPr>
          <w:p w14:paraId="444F8913">
            <w:pPr>
              <w:adjustRightInd w:val="0"/>
              <w:snapToGrid w:val="0"/>
              <w:spacing w:line="360" w:lineRule="auto"/>
              <w:jc w:val="center"/>
              <w:rPr>
                <w:rFonts w:ascii="仿宋_GB2312" w:hAnsi="仿宋" w:eastAsia="仿宋_GB2312"/>
                <w:sz w:val="24"/>
                <w:szCs w:val="24"/>
              </w:rPr>
            </w:pPr>
            <w:bookmarkStart w:id="1" w:name="OLE_LINK4"/>
            <w:r>
              <w:rPr>
                <w:rFonts w:hint="eastAsia" w:ascii="仿宋_GB2312" w:hAnsi="仿宋" w:eastAsia="仿宋_GB2312"/>
                <w:szCs w:val="21"/>
              </w:rPr>
              <w:t>股东名称</w:t>
            </w:r>
          </w:p>
        </w:tc>
        <w:tc>
          <w:tcPr>
            <w:tcW w:w="1418" w:type="dxa"/>
            <w:shd w:val="clear" w:color="auto" w:fill="FFFFFF" w:themeFill="background1"/>
            <w:tcMar>
              <w:top w:w="0" w:type="dxa"/>
              <w:left w:w="30" w:type="dxa"/>
              <w:bottom w:w="0" w:type="dxa"/>
              <w:right w:w="30" w:type="dxa"/>
            </w:tcMar>
            <w:vAlign w:val="center"/>
          </w:tcPr>
          <w:p w14:paraId="2C3BA72B">
            <w:pPr>
              <w:adjustRightInd w:val="0"/>
              <w:snapToGrid w:val="0"/>
              <w:spacing w:line="360" w:lineRule="auto"/>
              <w:jc w:val="center"/>
              <w:rPr>
                <w:rFonts w:ascii="仿宋_GB2312" w:hAnsi="楷体" w:eastAsia="仿宋_GB2312" w:cs="楷体"/>
                <w:szCs w:val="20"/>
              </w:rPr>
            </w:pPr>
            <w:r>
              <w:rPr>
                <w:rFonts w:hint="eastAsia" w:ascii="仿宋_GB2312" w:hAnsi="楷体" w:eastAsia="仿宋_GB2312" w:cs="楷体"/>
                <w:szCs w:val="21"/>
              </w:rPr>
              <w:t>变动前持股数量（股）</w:t>
            </w:r>
          </w:p>
        </w:tc>
        <w:tc>
          <w:tcPr>
            <w:tcW w:w="1417" w:type="dxa"/>
            <w:shd w:val="clear" w:color="auto" w:fill="FFFFFF" w:themeFill="background1"/>
            <w:tcMar>
              <w:top w:w="0" w:type="dxa"/>
              <w:left w:w="30" w:type="dxa"/>
              <w:bottom w:w="0" w:type="dxa"/>
              <w:right w:w="30" w:type="dxa"/>
            </w:tcMar>
            <w:vAlign w:val="center"/>
          </w:tcPr>
          <w:p w14:paraId="248B569F">
            <w:pPr>
              <w:adjustRightInd w:val="0"/>
              <w:snapToGrid w:val="0"/>
              <w:spacing w:line="360" w:lineRule="auto"/>
              <w:jc w:val="center"/>
              <w:rPr>
                <w:rFonts w:ascii="仿宋_GB2312" w:hAnsi="楷体" w:eastAsia="仿宋_GB2312" w:cs="楷体"/>
                <w:szCs w:val="20"/>
              </w:rPr>
            </w:pPr>
            <w:r>
              <w:rPr>
                <w:rFonts w:hint="eastAsia" w:ascii="仿宋_GB2312" w:hAnsi="楷体" w:eastAsia="仿宋_GB2312" w:cs="楷体"/>
                <w:szCs w:val="21"/>
              </w:rPr>
              <w:t>变动前持股比例（%）</w:t>
            </w:r>
          </w:p>
        </w:tc>
        <w:tc>
          <w:tcPr>
            <w:tcW w:w="1248" w:type="dxa"/>
            <w:shd w:val="clear" w:color="auto" w:fill="FFFFFF" w:themeFill="background1"/>
          </w:tcPr>
          <w:p w14:paraId="2885371D">
            <w:pPr>
              <w:adjustRightInd w:val="0"/>
              <w:snapToGrid w:val="0"/>
              <w:spacing w:line="360" w:lineRule="auto"/>
              <w:jc w:val="center"/>
              <w:rPr>
                <w:rFonts w:ascii="仿宋_GB2312" w:hAnsi="楷体" w:eastAsia="仿宋_GB2312" w:cs="楷体"/>
                <w:szCs w:val="20"/>
              </w:rPr>
            </w:pPr>
            <w:r>
              <w:rPr>
                <w:rFonts w:hint="eastAsia" w:ascii="仿宋_GB2312" w:hAnsi="楷体" w:eastAsia="仿宋_GB2312" w:cs="楷体"/>
                <w:szCs w:val="21"/>
              </w:rPr>
              <w:t>变动后持股数量（股）</w:t>
            </w:r>
          </w:p>
        </w:tc>
        <w:tc>
          <w:tcPr>
            <w:tcW w:w="0" w:type="auto"/>
            <w:shd w:val="clear" w:color="auto" w:fill="FFFFFF" w:themeFill="background1"/>
          </w:tcPr>
          <w:p w14:paraId="017E1755">
            <w:pPr>
              <w:adjustRightInd w:val="0"/>
              <w:snapToGrid w:val="0"/>
              <w:spacing w:line="360" w:lineRule="auto"/>
              <w:jc w:val="center"/>
              <w:rPr>
                <w:rFonts w:ascii="仿宋_GB2312" w:hAnsi="楷体" w:eastAsia="仿宋_GB2312" w:cs="楷体"/>
                <w:szCs w:val="20"/>
              </w:rPr>
            </w:pPr>
            <w:r>
              <w:rPr>
                <w:rFonts w:hint="eastAsia" w:ascii="仿宋_GB2312" w:hAnsi="楷体" w:eastAsia="仿宋_GB2312" w:cs="楷体"/>
                <w:szCs w:val="21"/>
              </w:rPr>
              <w:t>变动后持股比例（%）</w:t>
            </w:r>
          </w:p>
        </w:tc>
      </w:tr>
      <w:tr w14:paraId="29C62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5" w:type="dxa"/>
            <w:left w:w="15" w:type="dxa"/>
            <w:bottom w:w="15" w:type="dxa"/>
            <w:right w:w="15" w:type="dxa"/>
          </w:tblCellMar>
        </w:tblPrEx>
        <w:tc>
          <w:tcPr>
            <w:tcW w:w="2830" w:type="dxa"/>
            <w:shd w:val="clear" w:color="auto" w:fill="FFFFFF" w:themeFill="background1"/>
            <w:tcMar>
              <w:top w:w="0" w:type="dxa"/>
              <w:left w:w="30" w:type="dxa"/>
              <w:bottom w:w="0" w:type="dxa"/>
              <w:right w:w="30" w:type="dxa"/>
            </w:tcMar>
            <w:vAlign w:val="center"/>
          </w:tcPr>
          <w:p w14:paraId="293E3A24">
            <w:pPr>
              <w:adjustRightInd w:val="0"/>
              <w:snapToGrid w:val="0"/>
              <w:spacing w:line="360" w:lineRule="auto"/>
              <w:jc w:val="left"/>
              <w:rPr>
                <w:rFonts w:ascii="仿宋_GB2312" w:hAnsi="楷体" w:eastAsia="仿宋_GB2312" w:cs="楷体"/>
                <w:szCs w:val="20"/>
              </w:rPr>
            </w:pPr>
            <w:r>
              <w:rPr>
                <w:rFonts w:hint="eastAsia" w:ascii="仿宋_GB2312" w:hAnsi="楷体" w:eastAsia="仿宋_GB2312" w:cs="楷体"/>
                <w:szCs w:val="21"/>
              </w:rPr>
              <w:t>股东A及其</w:t>
            </w:r>
            <w:bookmarkStart w:id="2" w:name="OLE_LINK3"/>
            <w:r>
              <w:rPr>
                <w:rFonts w:hint="eastAsia" w:ascii="仿宋_GB2312" w:hAnsi="楷体" w:eastAsia="仿宋_GB2312" w:cs="楷体"/>
                <w:szCs w:val="21"/>
              </w:rPr>
              <w:t>一致行动人</w:t>
            </w:r>
            <w:bookmarkEnd w:id="2"/>
            <w:r>
              <w:rPr>
                <w:rFonts w:hint="eastAsia" w:ascii="仿宋_GB2312" w:hAnsi="楷体" w:eastAsia="仿宋_GB2312" w:cs="楷体"/>
                <w:szCs w:val="21"/>
              </w:rPr>
              <w:t>（</w:t>
            </w:r>
            <w:bookmarkStart w:id="3" w:name="OLE_LINK1"/>
            <w:r>
              <w:rPr>
                <w:rFonts w:hint="eastAsia" w:ascii="仿宋_GB2312" w:hAnsi="楷体" w:eastAsia="仿宋_GB2312" w:cs="楷体"/>
                <w:szCs w:val="21"/>
              </w:rPr>
              <w:t>合并计算</w:t>
            </w:r>
            <w:bookmarkEnd w:id="3"/>
            <w:r>
              <w:rPr>
                <w:rFonts w:hint="eastAsia" w:ascii="仿宋_GB2312" w:hAnsi="楷体" w:eastAsia="仿宋_GB2312" w:cs="楷体"/>
                <w:szCs w:val="21"/>
              </w:rPr>
              <w:t>）</w:t>
            </w:r>
          </w:p>
        </w:tc>
        <w:tc>
          <w:tcPr>
            <w:tcW w:w="1418" w:type="dxa"/>
            <w:shd w:val="clear" w:color="auto" w:fill="FFFFFF" w:themeFill="background1"/>
            <w:tcMar>
              <w:top w:w="0" w:type="dxa"/>
              <w:left w:w="30" w:type="dxa"/>
              <w:bottom w:w="0" w:type="dxa"/>
              <w:right w:w="30" w:type="dxa"/>
            </w:tcMar>
            <w:vAlign w:val="center"/>
          </w:tcPr>
          <w:p w14:paraId="450D9D2C">
            <w:pPr>
              <w:adjustRightInd w:val="0"/>
              <w:snapToGrid w:val="0"/>
              <w:spacing w:line="360" w:lineRule="auto"/>
              <w:jc w:val="center"/>
              <w:rPr>
                <w:rFonts w:ascii="仿宋_GB2312" w:hAnsi="楷体" w:eastAsia="仿宋_GB2312" w:cs="楷体"/>
                <w:szCs w:val="20"/>
              </w:rPr>
            </w:pPr>
          </w:p>
        </w:tc>
        <w:tc>
          <w:tcPr>
            <w:tcW w:w="1417" w:type="dxa"/>
            <w:shd w:val="clear" w:color="auto" w:fill="FFFFFF" w:themeFill="background1"/>
            <w:tcMar>
              <w:top w:w="0" w:type="dxa"/>
              <w:left w:w="30" w:type="dxa"/>
              <w:bottom w:w="0" w:type="dxa"/>
              <w:right w:w="30" w:type="dxa"/>
            </w:tcMar>
            <w:vAlign w:val="center"/>
          </w:tcPr>
          <w:p w14:paraId="017239D5">
            <w:pPr>
              <w:adjustRightInd w:val="0"/>
              <w:snapToGrid w:val="0"/>
              <w:spacing w:line="360" w:lineRule="auto"/>
              <w:jc w:val="center"/>
              <w:rPr>
                <w:rFonts w:ascii="仿宋_GB2312" w:hAnsi="楷体" w:eastAsia="仿宋_GB2312" w:cs="楷体"/>
                <w:szCs w:val="20"/>
              </w:rPr>
            </w:pPr>
          </w:p>
        </w:tc>
        <w:tc>
          <w:tcPr>
            <w:tcW w:w="1248" w:type="dxa"/>
            <w:shd w:val="clear" w:color="auto" w:fill="FFFFFF" w:themeFill="background1"/>
          </w:tcPr>
          <w:p w14:paraId="6EFCBAFC">
            <w:pPr>
              <w:adjustRightInd w:val="0"/>
              <w:snapToGrid w:val="0"/>
              <w:spacing w:line="360" w:lineRule="auto"/>
              <w:jc w:val="center"/>
              <w:rPr>
                <w:rFonts w:ascii="仿宋_GB2312" w:hAnsi="楷体" w:eastAsia="仿宋_GB2312" w:cs="楷体"/>
                <w:szCs w:val="20"/>
              </w:rPr>
            </w:pPr>
          </w:p>
        </w:tc>
        <w:tc>
          <w:tcPr>
            <w:tcW w:w="0" w:type="auto"/>
            <w:shd w:val="clear" w:color="auto" w:fill="FFFFFF" w:themeFill="background1"/>
          </w:tcPr>
          <w:p w14:paraId="4677272A">
            <w:pPr>
              <w:adjustRightInd w:val="0"/>
              <w:snapToGrid w:val="0"/>
              <w:spacing w:line="360" w:lineRule="auto"/>
              <w:jc w:val="center"/>
              <w:rPr>
                <w:rFonts w:ascii="仿宋_GB2312" w:hAnsi="楷体" w:eastAsia="仿宋_GB2312" w:cs="楷体"/>
                <w:szCs w:val="20"/>
              </w:rPr>
            </w:pPr>
          </w:p>
        </w:tc>
      </w:tr>
      <w:tr w14:paraId="3DDA2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5" w:type="dxa"/>
            <w:left w:w="15" w:type="dxa"/>
            <w:bottom w:w="15" w:type="dxa"/>
            <w:right w:w="15" w:type="dxa"/>
          </w:tblCellMar>
        </w:tblPrEx>
        <w:tc>
          <w:tcPr>
            <w:tcW w:w="2830" w:type="dxa"/>
            <w:shd w:val="clear" w:color="auto" w:fill="FFFFFF" w:themeFill="background1"/>
            <w:tcMar>
              <w:top w:w="0" w:type="dxa"/>
              <w:left w:w="30" w:type="dxa"/>
              <w:bottom w:w="0" w:type="dxa"/>
              <w:right w:w="30" w:type="dxa"/>
            </w:tcMar>
            <w:vAlign w:val="center"/>
          </w:tcPr>
          <w:p w14:paraId="07392DB2">
            <w:pPr>
              <w:adjustRightInd w:val="0"/>
              <w:snapToGrid w:val="0"/>
              <w:spacing w:line="360" w:lineRule="auto"/>
              <w:jc w:val="left"/>
              <w:rPr>
                <w:rFonts w:ascii="仿宋_GB2312" w:hAnsi="楷体" w:eastAsia="仿宋_GB2312" w:cs="楷体"/>
                <w:szCs w:val="20"/>
              </w:rPr>
            </w:pPr>
            <w:r>
              <w:rPr>
                <w:rFonts w:hint="eastAsia" w:ascii="仿宋_GB2312" w:hAnsi="楷体" w:eastAsia="仿宋_GB2312" w:cs="楷体"/>
                <w:szCs w:val="21"/>
              </w:rPr>
              <w:t>股东A</w:t>
            </w:r>
          </w:p>
        </w:tc>
        <w:tc>
          <w:tcPr>
            <w:tcW w:w="1418" w:type="dxa"/>
            <w:shd w:val="clear" w:color="auto" w:fill="FFFFFF" w:themeFill="background1"/>
            <w:tcMar>
              <w:top w:w="0" w:type="dxa"/>
              <w:left w:w="30" w:type="dxa"/>
              <w:bottom w:w="0" w:type="dxa"/>
              <w:right w:w="30" w:type="dxa"/>
            </w:tcMar>
            <w:vAlign w:val="center"/>
          </w:tcPr>
          <w:p w14:paraId="1F116181">
            <w:pPr>
              <w:adjustRightInd w:val="0"/>
              <w:snapToGrid w:val="0"/>
              <w:spacing w:line="360" w:lineRule="auto"/>
              <w:jc w:val="center"/>
              <w:rPr>
                <w:rFonts w:ascii="仿宋_GB2312" w:hAnsi="楷体" w:eastAsia="仿宋_GB2312" w:cs="楷体"/>
                <w:szCs w:val="20"/>
              </w:rPr>
            </w:pPr>
          </w:p>
        </w:tc>
        <w:tc>
          <w:tcPr>
            <w:tcW w:w="1417" w:type="dxa"/>
            <w:shd w:val="clear" w:color="auto" w:fill="FFFFFF" w:themeFill="background1"/>
            <w:tcMar>
              <w:top w:w="0" w:type="dxa"/>
              <w:left w:w="30" w:type="dxa"/>
              <w:bottom w:w="0" w:type="dxa"/>
              <w:right w:w="30" w:type="dxa"/>
            </w:tcMar>
            <w:vAlign w:val="center"/>
          </w:tcPr>
          <w:p w14:paraId="25534284">
            <w:pPr>
              <w:adjustRightInd w:val="0"/>
              <w:snapToGrid w:val="0"/>
              <w:spacing w:line="360" w:lineRule="auto"/>
              <w:jc w:val="center"/>
              <w:rPr>
                <w:rFonts w:ascii="仿宋_GB2312" w:hAnsi="楷体" w:eastAsia="仿宋_GB2312" w:cs="楷体"/>
                <w:szCs w:val="20"/>
              </w:rPr>
            </w:pPr>
          </w:p>
        </w:tc>
        <w:tc>
          <w:tcPr>
            <w:tcW w:w="1248" w:type="dxa"/>
            <w:shd w:val="clear" w:color="auto" w:fill="FFFFFF" w:themeFill="background1"/>
          </w:tcPr>
          <w:p w14:paraId="41C51BE0">
            <w:pPr>
              <w:adjustRightInd w:val="0"/>
              <w:snapToGrid w:val="0"/>
              <w:spacing w:line="360" w:lineRule="auto"/>
              <w:jc w:val="center"/>
              <w:rPr>
                <w:rFonts w:ascii="仿宋_GB2312" w:hAnsi="楷体" w:eastAsia="仿宋_GB2312" w:cs="楷体"/>
                <w:szCs w:val="20"/>
              </w:rPr>
            </w:pPr>
          </w:p>
        </w:tc>
        <w:tc>
          <w:tcPr>
            <w:tcW w:w="0" w:type="auto"/>
            <w:shd w:val="clear" w:color="auto" w:fill="FFFFFF" w:themeFill="background1"/>
          </w:tcPr>
          <w:p w14:paraId="5F90836C">
            <w:pPr>
              <w:adjustRightInd w:val="0"/>
              <w:snapToGrid w:val="0"/>
              <w:spacing w:line="360" w:lineRule="auto"/>
              <w:jc w:val="center"/>
              <w:rPr>
                <w:rFonts w:ascii="仿宋_GB2312" w:hAnsi="楷体" w:eastAsia="仿宋_GB2312" w:cs="楷体"/>
                <w:szCs w:val="20"/>
              </w:rPr>
            </w:pPr>
          </w:p>
        </w:tc>
      </w:tr>
      <w:tr w14:paraId="1A654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5" w:type="dxa"/>
            <w:left w:w="15" w:type="dxa"/>
            <w:bottom w:w="15" w:type="dxa"/>
            <w:right w:w="15" w:type="dxa"/>
          </w:tblCellMar>
        </w:tblPrEx>
        <w:tc>
          <w:tcPr>
            <w:tcW w:w="2830" w:type="dxa"/>
            <w:shd w:val="clear" w:color="auto" w:fill="FFFFFF" w:themeFill="background1"/>
            <w:tcMar>
              <w:top w:w="0" w:type="dxa"/>
              <w:left w:w="30" w:type="dxa"/>
              <w:bottom w:w="0" w:type="dxa"/>
              <w:right w:w="30" w:type="dxa"/>
            </w:tcMar>
            <w:vAlign w:val="center"/>
          </w:tcPr>
          <w:p w14:paraId="3531C838">
            <w:pPr>
              <w:adjustRightInd w:val="0"/>
              <w:snapToGrid w:val="0"/>
              <w:spacing w:line="360" w:lineRule="auto"/>
              <w:jc w:val="left"/>
              <w:rPr>
                <w:rFonts w:ascii="仿宋_GB2312" w:hAnsi="楷体" w:eastAsia="仿宋_GB2312" w:cs="楷体"/>
                <w:szCs w:val="20"/>
              </w:rPr>
            </w:pPr>
            <w:r>
              <w:rPr>
                <w:rFonts w:hint="eastAsia" w:ascii="仿宋_GB2312" w:hAnsi="楷体" w:eastAsia="仿宋_GB2312" w:cs="楷体"/>
                <w:szCs w:val="21"/>
              </w:rPr>
              <w:t>一致行动人1</w:t>
            </w:r>
          </w:p>
        </w:tc>
        <w:tc>
          <w:tcPr>
            <w:tcW w:w="1418" w:type="dxa"/>
            <w:shd w:val="clear" w:color="auto" w:fill="FFFFFF" w:themeFill="background1"/>
            <w:tcMar>
              <w:top w:w="0" w:type="dxa"/>
              <w:left w:w="30" w:type="dxa"/>
              <w:bottom w:w="0" w:type="dxa"/>
              <w:right w:w="30" w:type="dxa"/>
            </w:tcMar>
            <w:vAlign w:val="center"/>
          </w:tcPr>
          <w:p w14:paraId="1F5FBF13">
            <w:pPr>
              <w:adjustRightInd w:val="0"/>
              <w:snapToGrid w:val="0"/>
              <w:spacing w:line="360" w:lineRule="auto"/>
              <w:jc w:val="center"/>
              <w:rPr>
                <w:rFonts w:ascii="仿宋_GB2312" w:hAnsi="楷体" w:eastAsia="仿宋_GB2312" w:cs="楷体"/>
                <w:szCs w:val="20"/>
              </w:rPr>
            </w:pPr>
          </w:p>
        </w:tc>
        <w:tc>
          <w:tcPr>
            <w:tcW w:w="1417" w:type="dxa"/>
            <w:shd w:val="clear" w:color="auto" w:fill="FFFFFF" w:themeFill="background1"/>
            <w:tcMar>
              <w:top w:w="0" w:type="dxa"/>
              <w:left w:w="30" w:type="dxa"/>
              <w:bottom w:w="0" w:type="dxa"/>
              <w:right w:w="30" w:type="dxa"/>
            </w:tcMar>
            <w:vAlign w:val="center"/>
          </w:tcPr>
          <w:p w14:paraId="4ECAF16D">
            <w:pPr>
              <w:adjustRightInd w:val="0"/>
              <w:snapToGrid w:val="0"/>
              <w:spacing w:line="360" w:lineRule="auto"/>
              <w:jc w:val="center"/>
              <w:rPr>
                <w:rFonts w:ascii="仿宋_GB2312" w:hAnsi="楷体" w:eastAsia="仿宋_GB2312" w:cs="楷体"/>
                <w:szCs w:val="20"/>
              </w:rPr>
            </w:pPr>
          </w:p>
        </w:tc>
        <w:tc>
          <w:tcPr>
            <w:tcW w:w="1248" w:type="dxa"/>
            <w:shd w:val="clear" w:color="auto" w:fill="FFFFFF" w:themeFill="background1"/>
          </w:tcPr>
          <w:p w14:paraId="59893FFD">
            <w:pPr>
              <w:adjustRightInd w:val="0"/>
              <w:snapToGrid w:val="0"/>
              <w:spacing w:line="360" w:lineRule="auto"/>
              <w:jc w:val="center"/>
              <w:rPr>
                <w:rFonts w:ascii="仿宋_GB2312" w:hAnsi="楷体" w:eastAsia="仿宋_GB2312" w:cs="楷体"/>
                <w:szCs w:val="20"/>
              </w:rPr>
            </w:pPr>
          </w:p>
        </w:tc>
        <w:tc>
          <w:tcPr>
            <w:tcW w:w="0" w:type="auto"/>
            <w:shd w:val="clear" w:color="auto" w:fill="FFFFFF" w:themeFill="background1"/>
          </w:tcPr>
          <w:p w14:paraId="714A4A50">
            <w:pPr>
              <w:adjustRightInd w:val="0"/>
              <w:snapToGrid w:val="0"/>
              <w:spacing w:line="360" w:lineRule="auto"/>
              <w:jc w:val="center"/>
              <w:rPr>
                <w:rFonts w:ascii="仿宋_GB2312" w:hAnsi="楷体" w:eastAsia="仿宋_GB2312" w:cs="楷体"/>
                <w:szCs w:val="20"/>
              </w:rPr>
            </w:pPr>
          </w:p>
        </w:tc>
      </w:tr>
      <w:tr w14:paraId="5FD73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5" w:type="dxa"/>
            <w:left w:w="15" w:type="dxa"/>
            <w:bottom w:w="15" w:type="dxa"/>
            <w:right w:w="15" w:type="dxa"/>
          </w:tblCellMar>
        </w:tblPrEx>
        <w:tc>
          <w:tcPr>
            <w:tcW w:w="2830" w:type="dxa"/>
            <w:shd w:val="clear" w:color="auto" w:fill="FFFFFF" w:themeFill="background1"/>
            <w:tcMar>
              <w:top w:w="0" w:type="dxa"/>
              <w:left w:w="30" w:type="dxa"/>
              <w:bottom w:w="0" w:type="dxa"/>
              <w:right w:w="30" w:type="dxa"/>
            </w:tcMar>
            <w:vAlign w:val="center"/>
          </w:tcPr>
          <w:p w14:paraId="5E9B782E">
            <w:pPr>
              <w:adjustRightInd w:val="0"/>
              <w:snapToGrid w:val="0"/>
              <w:spacing w:line="360" w:lineRule="auto"/>
              <w:jc w:val="left"/>
              <w:rPr>
                <w:rFonts w:ascii="仿宋_GB2312" w:hAnsi="楷体" w:eastAsia="仿宋_GB2312" w:cs="楷体"/>
                <w:szCs w:val="20"/>
              </w:rPr>
            </w:pPr>
            <w:r>
              <w:rPr>
                <w:rFonts w:hint="eastAsia" w:ascii="仿宋_GB2312" w:hAnsi="楷体" w:eastAsia="仿宋_GB2312" w:cs="楷体"/>
                <w:szCs w:val="21"/>
              </w:rPr>
              <w:t>一致行动人2</w:t>
            </w:r>
          </w:p>
        </w:tc>
        <w:tc>
          <w:tcPr>
            <w:tcW w:w="1418" w:type="dxa"/>
            <w:shd w:val="clear" w:color="auto" w:fill="FFFFFF" w:themeFill="background1"/>
            <w:tcMar>
              <w:top w:w="0" w:type="dxa"/>
              <w:left w:w="30" w:type="dxa"/>
              <w:bottom w:w="0" w:type="dxa"/>
              <w:right w:w="30" w:type="dxa"/>
            </w:tcMar>
            <w:vAlign w:val="center"/>
          </w:tcPr>
          <w:p w14:paraId="5B904BCF">
            <w:pPr>
              <w:adjustRightInd w:val="0"/>
              <w:snapToGrid w:val="0"/>
              <w:spacing w:line="360" w:lineRule="auto"/>
              <w:jc w:val="center"/>
              <w:rPr>
                <w:rFonts w:ascii="仿宋_GB2312" w:hAnsi="楷体" w:eastAsia="仿宋_GB2312" w:cs="楷体"/>
                <w:szCs w:val="20"/>
              </w:rPr>
            </w:pPr>
          </w:p>
        </w:tc>
        <w:tc>
          <w:tcPr>
            <w:tcW w:w="1417" w:type="dxa"/>
            <w:shd w:val="clear" w:color="auto" w:fill="FFFFFF" w:themeFill="background1"/>
            <w:tcMar>
              <w:top w:w="0" w:type="dxa"/>
              <w:left w:w="30" w:type="dxa"/>
              <w:bottom w:w="0" w:type="dxa"/>
              <w:right w:w="30" w:type="dxa"/>
            </w:tcMar>
            <w:vAlign w:val="center"/>
          </w:tcPr>
          <w:p w14:paraId="4DA8CEB6">
            <w:pPr>
              <w:adjustRightInd w:val="0"/>
              <w:snapToGrid w:val="0"/>
              <w:spacing w:line="360" w:lineRule="auto"/>
              <w:jc w:val="center"/>
              <w:rPr>
                <w:rFonts w:ascii="仿宋_GB2312" w:hAnsi="楷体" w:eastAsia="仿宋_GB2312" w:cs="楷体"/>
                <w:szCs w:val="20"/>
              </w:rPr>
            </w:pPr>
          </w:p>
        </w:tc>
        <w:tc>
          <w:tcPr>
            <w:tcW w:w="1248" w:type="dxa"/>
            <w:shd w:val="clear" w:color="auto" w:fill="FFFFFF" w:themeFill="background1"/>
          </w:tcPr>
          <w:p w14:paraId="68A58907">
            <w:pPr>
              <w:adjustRightInd w:val="0"/>
              <w:snapToGrid w:val="0"/>
              <w:spacing w:line="360" w:lineRule="auto"/>
              <w:jc w:val="center"/>
              <w:rPr>
                <w:rFonts w:ascii="仿宋_GB2312" w:hAnsi="楷体" w:eastAsia="仿宋_GB2312" w:cs="楷体"/>
                <w:szCs w:val="20"/>
              </w:rPr>
            </w:pPr>
          </w:p>
        </w:tc>
        <w:tc>
          <w:tcPr>
            <w:tcW w:w="0" w:type="auto"/>
            <w:shd w:val="clear" w:color="auto" w:fill="FFFFFF" w:themeFill="background1"/>
          </w:tcPr>
          <w:p w14:paraId="57BAB65E">
            <w:pPr>
              <w:adjustRightInd w:val="0"/>
              <w:snapToGrid w:val="0"/>
              <w:spacing w:line="360" w:lineRule="auto"/>
              <w:jc w:val="center"/>
              <w:rPr>
                <w:rFonts w:ascii="仿宋_GB2312" w:hAnsi="楷体" w:eastAsia="仿宋_GB2312" w:cs="楷体"/>
                <w:szCs w:val="20"/>
              </w:rPr>
            </w:pPr>
          </w:p>
        </w:tc>
      </w:tr>
      <w:tr w14:paraId="0BC8F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5" w:type="dxa"/>
            <w:left w:w="15" w:type="dxa"/>
            <w:bottom w:w="15" w:type="dxa"/>
            <w:right w:w="15" w:type="dxa"/>
          </w:tblCellMar>
        </w:tblPrEx>
        <w:tc>
          <w:tcPr>
            <w:tcW w:w="2830" w:type="dxa"/>
            <w:shd w:val="clear" w:color="auto" w:fill="FFFFFF" w:themeFill="background1"/>
            <w:tcMar>
              <w:top w:w="0" w:type="dxa"/>
              <w:left w:w="30" w:type="dxa"/>
              <w:bottom w:w="0" w:type="dxa"/>
              <w:right w:w="30" w:type="dxa"/>
            </w:tcMar>
            <w:vAlign w:val="center"/>
          </w:tcPr>
          <w:p w14:paraId="384A4831">
            <w:pPr>
              <w:adjustRightInd w:val="0"/>
              <w:snapToGrid w:val="0"/>
              <w:spacing w:line="360" w:lineRule="auto"/>
              <w:jc w:val="left"/>
              <w:rPr>
                <w:rFonts w:ascii="仿宋_GB2312" w:hAnsi="楷体" w:eastAsia="仿宋_GB2312" w:cs="楷体"/>
                <w:szCs w:val="20"/>
              </w:rPr>
            </w:pPr>
            <w:r>
              <w:rPr>
                <w:rFonts w:hint="eastAsia" w:ascii="仿宋_GB2312" w:hAnsi="楷体" w:eastAsia="仿宋_GB2312" w:cs="楷体"/>
                <w:szCs w:val="21"/>
              </w:rPr>
              <w:t>股东B</w:t>
            </w:r>
          </w:p>
        </w:tc>
        <w:tc>
          <w:tcPr>
            <w:tcW w:w="1418" w:type="dxa"/>
            <w:shd w:val="clear" w:color="auto" w:fill="FFFFFF" w:themeFill="background1"/>
            <w:tcMar>
              <w:top w:w="0" w:type="dxa"/>
              <w:left w:w="30" w:type="dxa"/>
              <w:bottom w:w="0" w:type="dxa"/>
              <w:right w:w="30" w:type="dxa"/>
            </w:tcMar>
            <w:vAlign w:val="center"/>
          </w:tcPr>
          <w:p w14:paraId="6A39A2C8">
            <w:pPr>
              <w:adjustRightInd w:val="0"/>
              <w:snapToGrid w:val="0"/>
              <w:spacing w:line="360" w:lineRule="auto"/>
              <w:jc w:val="center"/>
              <w:rPr>
                <w:rFonts w:ascii="仿宋_GB2312" w:hAnsi="楷体" w:eastAsia="仿宋_GB2312" w:cs="楷体"/>
                <w:szCs w:val="20"/>
              </w:rPr>
            </w:pPr>
          </w:p>
        </w:tc>
        <w:tc>
          <w:tcPr>
            <w:tcW w:w="1417" w:type="dxa"/>
            <w:shd w:val="clear" w:color="auto" w:fill="FFFFFF" w:themeFill="background1"/>
            <w:tcMar>
              <w:top w:w="0" w:type="dxa"/>
              <w:left w:w="30" w:type="dxa"/>
              <w:bottom w:w="0" w:type="dxa"/>
              <w:right w:w="30" w:type="dxa"/>
            </w:tcMar>
            <w:vAlign w:val="center"/>
          </w:tcPr>
          <w:p w14:paraId="6E915FC6">
            <w:pPr>
              <w:adjustRightInd w:val="0"/>
              <w:snapToGrid w:val="0"/>
              <w:spacing w:line="360" w:lineRule="auto"/>
              <w:jc w:val="center"/>
              <w:rPr>
                <w:rFonts w:ascii="仿宋_GB2312" w:hAnsi="楷体" w:eastAsia="仿宋_GB2312" w:cs="楷体"/>
                <w:szCs w:val="20"/>
              </w:rPr>
            </w:pPr>
          </w:p>
        </w:tc>
        <w:tc>
          <w:tcPr>
            <w:tcW w:w="1248" w:type="dxa"/>
            <w:shd w:val="clear" w:color="auto" w:fill="FFFFFF" w:themeFill="background1"/>
          </w:tcPr>
          <w:p w14:paraId="039ECDB7">
            <w:pPr>
              <w:adjustRightInd w:val="0"/>
              <w:snapToGrid w:val="0"/>
              <w:spacing w:line="360" w:lineRule="auto"/>
              <w:jc w:val="center"/>
              <w:rPr>
                <w:rFonts w:ascii="仿宋_GB2312" w:hAnsi="楷体" w:eastAsia="仿宋_GB2312" w:cs="楷体"/>
                <w:szCs w:val="20"/>
              </w:rPr>
            </w:pPr>
          </w:p>
        </w:tc>
        <w:tc>
          <w:tcPr>
            <w:tcW w:w="0" w:type="auto"/>
            <w:shd w:val="clear" w:color="auto" w:fill="FFFFFF" w:themeFill="background1"/>
          </w:tcPr>
          <w:p w14:paraId="3BBBB293">
            <w:pPr>
              <w:adjustRightInd w:val="0"/>
              <w:snapToGrid w:val="0"/>
              <w:spacing w:line="360" w:lineRule="auto"/>
              <w:jc w:val="center"/>
              <w:rPr>
                <w:rFonts w:ascii="仿宋_GB2312" w:hAnsi="楷体" w:eastAsia="仿宋_GB2312" w:cs="楷体"/>
                <w:szCs w:val="20"/>
              </w:rPr>
            </w:pPr>
          </w:p>
        </w:tc>
      </w:tr>
    </w:tbl>
    <w:p w14:paraId="651812E3">
      <w:pPr>
        <w:widowControl/>
        <w:ind w:firstLine="420" w:firstLineChars="200"/>
        <w:rPr>
          <w:rFonts w:ascii="仿宋_GB2312" w:hAnsi="宋体" w:eastAsia="仿宋_GB2312" w:cs="宋体"/>
          <w:color w:val="000000"/>
          <w:kern w:val="0"/>
          <w:sz w:val="24"/>
        </w:rPr>
      </w:pPr>
      <w:r>
        <w:rPr>
          <w:rFonts w:hint="eastAsia" w:ascii="仿宋_GB2312" w:hAnsi="楷体" w:eastAsia="仿宋_GB2312" w:cs="楷体"/>
          <w:szCs w:val="20"/>
        </w:rPr>
        <w:t>注：</w:t>
      </w:r>
      <w:r>
        <w:rPr>
          <w:rFonts w:hint="eastAsia" w:ascii="仿宋_GB2312" w:hAnsi="楷体" w:eastAsia="仿宋_GB2312" w:cs="楷体"/>
        </w:rPr>
        <w:t>股东如有一致行动人参照股东A进行披露，先合并计算持股</w:t>
      </w:r>
      <w:r>
        <w:rPr>
          <w:rFonts w:hint="eastAsia" w:ascii="仿宋_GB2312" w:hAnsi="楷体" w:eastAsia="仿宋_GB2312" w:cs="楷体"/>
          <w:lang w:eastAsia="zh-CN"/>
        </w:rPr>
        <w:t>列示</w:t>
      </w:r>
      <w:r>
        <w:rPr>
          <w:rFonts w:hint="eastAsia" w:ascii="仿宋_GB2312" w:hAnsi="楷体" w:eastAsia="仿宋_GB2312" w:cs="楷体"/>
        </w:rPr>
        <w:t>，后单独列示；股东如无一致行动人参照股东B进行披露</w:t>
      </w:r>
      <w:r>
        <w:rPr>
          <w:rFonts w:hint="eastAsia" w:ascii="仿宋_GB2312" w:hAnsi="宋体" w:eastAsia="仿宋_GB2312" w:cs="宋体"/>
          <w:color w:val="000000"/>
          <w:kern w:val="0"/>
          <w:sz w:val="24"/>
        </w:rPr>
        <w:t>。</w:t>
      </w:r>
    </w:p>
    <w:bookmarkEnd w:id="1"/>
    <w:p w14:paraId="473E030A">
      <w:pPr>
        <w:autoSpaceDE w:val="0"/>
        <w:autoSpaceDN w:val="0"/>
        <w:adjustRightInd w:val="0"/>
        <w:spacing w:line="560" w:lineRule="exact"/>
        <w:outlineLvl w:val="0"/>
        <w:rPr>
          <w:rFonts w:ascii="黑体" w:hAnsi="黑体" w:eastAsia="黑体" w:cs="宋体-WinCharSetFFFF-H"/>
          <w:b/>
          <w:color w:val="000000"/>
          <w:kern w:val="0"/>
          <w:sz w:val="30"/>
          <w:szCs w:val="30"/>
        </w:rPr>
      </w:pPr>
    </w:p>
    <w:p w14:paraId="542D5031">
      <w:pPr>
        <w:autoSpaceDE w:val="0"/>
        <w:autoSpaceDN w:val="0"/>
        <w:adjustRightInd w:val="0"/>
        <w:spacing w:line="560" w:lineRule="exact"/>
        <w:ind w:firstLine="602" w:firstLineChars="200"/>
        <w:outlineLvl w:val="0"/>
        <w:rPr>
          <w:rFonts w:ascii="黑体" w:hAnsi="黑体" w:eastAsia="黑体" w:cs="宋体-WinCharSetFFFF-H"/>
          <w:b/>
          <w:color w:val="000000"/>
          <w:kern w:val="0"/>
          <w:sz w:val="30"/>
          <w:szCs w:val="30"/>
        </w:rPr>
      </w:pPr>
      <w:r>
        <w:rPr>
          <w:rFonts w:hint="eastAsia" w:ascii="黑体" w:hAnsi="黑体" w:eastAsia="黑体" w:cs="宋体-WinCharSetFFFF-H"/>
          <w:b/>
          <w:color w:val="000000"/>
          <w:kern w:val="0"/>
          <w:sz w:val="30"/>
          <w:szCs w:val="30"/>
        </w:rPr>
        <w:t>七、已回购股份的处理安排</w:t>
      </w:r>
    </w:p>
    <w:p w14:paraId="113596E2">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公司本次总计回购股份XX股，其中本次注销XX股。本次注销后，公司已回购股份剩余XX股，根据回购股份方案拟用于……</w:t>
      </w:r>
    </w:p>
    <w:p w14:paraId="4D05B4E1">
      <w:pPr>
        <w:autoSpaceDE w:val="0"/>
        <w:autoSpaceDN w:val="0"/>
        <w:adjustRightInd w:val="0"/>
        <w:spacing w:line="560" w:lineRule="exact"/>
        <w:ind w:firstLine="480" w:firstLineChars="200"/>
        <w:rPr>
          <w:rFonts w:ascii="楷体" w:hAnsi="楷体" w:eastAsia="楷体" w:cs="宋体-WinCharSetFFFF-H"/>
          <w:color w:val="000000"/>
          <w:kern w:val="0"/>
          <w:sz w:val="24"/>
          <w:szCs w:val="24"/>
        </w:rPr>
      </w:pPr>
      <w:r>
        <w:rPr>
          <w:rFonts w:hint="eastAsia" w:ascii="楷体" w:hAnsi="楷体" w:eastAsia="楷体" w:cs="宋体-WinCharSetFFFF-H"/>
          <w:color w:val="000000"/>
          <w:kern w:val="0"/>
          <w:sz w:val="24"/>
          <w:szCs w:val="24"/>
        </w:rPr>
        <w:t>（编制提醒：公司应当根据此前披露的回购方案，披露剩余已回购股份的各具体用途及其对应的股份数量）</w:t>
      </w:r>
    </w:p>
    <w:p w14:paraId="7CD10A6B">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后续，公司将按照披露的用途使用已回购未注销的股份，并按规定履行决策程序和信息披露义务。</w:t>
      </w:r>
    </w:p>
    <w:p w14:paraId="7907A23F">
      <w:pPr>
        <w:autoSpaceDE w:val="0"/>
        <w:autoSpaceDN w:val="0"/>
        <w:adjustRightInd w:val="0"/>
        <w:spacing w:line="560" w:lineRule="exact"/>
        <w:ind w:firstLine="578" w:firstLineChars="192"/>
        <w:jc w:val="left"/>
        <w:rPr>
          <w:rFonts w:ascii="黑体" w:hAnsi="黑体" w:eastAsia="黑体" w:cs="宋体-WinCharSetFFFF-H"/>
          <w:b/>
          <w:color w:val="000000"/>
          <w:kern w:val="0"/>
          <w:sz w:val="30"/>
          <w:szCs w:val="30"/>
        </w:rPr>
      </w:pPr>
    </w:p>
    <w:p w14:paraId="4BCAF4E3">
      <w:pPr>
        <w:autoSpaceDE w:val="0"/>
        <w:autoSpaceDN w:val="0"/>
        <w:adjustRightInd w:val="0"/>
        <w:spacing w:line="560" w:lineRule="exact"/>
        <w:ind w:firstLine="576" w:firstLineChars="192"/>
        <w:jc w:val="left"/>
        <w:rPr>
          <w:rFonts w:ascii="仿宋_GB2312" w:hAnsi="宋体" w:eastAsia="仿宋_GB2312" w:cs="宋体-WinCharSetFFFF-H"/>
          <w:color w:val="000000"/>
          <w:kern w:val="0"/>
          <w:sz w:val="30"/>
          <w:szCs w:val="30"/>
        </w:rPr>
      </w:pPr>
      <w:r>
        <w:rPr>
          <w:rFonts w:hint="eastAsia" w:ascii="仿宋_GB2312" w:hAnsi="宋体" w:eastAsia="仿宋_GB2312" w:cs="宋体-WinCharSetFFFF-H"/>
          <w:color w:val="000000"/>
          <w:kern w:val="0"/>
          <w:sz w:val="30"/>
          <w:szCs w:val="30"/>
        </w:rPr>
        <w:t>特此公告。</w:t>
      </w:r>
    </w:p>
    <w:p w14:paraId="1D017D06">
      <w:pPr>
        <w:autoSpaceDE w:val="0"/>
        <w:autoSpaceDN w:val="0"/>
        <w:adjustRightInd w:val="0"/>
        <w:spacing w:line="560" w:lineRule="exact"/>
        <w:ind w:firstLine="576" w:firstLineChars="192"/>
        <w:jc w:val="left"/>
        <w:rPr>
          <w:rFonts w:ascii="仿宋_GB2312" w:hAnsi="宋体" w:eastAsia="仿宋_GB2312" w:cs="宋体-WinCharSetFFFF-H"/>
          <w:color w:val="000000"/>
          <w:kern w:val="0"/>
          <w:sz w:val="30"/>
          <w:szCs w:val="30"/>
        </w:rPr>
      </w:pPr>
    </w:p>
    <w:p w14:paraId="58A027DA">
      <w:pPr>
        <w:autoSpaceDE w:val="0"/>
        <w:autoSpaceDN w:val="0"/>
        <w:adjustRightInd w:val="0"/>
        <w:spacing w:line="560" w:lineRule="exact"/>
        <w:jc w:val="right"/>
        <w:rPr>
          <w:rFonts w:ascii="仿宋_GB2312" w:hAnsi="宋体" w:eastAsia="仿宋_GB2312" w:cs="宋体-WinCharSetFFFF-H"/>
          <w:color w:val="000000"/>
          <w:kern w:val="0"/>
          <w:sz w:val="30"/>
          <w:szCs w:val="30"/>
        </w:rPr>
      </w:pPr>
      <w:r>
        <w:rPr>
          <w:rFonts w:hint="eastAsia" w:ascii="仿宋_GB2312" w:hAnsi="宋体" w:eastAsia="仿宋_GB2312" w:cs="宋体"/>
          <w:color w:val="000000"/>
          <w:kern w:val="0"/>
          <w:sz w:val="30"/>
          <w:szCs w:val="30"/>
        </w:rPr>
        <w:t>××××</w:t>
      </w:r>
      <w:r>
        <w:rPr>
          <w:rFonts w:hint="eastAsia" w:ascii="仿宋_GB2312" w:hAnsi="宋体" w:eastAsia="仿宋_GB2312" w:cs="宋体-WinCharSetFFFF-H"/>
          <w:color w:val="000000"/>
          <w:kern w:val="0"/>
          <w:sz w:val="30"/>
          <w:szCs w:val="30"/>
        </w:rPr>
        <w:t>股份有限公司董事会</w:t>
      </w:r>
    </w:p>
    <w:p w14:paraId="2176F644">
      <w:pPr>
        <w:spacing w:line="560" w:lineRule="exact"/>
        <w:jc w:val="right"/>
        <w:rPr>
          <w:rFonts w:ascii="仿宋_GB2312" w:hAnsi="宋体" w:eastAsia="仿宋_GB2312" w:cs="宋体-WinCharSetFFFF-H"/>
          <w:color w:val="000000"/>
          <w:kern w:val="0"/>
          <w:sz w:val="30"/>
          <w:szCs w:val="30"/>
        </w:rPr>
      </w:pPr>
      <w:r>
        <w:rPr>
          <w:rFonts w:hint="eastAsia" w:ascii="仿宋_GB2312" w:hAnsi="宋体" w:eastAsia="仿宋_GB2312" w:cs="宋体-WinCharSetFFFF-H"/>
          <w:color w:val="000000"/>
          <w:kern w:val="0"/>
          <w:sz w:val="30"/>
          <w:szCs w:val="30"/>
        </w:rPr>
        <w:t xml:space="preserve"> 年  月  日</w:t>
      </w:r>
    </w:p>
    <w:p w14:paraId="317EE539">
      <w:pPr>
        <w:spacing w:line="560" w:lineRule="exact"/>
        <w:jc w:val="right"/>
        <w:rPr>
          <w:rFonts w:ascii="仿宋_GB2312" w:hAnsi="宋体" w:eastAsia="仿宋_GB2312" w:cs="宋体-WinCharSetFFFF-H"/>
          <w:color w:val="000000"/>
          <w:kern w:val="0"/>
          <w:sz w:val="30"/>
          <w:szCs w:val="30"/>
        </w:rPr>
      </w:pPr>
    </w:p>
    <w:p w14:paraId="653D4936">
      <w:pPr>
        <w:pStyle w:val="12"/>
        <w:numPr>
          <w:ilvl w:val="0"/>
          <w:numId w:val="1"/>
        </w:numPr>
        <w:autoSpaceDE w:val="0"/>
        <w:autoSpaceDN w:val="0"/>
        <w:adjustRightInd w:val="0"/>
        <w:snapToGrid w:val="0"/>
        <w:spacing w:line="560" w:lineRule="exact"/>
        <w:ind w:firstLineChars="0"/>
        <w:rPr>
          <w:rFonts w:ascii="仿宋_GB2312" w:hAnsi="宋体" w:eastAsia="仿宋_GB2312"/>
          <w:b/>
          <w:color w:val="000000"/>
          <w:sz w:val="30"/>
          <w:szCs w:val="30"/>
        </w:rPr>
      </w:pPr>
      <w:r>
        <w:rPr>
          <w:rFonts w:hint="eastAsia" w:ascii="仿宋_GB2312" w:hAnsi="宋体" w:eastAsia="仿宋_GB2312"/>
          <w:b/>
          <w:color w:val="000000"/>
          <w:sz w:val="30"/>
          <w:szCs w:val="30"/>
        </w:rPr>
        <w:t>报备文件</w:t>
      </w:r>
    </w:p>
    <w:p w14:paraId="601AFA58">
      <w:pPr>
        <w:autoSpaceDE w:val="0"/>
        <w:autoSpaceDN w:val="0"/>
        <w:adjustRightInd w:val="0"/>
        <w:snapToGri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中国证券登记结算有限责任公司出具的回购专用账户持股数量查询证明（如有）</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楷体_GB2312-WinCharSetFFFF-H">
    <w:altName w:val="楷体_GB2312"/>
    <w:panose1 w:val="00000000000000000000"/>
    <w:charset w:val="86"/>
    <w:family w:val="auto"/>
    <w:pitch w:val="default"/>
    <w:sig w:usb0="00000000" w:usb1="00000000" w:usb2="00000010" w:usb3="00000000" w:csb0="00040000" w:csb1="00000000"/>
  </w:font>
  <w:font w:name="楷体_GB2312">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黑体-WinCharSetFFFF-H">
    <w:altName w:val="黑体"/>
    <w:panose1 w:val="00000000000000000000"/>
    <w:charset w:val="86"/>
    <w:family w:val="auto"/>
    <w:pitch w:val="default"/>
    <w:sig w:usb0="00000000" w:usb1="00000000" w:usb2="0000001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宋体-WinCharSetFFFF-H">
    <w:altName w:val="宋体"/>
    <w:panose1 w:val="00000000000000000000"/>
    <w:charset w:val="86"/>
    <w:family w:val="auto"/>
    <w:pitch w:val="default"/>
    <w:sig w:usb0="00000000" w:usb1="00000000" w:usb2="0000001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5501252"/>
    </w:sdtPr>
    <w:sdtContent>
      <w:p w14:paraId="4DF4C03B">
        <w:pPr>
          <w:pStyle w:val="5"/>
          <w:jc w:val="cente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lang w:val="zh-CN"/>
          </w:rPr>
          <w:t>4</w:t>
        </w:r>
        <w:r>
          <w:rPr>
            <w:rFonts w:ascii="Times New Roman" w:hAnsi="Times New Roman"/>
          </w:rPr>
          <w:fldChar w:fldCharType="end"/>
        </w:r>
      </w:p>
    </w:sdtContent>
  </w:sdt>
  <w:p w14:paraId="14895A7F">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5B5CF">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E561F7"/>
    <w:multiLevelType w:val="multilevel"/>
    <w:tmpl w:val="52E561F7"/>
    <w:lvl w:ilvl="0" w:tentative="0">
      <w:start w:val="1"/>
      <w:numFmt w:val="bullet"/>
      <w:lvlText w:val=""/>
      <w:lvlJc w:val="left"/>
      <w:pPr>
        <w:ind w:left="1022" w:hanging="420"/>
      </w:pPr>
      <w:rPr>
        <w:rFonts w:hint="default" w:ascii="Wingdings" w:hAnsi="Wingdings"/>
      </w:rPr>
    </w:lvl>
    <w:lvl w:ilvl="1" w:tentative="0">
      <w:start w:val="1"/>
      <w:numFmt w:val="bullet"/>
      <w:lvlText w:val=""/>
      <w:lvlJc w:val="left"/>
      <w:pPr>
        <w:ind w:left="1442" w:hanging="420"/>
      </w:pPr>
      <w:rPr>
        <w:rFonts w:hint="default" w:ascii="Wingdings" w:hAnsi="Wingdings"/>
      </w:rPr>
    </w:lvl>
    <w:lvl w:ilvl="2" w:tentative="0">
      <w:start w:val="1"/>
      <w:numFmt w:val="bullet"/>
      <w:lvlText w:val=""/>
      <w:lvlJc w:val="left"/>
      <w:pPr>
        <w:ind w:left="1862" w:hanging="420"/>
      </w:pPr>
      <w:rPr>
        <w:rFonts w:hint="default" w:ascii="Wingdings" w:hAnsi="Wingdings"/>
      </w:rPr>
    </w:lvl>
    <w:lvl w:ilvl="3" w:tentative="0">
      <w:start w:val="1"/>
      <w:numFmt w:val="bullet"/>
      <w:lvlText w:val=""/>
      <w:lvlJc w:val="left"/>
      <w:pPr>
        <w:ind w:left="2282" w:hanging="420"/>
      </w:pPr>
      <w:rPr>
        <w:rFonts w:hint="default" w:ascii="Wingdings" w:hAnsi="Wingdings"/>
      </w:rPr>
    </w:lvl>
    <w:lvl w:ilvl="4" w:tentative="0">
      <w:start w:val="1"/>
      <w:numFmt w:val="bullet"/>
      <w:lvlText w:val=""/>
      <w:lvlJc w:val="left"/>
      <w:pPr>
        <w:ind w:left="2702" w:hanging="420"/>
      </w:pPr>
      <w:rPr>
        <w:rFonts w:hint="default" w:ascii="Wingdings" w:hAnsi="Wingdings"/>
      </w:rPr>
    </w:lvl>
    <w:lvl w:ilvl="5" w:tentative="0">
      <w:start w:val="1"/>
      <w:numFmt w:val="bullet"/>
      <w:lvlText w:val=""/>
      <w:lvlJc w:val="left"/>
      <w:pPr>
        <w:ind w:left="3122" w:hanging="420"/>
      </w:pPr>
      <w:rPr>
        <w:rFonts w:hint="default" w:ascii="Wingdings" w:hAnsi="Wingdings"/>
      </w:rPr>
    </w:lvl>
    <w:lvl w:ilvl="6" w:tentative="0">
      <w:start w:val="1"/>
      <w:numFmt w:val="bullet"/>
      <w:lvlText w:val=""/>
      <w:lvlJc w:val="left"/>
      <w:pPr>
        <w:ind w:left="3542" w:hanging="420"/>
      </w:pPr>
      <w:rPr>
        <w:rFonts w:hint="default" w:ascii="Wingdings" w:hAnsi="Wingdings"/>
      </w:rPr>
    </w:lvl>
    <w:lvl w:ilvl="7" w:tentative="0">
      <w:start w:val="1"/>
      <w:numFmt w:val="bullet"/>
      <w:lvlText w:val=""/>
      <w:lvlJc w:val="left"/>
      <w:pPr>
        <w:ind w:left="3962" w:hanging="420"/>
      </w:pPr>
      <w:rPr>
        <w:rFonts w:hint="default" w:ascii="Wingdings" w:hAnsi="Wingdings"/>
      </w:rPr>
    </w:lvl>
    <w:lvl w:ilvl="8" w:tentative="0">
      <w:start w:val="1"/>
      <w:numFmt w:val="bullet"/>
      <w:lvlText w:val=""/>
      <w:lvlJc w:val="left"/>
      <w:pPr>
        <w:ind w:left="4382"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ECD"/>
    <w:rsid w:val="00000558"/>
    <w:rsid w:val="00052E7B"/>
    <w:rsid w:val="000C18FC"/>
    <w:rsid w:val="000D518A"/>
    <w:rsid w:val="00126188"/>
    <w:rsid w:val="00134B64"/>
    <w:rsid w:val="001368F4"/>
    <w:rsid w:val="001A3C0C"/>
    <w:rsid w:val="001B54D4"/>
    <w:rsid w:val="00207347"/>
    <w:rsid w:val="002222A7"/>
    <w:rsid w:val="002772BC"/>
    <w:rsid w:val="002D12FF"/>
    <w:rsid w:val="0030403F"/>
    <w:rsid w:val="00313A26"/>
    <w:rsid w:val="00365116"/>
    <w:rsid w:val="00380BDE"/>
    <w:rsid w:val="003853EB"/>
    <w:rsid w:val="003859E1"/>
    <w:rsid w:val="003B0925"/>
    <w:rsid w:val="003E35D1"/>
    <w:rsid w:val="003E77E1"/>
    <w:rsid w:val="00412966"/>
    <w:rsid w:val="00464767"/>
    <w:rsid w:val="0052222A"/>
    <w:rsid w:val="005330C2"/>
    <w:rsid w:val="00553F39"/>
    <w:rsid w:val="00565E3E"/>
    <w:rsid w:val="005A3D38"/>
    <w:rsid w:val="00631267"/>
    <w:rsid w:val="00657DC3"/>
    <w:rsid w:val="006664C6"/>
    <w:rsid w:val="006754DD"/>
    <w:rsid w:val="00675CC2"/>
    <w:rsid w:val="006854DF"/>
    <w:rsid w:val="006B3385"/>
    <w:rsid w:val="006B45CE"/>
    <w:rsid w:val="0071520C"/>
    <w:rsid w:val="00733960"/>
    <w:rsid w:val="007D646F"/>
    <w:rsid w:val="007F3A6E"/>
    <w:rsid w:val="00833797"/>
    <w:rsid w:val="00834BD2"/>
    <w:rsid w:val="00836947"/>
    <w:rsid w:val="008537E1"/>
    <w:rsid w:val="00890B17"/>
    <w:rsid w:val="008C6A68"/>
    <w:rsid w:val="008C746A"/>
    <w:rsid w:val="008E2FF0"/>
    <w:rsid w:val="00931470"/>
    <w:rsid w:val="00952667"/>
    <w:rsid w:val="009D1194"/>
    <w:rsid w:val="009D4D47"/>
    <w:rsid w:val="009D52D8"/>
    <w:rsid w:val="00A22E16"/>
    <w:rsid w:val="00A317FA"/>
    <w:rsid w:val="00A878F9"/>
    <w:rsid w:val="00AA1DF6"/>
    <w:rsid w:val="00AC6182"/>
    <w:rsid w:val="00B03151"/>
    <w:rsid w:val="00B3338B"/>
    <w:rsid w:val="00B918FF"/>
    <w:rsid w:val="00BF2ECD"/>
    <w:rsid w:val="00C16E9C"/>
    <w:rsid w:val="00C34B7C"/>
    <w:rsid w:val="00C51D1D"/>
    <w:rsid w:val="00C56E14"/>
    <w:rsid w:val="00C578DC"/>
    <w:rsid w:val="00C8167E"/>
    <w:rsid w:val="00C8380C"/>
    <w:rsid w:val="00C85226"/>
    <w:rsid w:val="00CA609C"/>
    <w:rsid w:val="00CC3984"/>
    <w:rsid w:val="00CD0630"/>
    <w:rsid w:val="00CF00E4"/>
    <w:rsid w:val="00D14999"/>
    <w:rsid w:val="00D40AC8"/>
    <w:rsid w:val="00D8494A"/>
    <w:rsid w:val="00D97E3F"/>
    <w:rsid w:val="00DA2749"/>
    <w:rsid w:val="00DD5D73"/>
    <w:rsid w:val="00E051EE"/>
    <w:rsid w:val="00E0626B"/>
    <w:rsid w:val="00E456BC"/>
    <w:rsid w:val="00E55592"/>
    <w:rsid w:val="00E918DC"/>
    <w:rsid w:val="00E92CF7"/>
    <w:rsid w:val="00EC1472"/>
    <w:rsid w:val="00F6028B"/>
    <w:rsid w:val="00FA387C"/>
    <w:rsid w:val="00FE5BD7"/>
    <w:rsid w:val="00FF68E4"/>
    <w:rsid w:val="05C8754E"/>
    <w:rsid w:val="08211367"/>
    <w:rsid w:val="0DF548AB"/>
    <w:rsid w:val="0E196C00"/>
    <w:rsid w:val="17200AE9"/>
    <w:rsid w:val="17A62E5D"/>
    <w:rsid w:val="1C7162B9"/>
    <w:rsid w:val="1FEC032B"/>
    <w:rsid w:val="23A63D8D"/>
    <w:rsid w:val="34185A5F"/>
    <w:rsid w:val="35853B42"/>
    <w:rsid w:val="5F3E69CE"/>
    <w:rsid w:val="6D162BBC"/>
    <w:rsid w:val="7443214A"/>
    <w:rsid w:val="74F841F7"/>
    <w:rsid w:val="7DBEE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4"/>
    <w:semiHidden/>
    <w:unhideWhenUsed/>
    <w:qFormat/>
    <w:uiPriority w:val="99"/>
    <w:rPr>
      <w:rFonts w:ascii="宋体"/>
      <w:sz w:val="18"/>
      <w:szCs w:val="18"/>
    </w:rPr>
  </w:style>
  <w:style w:type="paragraph" w:styleId="3">
    <w:name w:val="annotation text"/>
    <w:basedOn w:val="1"/>
    <w:link w:val="16"/>
    <w:semiHidden/>
    <w:unhideWhenUsed/>
    <w:qFormat/>
    <w:uiPriority w:val="99"/>
    <w:pPr>
      <w:jc w:val="left"/>
    </w:pPr>
  </w:style>
  <w:style w:type="paragraph" w:styleId="4">
    <w:name w:val="Balloon Text"/>
    <w:basedOn w:val="1"/>
    <w:link w:val="15"/>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7"/>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页脚 字符"/>
    <w:basedOn w:val="9"/>
    <w:link w:val="5"/>
    <w:qFormat/>
    <w:uiPriority w:val="99"/>
    <w:rPr>
      <w:rFonts w:ascii="Calibri" w:hAnsi="Calibri" w:eastAsia="宋体" w:cs="Times New Roman"/>
      <w:sz w:val="18"/>
      <w:szCs w:val="18"/>
    </w:rPr>
  </w:style>
  <w:style w:type="paragraph" w:styleId="12">
    <w:name w:val="List Paragraph"/>
    <w:basedOn w:val="1"/>
    <w:qFormat/>
    <w:uiPriority w:val="34"/>
    <w:pPr>
      <w:ind w:firstLine="420" w:firstLineChars="200"/>
    </w:pPr>
  </w:style>
  <w:style w:type="character" w:customStyle="1" w:styleId="13">
    <w:name w:val="页眉 字符"/>
    <w:basedOn w:val="9"/>
    <w:link w:val="6"/>
    <w:qFormat/>
    <w:uiPriority w:val="99"/>
    <w:rPr>
      <w:rFonts w:ascii="Calibri" w:hAnsi="Calibri" w:eastAsia="宋体" w:cs="Times New Roman"/>
      <w:sz w:val="18"/>
      <w:szCs w:val="18"/>
    </w:rPr>
  </w:style>
  <w:style w:type="character" w:customStyle="1" w:styleId="14">
    <w:name w:val="文档结构图 字符"/>
    <w:basedOn w:val="9"/>
    <w:link w:val="2"/>
    <w:semiHidden/>
    <w:qFormat/>
    <w:uiPriority w:val="99"/>
    <w:rPr>
      <w:rFonts w:ascii="宋体" w:hAnsi="Calibri" w:eastAsia="宋体" w:cs="Times New Roman"/>
      <w:sz w:val="18"/>
      <w:szCs w:val="18"/>
    </w:rPr>
  </w:style>
  <w:style w:type="character" w:customStyle="1" w:styleId="15">
    <w:name w:val="批注框文本 字符"/>
    <w:basedOn w:val="9"/>
    <w:link w:val="4"/>
    <w:semiHidden/>
    <w:qFormat/>
    <w:uiPriority w:val="99"/>
    <w:rPr>
      <w:rFonts w:ascii="Calibri" w:hAnsi="Calibri" w:eastAsia="宋体" w:cs="Times New Roman"/>
      <w:sz w:val="18"/>
      <w:szCs w:val="18"/>
    </w:rPr>
  </w:style>
  <w:style w:type="character" w:customStyle="1" w:styleId="16">
    <w:name w:val="批注文字 字符"/>
    <w:basedOn w:val="9"/>
    <w:link w:val="3"/>
    <w:semiHidden/>
    <w:qFormat/>
    <w:uiPriority w:val="99"/>
    <w:rPr>
      <w:rFonts w:ascii="Calibri" w:hAnsi="Calibri" w:eastAsia="宋体" w:cs="Times New Roman"/>
    </w:rPr>
  </w:style>
  <w:style w:type="character" w:customStyle="1" w:styleId="17">
    <w:name w:val="批注主题 字符"/>
    <w:basedOn w:val="16"/>
    <w:link w:val="7"/>
    <w:semiHidden/>
    <w:qFormat/>
    <w:uiPriority w:val="99"/>
    <w:rPr>
      <w:rFonts w:ascii="Calibri" w:hAnsi="Calibri" w:eastAsia="宋体" w:cs="Times New Roman"/>
      <w:b/>
      <w:bCs/>
    </w:rPr>
  </w:style>
  <w:style w:type="paragraph" w:customStyle="1" w:styleId="18">
    <w:name w:val="修订1"/>
    <w:hidden/>
    <w:semiHidden/>
    <w:qFormat/>
    <w:uiPriority w:val="99"/>
    <w:rPr>
      <w:rFonts w:ascii="Calibri" w:hAnsi="Calibri" w:eastAsia="宋体" w:cs="Times New Roman"/>
      <w:kern w:val="2"/>
      <w:sz w:val="21"/>
      <w:szCs w:val="22"/>
      <w:lang w:val="en-US" w:eastAsia="zh-CN" w:bidi="ar-SA"/>
    </w:rPr>
  </w:style>
  <w:style w:type="paragraph" w:customStyle="1" w:styleId="19">
    <w:name w:val="Revision"/>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299</Words>
  <Characters>1707</Characters>
  <Lines>14</Lines>
  <Paragraphs>4</Paragraphs>
  <TotalTime>9</TotalTime>
  <ScaleCrop>false</ScaleCrop>
  <LinksUpToDate>false</LinksUpToDate>
  <CharactersWithSpaces>2002</CharactersWithSpaces>
  <Application>WPS Office_12.8.2.19313_F1E327BC-269C-435d-A152-05C5408002CA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2022-04-23T23:29:00Z</dcterms:created>
  <dc:creator>whzhou</dc:creator>
  <cp:lastModifiedBy>wentinglou</cp:lastModifiedBy>
  <dcterms:modified xsi:type="dcterms:W3CDTF">2025-08-25T16:17:48Z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2052-12.8.2.19313</vt:lpwstr>
  </property>
  <property fmtid="{D5CDD505-2E9C-101B-9397-08002B2CF9AE}" pid="3" name="ICV">
    <vt:lpwstr>8286A411840640FA91E5AFB808DCED6D_13</vt:lpwstr>
  </property>
</Properties>
</file>