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120E9A">
      <w:pPr>
        <w:jc w:val="center"/>
        <w:rPr>
          <w:rStyle w:val="11"/>
          <w:rFonts w:hint="eastAsia" w:ascii="黑体" w:hAnsi="黑体" w:eastAsia="黑体"/>
          <w:sz w:val="36"/>
          <w:szCs w:val="36"/>
        </w:rPr>
      </w:pPr>
      <w:bookmarkStart w:id="1" w:name="_GoBack"/>
      <w:bookmarkEnd w:id="1"/>
      <w:bookmarkStart w:id="0" w:name="_Toc356840131"/>
      <w:r>
        <w:rPr>
          <w:rStyle w:val="11"/>
          <w:rFonts w:hint="eastAsia" w:ascii="黑体" w:hAnsi="黑体" w:eastAsia="黑体"/>
          <w:sz w:val="36"/>
          <w:szCs w:val="36"/>
        </w:rPr>
        <w:t>第三十七号 上市公司投资者说明会预告公告</w:t>
      </w:r>
      <w:bookmarkEnd w:id="0"/>
    </w:p>
    <w:p w14:paraId="3B112FE4">
      <w:pPr>
        <w:spacing w:line="560" w:lineRule="exact"/>
        <w:rPr>
          <w:rFonts w:ascii="宋体" w:hAnsi="宋体"/>
          <w:b/>
        </w:rPr>
      </w:pPr>
    </w:p>
    <w:p w14:paraId="00B5BEE2">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792D92A8">
      <w:pPr>
        <w:snapToGrid w:val="0"/>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本所上市公司面向全体股东召开业绩说明会、现金分红说明会、风险说明会、重大事项说明会等投资者说明会的，适用本公告格式，公告标题可以根据说明会的具体类型相应调整。</w:t>
      </w:r>
    </w:p>
    <w:p w14:paraId="70602E96">
      <w:pPr>
        <w:snapToGrid w:val="0"/>
        <w:spacing w:line="560" w:lineRule="exact"/>
        <w:jc w:val="center"/>
        <w:rPr>
          <w:rFonts w:hint="eastAsia" w:ascii="仿宋_GB2312" w:eastAsia="仿宋_GB2312"/>
          <w:color w:val="000000"/>
          <w:sz w:val="30"/>
          <w:szCs w:val="30"/>
        </w:rPr>
      </w:pPr>
    </w:p>
    <w:p w14:paraId="7A039BE1">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2EC52A04">
      <w:pPr>
        <w:adjustRightInd w:val="0"/>
        <w:snapToGrid w:val="0"/>
        <w:spacing w:line="560" w:lineRule="exact"/>
        <w:rPr>
          <w:rFonts w:hint="eastAsia" w:ascii="仿宋" w:hAnsi="仿宋" w:eastAsia="仿宋"/>
          <w:sz w:val="30"/>
          <w:szCs w:val="30"/>
        </w:rPr>
      </w:pPr>
    </w:p>
    <w:p w14:paraId="0250C6D9">
      <w:pPr>
        <w:snapToGrid w:val="0"/>
        <w:spacing w:line="560" w:lineRule="exact"/>
        <w:jc w:val="center"/>
        <w:rPr>
          <w:rFonts w:hint="eastAsia" w:ascii="仿宋_GB2312" w:hAnsi="宋体" w:eastAsia="仿宋_GB2312" w:cs="黑体-WinCharSetFFFF-H"/>
          <w:kern w:val="0"/>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hAnsi="宋体" w:eastAsia="仿宋_GB2312"/>
          <w:color w:val="000000"/>
          <w:sz w:val="30"/>
          <w:szCs w:val="30"/>
        </w:rPr>
        <w:t>股份有限公司X</w:t>
      </w:r>
      <w:r>
        <w:rPr>
          <w:rFonts w:ascii="仿宋_GB2312" w:hAnsi="宋体" w:eastAsia="仿宋_GB2312"/>
          <w:color w:val="000000"/>
          <w:sz w:val="30"/>
          <w:szCs w:val="30"/>
        </w:rPr>
        <w:t>XXX</w:t>
      </w:r>
      <w:r>
        <w:rPr>
          <w:rFonts w:hint="eastAsia" w:ascii="仿宋_GB2312" w:hAnsi="宋体" w:eastAsia="仿宋_GB2312"/>
          <w:color w:val="000000"/>
          <w:sz w:val="30"/>
          <w:szCs w:val="30"/>
        </w:rPr>
        <w:t>说明会（写明具体类型）预告</w:t>
      </w:r>
      <w:r>
        <w:rPr>
          <w:rFonts w:hint="eastAsia" w:ascii="仿宋_GB2312" w:hAnsi="宋体" w:eastAsia="仿宋_GB2312" w:cs="黑体-WinCharSetFFFF-H"/>
          <w:kern w:val="0"/>
          <w:sz w:val="30"/>
          <w:szCs w:val="30"/>
        </w:rPr>
        <w:t>公告</w:t>
      </w:r>
    </w:p>
    <w:p w14:paraId="35943A40">
      <w:pPr>
        <w:snapToGrid w:val="0"/>
        <w:spacing w:line="560" w:lineRule="exact"/>
        <w:jc w:val="center"/>
        <w:rPr>
          <w:rFonts w:ascii="仿宋_GB2312" w:hAnsi="宋体" w:eastAsia="仿宋_GB2312"/>
          <w:color w:val="000000"/>
          <w:sz w:val="30"/>
          <w:szCs w:val="30"/>
        </w:rPr>
      </w:pPr>
    </w:p>
    <w:p w14:paraId="253D955B">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7DE7F88E">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1DEBAEDB">
      <w:pPr>
        <w:adjustRightInd w:val="0"/>
        <w:snapToGrid w:val="0"/>
        <w:spacing w:line="560" w:lineRule="exact"/>
        <w:rPr>
          <w:rFonts w:ascii="仿宋_GB2312" w:hAnsi="宋体" w:eastAsia="仿宋_GB2312"/>
          <w:sz w:val="30"/>
          <w:szCs w:val="30"/>
        </w:rPr>
      </w:pPr>
    </w:p>
    <w:p w14:paraId="48F0B85E">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73D01900">
      <w:pPr>
        <w:numPr>
          <w:ilvl w:val="0"/>
          <w:numId w:val="1"/>
        </w:numPr>
        <w:adjustRightInd w:val="0"/>
        <w:snapToGrid w:val="0"/>
        <w:spacing w:line="560" w:lineRule="exact"/>
        <w:jc w:val="left"/>
        <w:rPr>
          <w:rFonts w:ascii="仿宋_GB2312" w:eastAsia="仿宋_GB2312"/>
          <w:color w:val="000000"/>
          <w:sz w:val="30"/>
          <w:szCs w:val="30"/>
        </w:rPr>
      </w:pPr>
      <w:r>
        <w:rPr>
          <w:rFonts w:hint="eastAsia" w:ascii="仿宋_GB2312" w:eastAsia="仿宋_GB2312"/>
          <w:color w:val="000000"/>
          <w:sz w:val="30"/>
          <w:szCs w:val="30"/>
        </w:rPr>
        <w:t>会议召开时间</w:t>
      </w:r>
    </w:p>
    <w:p w14:paraId="27B221D2">
      <w:pPr>
        <w:numPr>
          <w:ilvl w:val="0"/>
          <w:numId w:val="1"/>
        </w:numPr>
        <w:adjustRightInd w:val="0"/>
        <w:snapToGrid w:val="0"/>
        <w:spacing w:line="560" w:lineRule="exact"/>
        <w:jc w:val="left"/>
        <w:rPr>
          <w:rFonts w:ascii="仿宋_GB2312" w:eastAsia="仿宋_GB2312"/>
          <w:color w:val="000000"/>
          <w:sz w:val="30"/>
          <w:szCs w:val="30"/>
        </w:rPr>
      </w:pPr>
      <w:r>
        <w:rPr>
          <w:rFonts w:hint="eastAsia" w:ascii="仿宋_GB2312" w:eastAsia="仿宋_GB2312"/>
          <w:color w:val="000000"/>
          <w:sz w:val="30"/>
          <w:szCs w:val="30"/>
        </w:rPr>
        <w:t>会议召开地点</w:t>
      </w:r>
    </w:p>
    <w:p w14:paraId="2D296726">
      <w:pPr>
        <w:numPr>
          <w:ilvl w:val="0"/>
          <w:numId w:val="1"/>
        </w:numPr>
        <w:adjustRightInd w:val="0"/>
        <w:snapToGrid w:val="0"/>
        <w:spacing w:line="560" w:lineRule="exact"/>
        <w:jc w:val="left"/>
        <w:rPr>
          <w:rFonts w:ascii="仿宋_GB2312" w:eastAsia="仿宋_GB2312"/>
          <w:color w:val="000000"/>
          <w:sz w:val="30"/>
          <w:szCs w:val="30"/>
        </w:rPr>
      </w:pPr>
      <w:r>
        <w:rPr>
          <w:rFonts w:hint="eastAsia" w:ascii="仿宋_GB2312" w:eastAsia="仿宋_GB2312"/>
          <w:color w:val="000000"/>
          <w:sz w:val="30"/>
          <w:szCs w:val="30"/>
        </w:rPr>
        <w:t>会议召开方式</w:t>
      </w:r>
    </w:p>
    <w:p w14:paraId="1FDEAA86">
      <w:pPr>
        <w:numPr>
          <w:ilvl w:val="0"/>
          <w:numId w:val="1"/>
        </w:numPr>
        <w:adjustRightInd w:val="0"/>
        <w:snapToGrid w:val="0"/>
        <w:spacing w:line="560" w:lineRule="exact"/>
        <w:jc w:val="left"/>
        <w:rPr>
          <w:rFonts w:ascii="仿宋_GB2312" w:eastAsia="仿宋_GB2312"/>
          <w:color w:val="000000"/>
          <w:sz w:val="30"/>
          <w:szCs w:val="30"/>
        </w:rPr>
      </w:pPr>
      <w:r>
        <w:rPr>
          <w:rFonts w:hint="eastAsia" w:ascii="仿宋_GB2312" w:eastAsia="仿宋_GB2312"/>
          <w:color w:val="000000"/>
          <w:sz w:val="30"/>
          <w:szCs w:val="30"/>
        </w:rPr>
        <w:t>预征集投资者提问的相关安排，包括提问渠道、截止时间等</w:t>
      </w:r>
    </w:p>
    <w:p w14:paraId="36E00C36">
      <w:pPr>
        <w:adjustRightInd w:val="0"/>
        <w:snapToGrid w:val="0"/>
        <w:spacing w:line="560" w:lineRule="exact"/>
        <w:ind w:firstLine="600" w:firstLineChars="200"/>
        <w:jc w:val="left"/>
        <w:rPr>
          <w:rFonts w:ascii="仿宋" w:hAnsi="仿宋" w:eastAsia="仿宋"/>
          <w:sz w:val="30"/>
          <w:szCs w:val="30"/>
        </w:rPr>
      </w:pPr>
    </w:p>
    <w:p w14:paraId="72F07230">
      <w:pPr>
        <w:adjustRightInd w:val="0"/>
        <w:snapToGrid w:val="0"/>
        <w:spacing w:line="560" w:lineRule="exact"/>
        <w:ind w:firstLine="602" w:firstLineChars="200"/>
        <w:jc w:val="left"/>
        <w:rPr>
          <w:rFonts w:ascii="黑体" w:hAnsi="黑体" w:eastAsia="黑体"/>
          <w:b/>
          <w:sz w:val="30"/>
          <w:szCs w:val="30"/>
        </w:rPr>
      </w:pPr>
      <w:r>
        <w:rPr>
          <w:rFonts w:hint="eastAsia" w:ascii="黑体" w:hAnsi="黑体" w:eastAsia="黑体"/>
          <w:b/>
          <w:sz w:val="30"/>
          <w:szCs w:val="30"/>
        </w:rPr>
        <w:t>一、说明会类型</w:t>
      </w:r>
    </w:p>
    <w:p w14:paraId="2D1EBD24">
      <w:pPr>
        <w:adjustRightInd w:val="0"/>
        <w:snapToGrid w:val="0"/>
        <w:spacing w:line="560" w:lineRule="exact"/>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详细说明本次说明会的类型，披露说明会的具体事项。</w:t>
      </w:r>
    </w:p>
    <w:p w14:paraId="5F28DB1A">
      <w:pPr>
        <w:adjustRightInd w:val="0"/>
        <w:snapToGrid w:val="0"/>
        <w:spacing w:line="560" w:lineRule="exact"/>
        <w:ind w:firstLine="600" w:firstLineChars="200"/>
        <w:jc w:val="left"/>
        <w:rPr>
          <w:rFonts w:hint="eastAsia" w:ascii="仿宋_GB2312" w:eastAsia="仿宋_GB2312"/>
          <w:color w:val="000000"/>
          <w:sz w:val="30"/>
          <w:szCs w:val="30"/>
        </w:rPr>
      </w:pPr>
    </w:p>
    <w:p w14:paraId="305E9FA1">
      <w:pPr>
        <w:adjustRightInd w:val="0"/>
        <w:snapToGrid w:val="0"/>
        <w:spacing w:line="560" w:lineRule="exact"/>
        <w:ind w:firstLine="602" w:firstLineChars="200"/>
        <w:jc w:val="left"/>
        <w:rPr>
          <w:rFonts w:ascii="黑体" w:hAnsi="黑体" w:eastAsia="黑体"/>
          <w:b/>
          <w:sz w:val="30"/>
          <w:szCs w:val="30"/>
        </w:rPr>
      </w:pPr>
      <w:r>
        <w:rPr>
          <w:rFonts w:hint="eastAsia" w:ascii="黑体" w:hAnsi="黑体" w:eastAsia="黑体"/>
          <w:b/>
          <w:sz w:val="30"/>
          <w:szCs w:val="30"/>
        </w:rPr>
        <w:t>二、说明会召开的时间、地点</w:t>
      </w:r>
    </w:p>
    <w:p w14:paraId="5A1C0F69">
      <w:pPr>
        <w:adjustRightInd w:val="0"/>
        <w:snapToGrid w:val="0"/>
        <w:spacing w:line="560" w:lineRule="exact"/>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详细说明本次说明会的召开时间、地点和方式。</w:t>
      </w:r>
    </w:p>
    <w:p w14:paraId="22EF82ED">
      <w:pPr>
        <w:adjustRightInd w:val="0"/>
        <w:snapToGrid w:val="0"/>
        <w:spacing w:line="560" w:lineRule="exact"/>
        <w:ind w:firstLine="600" w:firstLineChars="200"/>
        <w:jc w:val="left"/>
        <w:rPr>
          <w:rFonts w:hint="eastAsia" w:ascii="仿宋_GB2312" w:eastAsia="仿宋_GB2312"/>
          <w:color w:val="000000"/>
          <w:sz w:val="30"/>
          <w:szCs w:val="30"/>
        </w:rPr>
      </w:pPr>
    </w:p>
    <w:p w14:paraId="0BD0B246">
      <w:pPr>
        <w:adjustRightInd w:val="0"/>
        <w:snapToGrid w:val="0"/>
        <w:spacing w:line="560" w:lineRule="exact"/>
        <w:ind w:firstLine="602" w:firstLineChars="200"/>
        <w:jc w:val="left"/>
        <w:rPr>
          <w:rFonts w:ascii="黑体" w:hAnsi="黑体" w:eastAsia="黑体"/>
          <w:b/>
          <w:sz w:val="30"/>
          <w:szCs w:val="30"/>
        </w:rPr>
      </w:pPr>
      <w:r>
        <w:rPr>
          <w:rFonts w:hint="eastAsia" w:ascii="黑体" w:hAnsi="黑体" w:eastAsia="黑体"/>
          <w:b/>
          <w:sz w:val="30"/>
          <w:szCs w:val="30"/>
        </w:rPr>
        <w:t>三、参加人员</w:t>
      </w:r>
    </w:p>
    <w:p w14:paraId="47497518">
      <w:pPr>
        <w:adjustRightInd w:val="0"/>
        <w:snapToGrid w:val="0"/>
        <w:spacing w:line="56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详细说明参加说明会的机构及个人，包括：</w:t>
      </w:r>
    </w:p>
    <w:p w14:paraId="2E47A53F">
      <w:pPr>
        <w:numPr>
          <w:ilvl w:val="0"/>
          <w:numId w:val="2"/>
        </w:numPr>
        <w:adjustRightInd w:val="0"/>
        <w:snapToGrid w:val="0"/>
        <w:spacing w:line="560" w:lineRule="exact"/>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上市公司：列明上市公司参加说明会的相关人员信息。</w:t>
      </w:r>
    </w:p>
    <w:p w14:paraId="64F4EF78">
      <w:pPr>
        <w:adjustRightInd w:val="0"/>
        <w:snapToGrid w:val="0"/>
        <w:spacing w:line="560" w:lineRule="exact"/>
        <w:ind w:firstLine="480" w:firstLineChars="200"/>
        <w:jc w:val="left"/>
        <w:rPr>
          <w:rFonts w:hint="eastAsia"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根据《上海证券交易所上市公司自律监管指引第1号——规范运作》第7.3.2条第一款规定，参与投资者说明会的上市公司人员应当包括公司董事长（或者总经理）、财务负责人、至少一名独立董事、董事会秘书。）</w:t>
      </w:r>
    </w:p>
    <w:p w14:paraId="3374BA80">
      <w:pPr>
        <w:adjustRightInd w:val="0"/>
        <w:snapToGrid w:val="0"/>
        <w:spacing w:line="56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（二）投资者：列明参加说明会的机构投资者名称。</w:t>
      </w:r>
    </w:p>
    <w:p w14:paraId="4CD2BADB">
      <w:pPr>
        <w:adjustRightInd w:val="0"/>
        <w:snapToGrid w:val="0"/>
        <w:spacing w:line="56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（三）中介机构：列明参加说明会的中介机构名称。</w:t>
      </w:r>
    </w:p>
    <w:p w14:paraId="48FE3AC8">
      <w:pPr>
        <w:adjustRightInd w:val="0"/>
        <w:snapToGrid w:val="0"/>
        <w:spacing w:line="560" w:lineRule="exact"/>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（四）其他相关人员：列明除上述机构和个人以外的媒体、相关监管机构、行业专家等其他参加人员，并简要说明其相关信息。</w:t>
      </w:r>
    </w:p>
    <w:p w14:paraId="1B7135BD">
      <w:pPr>
        <w:adjustRightInd w:val="0"/>
        <w:snapToGrid w:val="0"/>
        <w:spacing w:line="560" w:lineRule="exact"/>
        <w:ind w:firstLine="600" w:firstLineChars="200"/>
        <w:jc w:val="left"/>
        <w:rPr>
          <w:rFonts w:hint="eastAsia" w:ascii="仿宋_GB2312" w:eastAsia="仿宋_GB2312"/>
          <w:color w:val="000000"/>
          <w:sz w:val="30"/>
          <w:szCs w:val="30"/>
        </w:rPr>
      </w:pPr>
    </w:p>
    <w:p w14:paraId="3895F661">
      <w:pPr>
        <w:adjustRightInd w:val="0"/>
        <w:snapToGrid w:val="0"/>
        <w:spacing w:line="560" w:lineRule="exact"/>
        <w:ind w:firstLine="602" w:firstLineChars="200"/>
        <w:jc w:val="left"/>
        <w:rPr>
          <w:rFonts w:ascii="黑体" w:hAnsi="黑体" w:eastAsia="黑体"/>
          <w:b/>
          <w:sz w:val="30"/>
          <w:szCs w:val="30"/>
        </w:rPr>
      </w:pPr>
      <w:r>
        <w:rPr>
          <w:rFonts w:hint="eastAsia" w:ascii="黑体" w:hAnsi="黑体" w:eastAsia="黑体"/>
          <w:b/>
          <w:sz w:val="30"/>
          <w:szCs w:val="30"/>
        </w:rPr>
        <w:t>四、投资者参加方式</w:t>
      </w:r>
    </w:p>
    <w:p w14:paraId="44C1D74F">
      <w:pPr>
        <w:adjustRightInd w:val="0"/>
        <w:snapToGrid w:val="0"/>
        <w:spacing w:line="56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（一）详细说明机构和个人参加相关说明会的方式，例如现场、网络、电话方式。</w:t>
      </w:r>
    </w:p>
    <w:p w14:paraId="47450ED4">
      <w:pPr>
        <w:adjustRightInd w:val="0"/>
        <w:snapToGrid w:val="0"/>
        <w:spacing w:line="560" w:lineRule="exact"/>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（二）预征集投资者提问的相关安排，包括提问渠道、截止时间等。</w:t>
      </w:r>
    </w:p>
    <w:p w14:paraId="31445620">
      <w:pPr>
        <w:adjustRightInd w:val="0"/>
        <w:snapToGrid w:val="0"/>
        <w:spacing w:line="560" w:lineRule="exact"/>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公司应当在投资者说明会召开前以及召开期间为投资者开通提问渠道，做好投资者提问征集工作，并在说明会上对投资者关注的问题予以答复。</w:t>
      </w:r>
    </w:p>
    <w:p w14:paraId="5D8B7AC7">
      <w:pPr>
        <w:adjustRightInd w:val="0"/>
        <w:snapToGrid w:val="0"/>
        <w:spacing w:line="560" w:lineRule="exact"/>
        <w:ind w:firstLine="600" w:firstLineChars="200"/>
        <w:jc w:val="left"/>
        <w:rPr>
          <w:rFonts w:hint="eastAsia" w:ascii="仿宋_GB2312" w:eastAsia="仿宋_GB2312"/>
          <w:color w:val="000000"/>
          <w:sz w:val="30"/>
          <w:szCs w:val="30"/>
        </w:rPr>
      </w:pPr>
    </w:p>
    <w:p w14:paraId="193BC1F1">
      <w:pPr>
        <w:adjustRightInd w:val="0"/>
        <w:snapToGrid w:val="0"/>
        <w:spacing w:line="560" w:lineRule="exact"/>
        <w:ind w:firstLine="602" w:firstLineChars="200"/>
        <w:jc w:val="left"/>
        <w:rPr>
          <w:rFonts w:ascii="黑体" w:hAnsi="黑体" w:eastAsia="黑体"/>
          <w:b/>
          <w:sz w:val="30"/>
          <w:szCs w:val="30"/>
        </w:rPr>
      </w:pPr>
      <w:r>
        <w:rPr>
          <w:rFonts w:hint="eastAsia" w:ascii="黑体" w:hAnsi="黑体" w:eastAsia="黑体"/>
          <w:b/>
          <w:sz w:val="30"/>
          <w:szCs w:val="30"/>
        </w:rPr>
        <w:t>五、联系人及咨询办法</w:t>
      </w:r>
    </w:p>
    <w:p w14:paraId="5830E991">
      <w:pPr>
        <w:adjustRightInd w:val="0"/>
        <w:snapToGrid w:val="0"/>
        <w:spacing w:line="560" w:lineRule="exact"/>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上市公司投资者说明会的负责人及联系方式。</w:t>
      </w:r>
    </w:p>
    <w:p w14:paraId="4CE72017">
      <w:pPr>
        <w:adjustRightInd w:val="0"/>
        <w:snapToGrid w:val="0"/>
        <w:spacing w:line="560" w:lineRule="exact"/>
        <w:ind w:firstLine="600" w:firstLineChars="200"/>
        <w:jc w:val="left"/>
        <w:rPr>
          <w:rFonts w:hint="eastAsia" w:ascii="仿宋_GB2312" w:eastAsia="仿宋_GB2312"/>
          <w:color w:val="000000"/>
          <w:sz w:val="30"/>
          <w:szCs w:val="30"/>
        </w:rPr>
      </w:pPr>
    </w:p>
    <w:p w14:paraId="3373358D">
      <w:pPr>
        <w:adjustRightInd w:val="0"/>
        <w:snapToGrid w:val="0"/>
        <w:spacing w:line="560" w:lineRule="exact"/>
        <w:ind w:firstLine="602" w:firstLineChars="200"/>
        <w:jc w:val="left"/>
        <w:rPr>
          <w:rFonts w:ascii="黑体" w:hAnsi="黑体" w:eastAsia="黑体"/>
          <w:b/>
          <w:sz w:val="30"/>
          <w:szCs w:val="30"/>
        </w:rPr>
      </w:pPr>
      <w:r>
        <w:rPr>
          <w:rFonts w:hint="eastAsia" w:ascii="黑体" w:hAnsi="黑体" w:eastAsia="黑体"/>
          <w:b/>
          <w:sz w:val="30"/>
          <w:szCs w:val="30"/>
        </w:rPr>
        <w:t>六、其他事项</w:t>
      </w:r>
    </w:p>
    <w:p w14:paraId="3243E834">
      <w:pPr>
        <w:adjustRightInd w:val="0"/>
        <w:snapToGrid w:val="0"/>
        <w:spacing w:line="560" w:lineRule="exact"/>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会后供投资者回看或查阅的方式，全面如实地向投资者反映说明会的召开情况。</w:t>
      </w:r>
    </w:p>
    <w:p w14:paraId="21093632">
      <w:pPr>
        <w:adjustRightInd w:val="0"/>
        <w:snapToGrid w:val="0"/>
        <w:spacing w:line="560" w:lineRule="exact"/>
        <w:ind w:firstLine="600" w:firstLineChars="200"/>
        <w:jc w:val="left"/>
        <w:rPr>
          <w:rFonts w:ascii="仿宋_GB2312" w:eastAsia="仿宋_GB2312"/>
          <w:color w:val="000000"/>
          <w:sz w:val="30"/>
          <w:szCs w:val="30"/>
        </w:rPr>
      </w:pPr>
    </w:p>
    <w:p w14:paraId="344059F4">
      <w:pPr>
        <w:adjustRightInd w:val="0"/>
        <w:snapToGrid w:val="0"/>
        <w:spacing w:line="560" w:lineRule="exact"/>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特此公告。</w:t>
      </w:r>
    </w:p>
    <w:p w14:paraId="6A33EC3D">
      <w:pPr>
        <w:adjustRightInd w:val="0"/>
        <w:snapToGrid w:val="0"/>
        <w:spacing w:line="560" w:lineRule="exact"/>
        <w:ind w:firstLine="600" w:firstLineChars="200"/>
        <w:jc w:val="right"/>
        <w:rPr>
          <w:rFonts w:ascii="仿宋_GB2312" w:eastAsia="仿宋_GB2312"/>
          <w:color w:val="000000"/>
          <w:sz w:val="30"/>
          <w:szCs w:val="30"/>
        </w:rPr>
      </w:pPr>
    </w:p>
    <w:p w14:paraId="42717401">
      <w:pPr>
        <w:adjustRightInd w:val="0"/>
        <w:snapToGrid w:val="0"/>
        <w:spacing w:line="560" w:lineRule="exact"/>
        <w:ind w:firstLine="600" w:firstLineChars="200"/>
        <w:jc w:val="right"/>
        <w:rPr>
          <w:rFonts w:ascii="仿宋_GB2312" w:eastAsia="仿宋_GB2312"/>
          <w:color w:val="000000"/>
          <w:sz w:val="30"/>
          <w:szCs w:val="30"/>
        </w:rPr>
      </w:pPr>
      <w:r>
        <w:rPr>
          <w:rFonts w:hint="eastAsia" w:ascii="仿宋_GB2312" w:hAnsi="宋体" w:eastAsia="仿宋_GB2312"/>
          <w:color w:val="000000"/>
          <w:sz w:val="30"/>
          <w:szCs w:val="30"/>
        </w:rPr>
        <w:t>××××</w:t>
      </w:r>
      <w:r>
        <w:rPr>
          <w:rFonts w:hint="eastAsia" w:ascii="仿宋_GB2312" w:eastAsia="仿宋_GB2312"/>
          <w:color w:val="000000"/>
          <w:sz w:val="30"/>
          <w:szCs w:val="30"/>
        </w:rPr>
        <w:t>股份有限公司董事会</w:t>
      </w:r>
    </w:p>
    <w:p w14:paraId="1264148C">
      <w:pPr>
        <w:adjustRightInd w:val="0"/>
        <w:snapToGrid w:val="0"/>
        <w:spacing w:line="560" w:lineRule="exact"/>
        <w:ind w:firstLine="600" w:firstLineChars="200"/>
        <w:jc w:val="right"/>
        <w:rPr>
          <w:rFonts w:hint="eastAsia" w:ascii="仿宋_GB2312" w:eastAsia="仿宋_GB2312"/>
          <w:color w:val="000000"/>
          <w:sz w:val="30"/>
          <w:szCs w:val="30"/>
        </w:rPr>
      </w:pPr>
      <w:r>
        <w:rPr>
          <w:rFonts w:hint="eastAsia" w:ascii="仿宋_GB2312" w:eastAsia="仿宋_GB2312"/>
          <w:color w:val="000000"/>
          <w:sz w:val="30"/>
          <w:szCs w:val="30"/>
        </w:rPr>
        <w:t>年</w:t>
      </w:r>
      <w:r>
        <w:rPr>
          <w:rFonts w:ascii="仿宋_GB2312" w:eastAsia="仿宋_GB2312"/>
          <w:color w:val="000000"/>
          <w:sz w:val="30"/>
          <w:szCs w:val="30"/>
        </w:rPr>
        <w:t xml:space="preserve">  </w:t>
      </w:r>
      <w:r>
        <w:rPr>
          <w:rFonts w:hint="eastAsia" w:ascii="仿宋_GB2312" w:eastAsia="仿宋_GB2312"/>
          <w:color w:val="000000"/>
          <w:sz w:val="30"/>
          <w:szCs w:val="30"/>
        </w:rPr>
        <w:t>月</w:t>
      </w:r>
      <w:r>
        <w:rPr>
          <w:rFonts w:ascii="仿宋_GB2312" w:eastAsia="仿宋_GB2312"/>
          <w:color w:val="000000"/>
          <w:sz w:val="30"/>
          <w:szCs w:val="30"/>
        </w:rPr>
        <w:t xml:space="preserve">  </w:t>
      </w:r>
      <w:r>
        <w:rPr>
          <w:rFonts w:hint="eastAsia" w:ascii="仿宋_GB2312" w:eastAsia="仿宋_GB2312"/>
          <w:color w:val="000000"/>
          <w:sz w:val="30"/>
          <w:szCs w:val="30"/>
        </w:rPr>
        <w:t>日</w:t>
      </w:r>
    </w:p>
    <w:p w14:paraId="0558ADA0">
      <w:pPr>
        <w:adjustRightInd w:val="0"/>
        <w:snapToGrid w:val="0"/>
        <w:spacing w:line="560" w:lineRule="exact"/>
        <w:ind w:firstLine="600" w:firstLineChars="200"/>
        <w:jc w:val="left"/>
        <w:rPr>
          <w:rFonts w:hint="eastAsia" w:ascii="仿宋_GB2312" w:eastAsia="仿宋_GB2312"/>
          <w:color w:val="000000"/>
          <w:sz w:val="30"/>
          <w:szCs w:val="30"/>
        </w:rPr>
      </w:pPr>
    </w:p>
    <w:p w14:paraId="2400BB55">
      <w:pPr>
        <w:adjustRightInd w:val="0"/>
        <w:snapToGrid w:val="0"/>
        <w:spacing w:line="560" w:lineRule="exact"/>
        <w:ind w:firstLine="600" w:firstLineChars="200"/>
        <w:jc w:val="left"/>
        <w:rPr>
          <w:rFonts w:ascii="仿宋_GB2312" w:eastAsia="仿宋_GB2312"/>
          <w:color w:val="000000"/>
          <w:sz w:val="30"/>
          <w:szCs w:val="30"/>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C0379">
    <w:pPr>
      <w:pStyle w:val="5"/>
      <w:jc w:val="center"/>
    </w:pPr>
    <w:r>
      <w:fldChar w:fldCharType="begin"/>
    </w:r>
    <w:r>
      <w:instrText xml:space="preserve"> PAGE   \* MERGEFORMAT </w:instrText>
    </w:r>
    <w:r>
      <w:fldChar w:fldCharType="separate"/>
    </w:r>
    <w:r>
      <w:rPr>
        <w:lang w:val="zh-CN"/>
      </w:rPr>
      <w:t>1</w:t>
    </w:r>
    <w:r>
      <w:fldChar w:fldCharType="end"/>
    </w:r>
  </w:p>
  <w:p w14:paraId="7F81E78C">
    <w:pPr>
      <w:pStyle w:val="5"/>
      <w:ind w:right="360"/>
      <w:jc w:val="center"/>
      <w:rPr>
        <w:rFonts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13F3C">
    <w:pPr>
      <w:pStyle w:val="5"/>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14:paraId="42A38008">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C8C57">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90876"/>
    <w:multiLevelType w:val="multilevel"/>
    <w:tmpl w:val="0EB90876"/>
    <w:lvl w:ilvl="0" w:tentative="0">
      <w:start w:val="1"/>
      <w:numFmt w:val="bullet"/>
      <w:lvlText w:val=""/>
      <w:lvlJc w:val="left"/>
      <w:pPr>
        <w:tabs>
          <w:tab w:val="left" w:pos="1005"/>
        </w:tabs>
        <w:ind w:left="1005" w:hanging="420"/>
      </w:pPr>
      <w:rPr>
        <w:rFonts w:hint="default" w:ascii="Wingdings" w:hAnsi="Wingdings"/>
      </w:rPr>
    </w:lvl>
    <w:lvl w:ilvl="1" w:tentative="0">
      <w:start w:val="1"/>
      <w:numFmt w:val="bullet"/>
      <w:lvlText w:val=""/>
      <w:lvlJc w:val="left"/>
      <w:pPr>
        <w:ind w:left="1425" w:hanging="420"/>
      </w:pPr>
      <w:rPr>
        <w:rFonts w:hint="default" w:ascii="Wingdings" w:hAnsi="Wingdings"/>
      </w:rPr>
    </w:lvl>
    <w:lvl w:ilvl="2" w:tentative="0">
      <w:start w:val="1"/>
      <w:numFmt w:val="bullet"/>
      <w:lvlText w:val=""/>
      <w:lvlJc w:val="left"/>
      <w:pPr>
        <w:ind w:left="1845" w:hanging="420"/>
      </w:pPr>
      <w:rPr>
        <w:rFonts w:hint="default" w:ascii="Wingdings" w:hAnsi="Wingdings"/>
      </w:rPr>
    </w:lvl>
    <w:lvl w:ilvl="3" w:tentative="0">
      <w:start w:val="1"/>
      <w:numFmt w:val="bullet"/>
      <w:lvlText w:val=""/>
      <w:lvlJc w:val="left"/>
      <w:pPr>
        <w:ind w:left="2265" w:hanging="420"/>
      </w:pPr>
      <w:rPr>
        <w:rFonts w:hint="default" w:ascii="Wingdings" w:hAnsi="Wingdings"/>
      </w:rPr>
    </w:lvl>
    <w:lvl w:ilvl="4" w:tentative="0">
      <w:start w:val="1"/>
      <w:numFmt w:val="bullet"/>
      <w:lvlText w:val=""/>
      <w:lvlJc w:val="left"/>
      <w:pPr>
        <w:ind w:left="2685" w:hanging="420"/>
      </w:pPr>
      <w:rPr>
        <w:rFonts w:hint="default" w:ascii="Wingdings" w:hAnsi="Wingdings"/>
      </w:rPr>
    </w:lvl>
    <w:lvl w:ilvl="5" w:tentative="0">
      <w:start w:val="1"/>
      <w:numFmt w:val="bullet"/>
      <w:lvlText w:val=""/>
      <w:lvlJc w:val="left"/>
      <w:pPr>
        <w:ind w:left="3105" w:hanging="420"/>
      </w:pPr>
      <w:rPr>
        <w:rFonts w:hint="default" w:ascii="Wingdings" w:hAnsi="Wingdings"/>
      </w:rPr>
    </w:lvl>
    <w:lvl w:ilvl="6" w:tentative="0">
      <w:start w:val="1"/>
      <w:numFmt w:val="bullet"/>
      <w:lvlText w:val=""/>
      <w:lvlJc w:val="left"/>
      <w:pPr>
        <w:ind w:left="3525" w:hanging="420"/>
      </w:pPr>
      <w:rPr>
        <w:rFonts w:hint="default" w:ascii="Wingdings" w:hAnsi="Wingdings"/>
      </w:rPr>
    </w:lvl>
    <w:lvl w:ilvl="7" w:tentative="0">
      <w:start w:val="1"/>
      <w:numFmt w:val="bullet"/>
      <w:lvlText w:val=""/>
      <w:lvlJc w:val="left"/>
      <w:pPr>
        <w:ind w:left="3945" w:hanging="420"/>
      </w:pPr>
      <w:rPr>
        <w:rFonts w:hint="default" w:ascii="Wingdings" w:hAnsi="Wingdings"/>
      </w:rPr>
    </w:lvl>
    <w:lvl w:ilvl="8" w:tentative="0">
      <w:start w:val="1"/>
      <w:numFmt w:val="bullet"/>
      <w:lvlText w:val=""/>
      <w:lvlJc w:val="left"/>
      <w:pPr>
        <w:ind w:left="4365" w:hanging="420"/>
      </w:pPr>
      <w:rPr>
        <w:rFonts w:hint="default" w:ascii="Wingdings" w:hAnsi="Wingdings"/>
      </w:rPr>
    </w:lvl>
  </w:abstractNum>
  <w:abstractNum w:abstractNumId="1">
    <w:nsid w:val="1276F366"/>
    <w:multiLevelType w:val="singleLevel"/>
    <w:tmpl w:val="1276F36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201"/>
    <w:rsid w:val="0008456D"/>
    <w:rsid w:val="00095925"/>
    <w:rsid w:val="00100C7C"/>
    <w:rsid w:val="001515A1"/>
    <w:rsid w:val="00173C5E"/>
    <w:rsid w:val="001925CB"/>
    <w:rsid w:val="001A792E"/>
    <w:rsid w:val="002061F0"/>
    <w:rsid w:val="00240892"/>
    <w:rsid w:val="002760DE"/>
    <w:rsid w:val="002A6482"/>
    <w:rsid w:val="002D06BE"/>
    <w:rsid w:val="002E4B61"/>
    <w:rsid w:val="00311EBC"/>
    <w:rsid w:val="00314ADB"/>
    <w:rsid w:val="00333535"/>
    <w:rsid w:val="003428CE"/>
    <w:rsid w:val="003616FA"/>
    <w:rsid w:val="003775A9"/>
    <w:rsid w:val="003F6FA7"/>
    <w:rsid w:val="004302E9"/>
    <w:rsid w:val="0044662A"/>
    <w:rsid w:val="00486588"/>
    <w:rsid w:val="00495379"/>
    <w:rsid w:val="005248B7"/>
    <w:rsid w:val="00544631"/>
    <w:rsid w:val="00557F79"/>
    <w:rsid w:val="00574258"/>
    <w:rsid w:val="00576BED"/>
    <w:rsid w:val="00663941"/>
    <w:rsid w:val="006967B7"/>
    <w:rsid w:val="0070756D"/>
    <w:rsid w:val="00765123"/>
    <w:rsid w:val="0077086C"/>
    <w:rsid w:val="008513DE"/>
    <w:rsid w:val="00857AB4"/>
    <w:rsid w:val="00876B4E"/>
    <w:rsid w:val="008B22C7"/>
    <w:rsid w:val="008B5431"/>
    <w:rsid w:val="008E1834"/>
    <w:rsid w:val="00941936"/>
    <w:rsid w:val="00991E4A"/>
    <w:rsid w:val="009B66BB"/>
    <w:rsid w:val="009D10C0"/>
    <w:rsid w:val="009E3967"/>
    <w:rsid w:val="00A5131D"/>
    <w:rsid w:val="00A64CFA"/>
    <w:rsid w:val="00A82CA6"/>
    <w:rsid w:val="00BE0CAF"/>
    <w:rsid w:val="00C17BE8"/>
    <w:rsid w:val="00C24B90"/>
    <w:rsid w:val="00C465E4"/>
    <w:rsid w:val="00C53A80"/>
    <w:rsid w:val="00C577B0"/>
    <w:rsid w:val="00C96421"/>
    <w:rsid w:val="00CD1FA9"/>
    <w:rsid w:val="00CF33E7"/>
    <w:rsid w:val="00CF4E72"/>
    <w:rsid w:val="00D003D0"/>
    <w:rsid w:val="00D66056"/>
    <w:rsid w:val="00E466A6"/>
    <w:rsid w:val="00E55101"/>
    <w:rsid w:val="00F34F66"/>
    <w:rsid w:val="00F87C1C"/>
    <w:rsid w:val="00FD169D"/>
    <w:rsid w:val="00FF3DA9"/>
    <w:rsid w:val="01E7603C"/>
    <w:rsid w:val="02E80F26"/>
    <w:rsid w:val="04990D10"/>
    <w:rsid w:val="37587D43"/>
    <w:rsid w:val="62A74EAD"/>
    <w:rsid w:val="70B07A3E"/>
    <w:rsid w:val="CCFE67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Document Map"/>
    <w:basedOn w:val="1"/>
    <w:link w:val="21"/>
    <w:qFormat/>
    <w:uiPriority w:val="0"/>
    <w:rPr>
      <w:rFonts w:ascii="宋体"/>
      <w:sz w:val="18"/>
      <w:szCs w:val="18"/>
    </w:rPr>
  </w:style>
  <w:style w:type="paragraph" w:styleId="3">
    <w:name w:val="annotation text"/>
    <w:basedOn w:val="1"/>
    <w:link w:val="19"/>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itle"/>
    <w:basedOn w:val="1"/>
    <w:next w:val="1"/>
    <w:link w:val="16"/>
    <w:qFormat/>
    <w:uiPriority w:val="0"/>
    <w:pPr>
      <w:spacing w:before="240" w:after="60"/>
      <w:jc w:val="center"/>
      <w:outlineLvl w:val="0"/>
    </w:pPr>
    <w:rPr>
      <w:rFonts w:ascii="Cambria" w:hAnsi="Cambria"/>
      <w:b/>
      <w:bCs/>
      <w:sz w:val="32"/>
      <w:szCs w:val="32"/>
    </w:rPr>
  </w:style>
  <w:style w:type="paragraph" w:styleId="8">
    <w:name w:val="annotation subject"/>
    <w:basedOn w:val="3"/>
    <w:next w:val="3"/>
    <w:link w:val="20"/>
    <w:qFormat/>
    <w:uiPriority w:val="0"/>
    <w:rPr>
      <w:b/>
      <w:bCs/>
    </w:rPr>
  </w:style>
  <w:style w:type="character" w:styleId="11">
    <w:name w:val="Strong"/>
    <w:qFormat/>
    <w:uiPriority w:val="0"/>
    <w:rPr>
      <w:b/>
      <w:bCs/>
    </w:rPr>
  </w:style>
  <w:style w:type="character" w:styleId="12">
    <w:name w:val="page number"/>
    <w:qFormat/>
    <w:uiPriority w:val="0"/>
  </w:style>
  <w:style w:type="character" w:styleId="13">
    <w:name w:val="annotation reference"/>
    <w:qFormat/>
    <w:uiPriority w:val="0"/>
    <w:rPr>
      <w:sz w:val="21"/>
      <w:szCs w:val="21"/>
    </w:rPr>
  </w:style>
  <w:style w:type="character" w:customStyle="1" w:styleId="14">
    <w:name w:val="批注框文本 Char"/>
    <w:link w:val="4"/>
    <w:qFormat/>
    <w:uiPriority w:val="0"/>
    <w:rPr>
      <w:kern w:val="2"/>
      <w:sz w:val="18"/>
      <w:szCs w:val="18"/>
    </w:rPr>
  </w:style>
  <w:style w:type="character" w:customStyle="1" w:styleId="15">
    <w:name w:val="页脚 Char"/>
    <w:link w:val="5"/>
    <w:qFormat/>
    <w:locked/>
    <w:uiPriority w:val="99"/>
    <w:rPr>
      <w:rFonts w:eastAsia="宋体"/>
      <w:kern w:val="2"/>
      <w:sz w:val="18"/>
      <w:lang w:val="en-US" w:eastAsia="zh-CN" w:bidi="ar-SA"/>
    </w:rPr>
  </w:style>
  <w:style w:type="character" w:customStyle="1" w:styleId="16">
    <w:name w:val="标题 Char"/>
    <w:link w:val="7"/>
    <w:qFormat/>
    <w:locked/>
    <w:uiPriority w:val="0"/>
    <w:rPr>
      <w:rFonts w:ascii="Cambria" w:hAnsi="Cambria" w:eastAsia="宋体"/>
      <w:b/>
      <w:bCs/>
      <w:kern w:val="2"/>
      <w:sz w:val="32"/>
      <w:szCs w:val="32"/>
      <w:lang w:val="en-US" w:eastAsia="zh-CN" w:bidi="ar-SA"/>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_Style 17"/>
    <w:hidden/>
    <w:unhideWhenUsed/>
    <w:qFormat/>
    <w:uiPriority w:val="99"/>
    <w:rPr>
      <w:rFonts w:ascii="Times New Roman" w:hAnsi="Times New Roman" w:eastAsia="宋体" w:cs="Times New Roman"/>
      <w:kern w:val="2"/>
      <w:sz w:val="21"/>
      <w:lang w:val="en-US" w:eastAsia="zh-CN" w:bidi="ar-SA"/>
    </w:rPr>
  </w:style>
  <w:style w:type="character" w:customStyle="1" w:styleId="19">
    <w:name w:val="批注文字 Char"/>
    <w:link w:val="3"/>
    <w:qFormat/>
    <w:uiPriority w:val="0"/>
    <w:rPr>
      <w:kern w:val="2"/>
      <w:sz w:val="21"/>
    </w:rPr>
  </w:style>
  <w:style w:type="character" w:customStyle="1" w:styleId="20">
    <w:name w:val="批注主题 Char"/>
    <w:link w:val="8"/>
    <w:qFormat/>
    <w:uiPriority w:val="0"/>
    <w:rPr>
      <w:b/>
      <w:bCs/>
      <w:kern w:val="2"/>
      <w:sz w:val="21"/>
    </w:rPr>
  </w:style>
  <w:style w:type="character" w:customStyle="1" w:styleId="21">
    <w:name w:val="文档结构图 Char"/>
    <w:link w:val="2"/>
    <w:qFormat/>
    <w:uiPriority w:val="0"/>
    <w:rPr>
      <w:rFonts w:ascii="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entinglou/C:\Users\whzhou\AppData\Local\Temp\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3</Pages>
  <Words>141</Words>
  <Characters>805</Characters>
  <Lines>6</Lines>
  <Paragraphs>1</Paragraphs>
  <TotalTime>0</TotalTime>
  <ScaleCrop>false</ScaleCrop>
  <LinksUpToDate>false</LinksUpToDate>
  <CharactersWithSpaces>945</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2022-04-24T08:48:00Z</dcterms:created>
  <dc:creator>wentinglou</dc:creator>
  <cp:lastModifiedBy>wentinglou</cp:lastModifiedBy>
  <dcterms:modified xsi:type="dcterms:W3CDTF">2025-08-25T16:16:50Z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14CCCD09E5574A58BAFA1F3CCD082BCD</vt:lpwstr>
  </property>
</Properties>
</file>