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Toc330904154"/>
    <w:bookmarkStart w:id="1" w:name="_Toc340839638"/>
    <w:p w14:paraId="18E67DB0" w14:textId="6E663A94" w:rsidR="00C64855" w:rsidRDefault="003834FB">
      <w:pPr>
        <w:pStyle w:val="1"/>
        <w:adjustRightInd w:val="0"/>
        <w:snapToGrid w:val="0"/>
        <w:spacing w:before="0" w:after="0" w:line="600" w:lineRule="exact"/>
        <w:jc w:val="center"/>
        <w:rPr>
          <w:rFonts w:ascii="黑体" w:eastAsia="黑体" w:hAnsi="黑体"/>
          <w:sz w:val="36"/>
          <w:szCs w:val="30"/>
        </w:rPr>
      </w:pPr>
      <w:r>
        <w:rPr>
          <w:rFonts w:ascii="黑体" w:eastAsia="黑体" w:hAnsi="黑体"/>
          <w:sz w:val="36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黑体"/>
          <w:sz w:val="36"/>
          <w:szCs w:val="30"/>
        </w:rPr>
        <w:instrText>ADDIN CNKISM.UserStyle</w:instrText>
      </w:r>
      <w:r>
        <w:rPr>
          <w:rFonts w:ascii="黑体" w:eastAsia="黑体" w:hAnsi="黑体"/>
          <w:sz w:val="36"/>
          <w:szCs w:val="30"/>
        </w:rPr>
      </w:r>
      <w:r>
        <w:rPr>
          <w:rFonts w:ascii="黑体" w:eastAsia="黑体" w:hAnsi="黑体"/>
          <w:sz w:val="36"/>
          <w:szCs w:val="30"/>
        </w:rPr>
        <w:fldChar w:fldCharType="separate"/>
      </w:r>
      <w:r>
        <w:rPr>
          <w:rFonts w:ascii="黑体" w:eastAsia="黑体" w:hAnsi="黑体"/>
          <w:sz w:val="36"/>
          <w:szCs w:val="30"/>
        </w:rPr>
        <w:fldChar w:fldCharType="end"/>
      </w:r>
      <w:r w:rsidR="00FA3D26">
        <w:rPr>
          <w:rFonts w:ascii="黑体" w:eastAsia="黑体" w:hAnsi="黑体" w:hint="eastAsia"/>
          <w:sz w:val="36"/>
          <w:szCs w:val="30"/>
        </w:rPr>
        <w:t>科创板上市公司重大事项停牌</w:t>
      </w:r>
      <w:bookmarkEnd w:id="0"/>
      <w:bookmarkEnd w:id="1"/>
    </w:p>
    <w:p w14:paraId="102521AA" w14:textId="77777777" w:rsidR="00C64855" w:rsidRDefault="00FA3D26">
      <w:pPr>
        <w:spacing w:line="600" w:lineRule="exact"/>
        <w:jc w:val="center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Ansi="宋体" w:cs="宋体" w:hint="eastAsia"/>
          <w:color w:val="0000FF"/>
          <w:kern w:val="0"/>
          <w:sz w:val="24"/>
          <w:szCs w:val="28"/>
        </w:rPr>
        <w:t>（此公告涉及业务流程及操作，请按相关要求逐项编制公告，勿随意删改）</w:t>
      </w:r>
    </w:p>
    <w:p w14:paraId="06441138" w14:textId="77777777" w:rsidR="00C64855" w:rsidRDefault="00C64855">
      <w:pPr>
        <w:widowControl/>
        <w:adjustRightInd w:val="0"/>
        <w:snapToGrid w:val="0"/>
        <w:spacing w:line="600" w:lineRule="exact"/>
        <w:rPr>
          <w:rFonts w:ascii="仿宋_GB2312" w:eastAsia="仿宋_GB2312" w:hAnsi="宋体"/>
          <w:b/>
          <w:sz w:val="30"/>
          <w:szCs w:val="30"/>
        </w:rPr>
      </w:pPr>
    </w:p>
    <w:p w14:paraId="7401D918" w14:textId="77777777" w:rsidR="00C64855" w:rsidRDefault="00FA3D26">
      <w:pPr>
        <w:adjustRightInd w:val="0"/>
        <w:snapToGrid w:val="0"/>
        <w:spacing w:line="600" w:lineRule="exact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适用情形：</w:t>
      </w:r>
    </w:p>
    <w:p w14:paraId="75626839" w14:textId="77777777" w:rsidR="00C64855" w:rsidRDefault="00FA3D26">
      <w:pPr>
        <w:adjustRightInd w:val="0"/>
        <w:snapToGrid w:val="0"/>
        <w:spacing w:line="600" w:lineRule="exact"/>
        <w:ind w:firstLine="585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1.</w:t>
      </w:r>
      <w:r>
        <w:rPr>
          <w:rFonts w:ascii="仿宋_GB2312" w:eastAsia="仿宋_GB2312" w:hAnsi="宋体" w:hint="eastAsia"/>
          <w:sz w:val="30"/>
          <w:szCs w:val="30"/>
        </w:rPr>
        <w:t>科创板上市公司</w:t>
      </w:r>
      <w:r>
        <w:rPr>
          <w:rFonts w:ascii="仿宋_GB2312" w:eastAsia="仿宋_GB2312" w:hint="eastAsia"/>
          <w:sz w:val="30"/>
          <w:szCs w:val="30"/>
        </w:rPr>
        <w:t>因筹划重大事项（重大资产重组除外）申请停牌，应当符合《上市公司自律监管指引第</w:t>
      </w:r>
      <w:r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号——停复牌》</w:t>
      </w:r>
      <w:r>
        <w:rPr>
          <w:rFonts w:ascii="仿宋_GB2312" w:eastAsia="仿宋_GB2312" w:hAnsi="宋体" w:hint="eastAsia"/>
          <w:bCs/>
          <w:sz w:val="30"/>
          <w:szCs w:val="30"/>
        </w:rPr>
        <w:t>的要求，并适用本业务操作指引履行信息披露义务。</w:t>
      </w:r>
    </w:p>
    <w:p w14:paraId="32C11E39" w14:textId="77777777" w:rsidR="00C64855" w:rsidRDefault="00FA3D26">
      <w:pPr>
        <w:adjustRightInd w:val="0"/>
        <w:snapToGrid w:val="0"/>
        <w:spacing w:line="600" w:lineRule="exact"/>
        <w:ind w:firstLine="585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2.</w:t>
      </w:r>
      <w:r>
        <w:rPr>
          <w:rFonts w:ascii="仿宋_GB2312" w:eastAsia="仿宋_GB2312" w:hAnsi="宋体" w:hint="eastAsia"/>
          <w:sz w:val="30"/>
          <w:szCs w:val="30"/>
        </w:rPr>
        <w:t>科创板上市公司</w:t>
      </w:r>
      <w:r>
        <w:rPr>
          <w:rFonts w:ascii="仿宋_GB2312" w:eastAsia="仿宋_GB2312" w:hint="eastAsia"/>
          <w:sz w:val="30"/>
          <w:szCs w:val="30"/>
        </w:rPr>
        <w:t>因筹划重大资产重组申请停牌，应当</w:t>
      </w:r>
      <w:r>
        <w:rPr>
          <w:rFonts w:ascii="仿宋_GB2312" w:eastAsia="仿宋_GB2312" w:hAnsi="宋体" w:hint="eastAsia"/>
          <w:bCs/>
          <w:sz w:val="30"/>
          <w:szCs w:val="30"/>
        </w:rPr>
        <w:t>适用</w:t>
      </w:r>
      <w:r>
        <w:rPr>
          <w:rFonts w:ascii="仿宋_GB2312" w:eastAsia="仿宋_GB2312" w:hAnsi="宋体" w:hint="eastAsia"/>
          <w:sz w:val="30"/>
          <w:szCs w:val="30"/>
        </w:rPr>
        <w:t>《上市公司自律监管指引第</w:t>
      </w:r>
      <w:r>
        <w:rPr>
          <w:rFonts w:ascii="仿宋_GB2312" w:eastAsia="仿宋_GB2312" w:hAnsi="宋体" w:hint="eastAsia"/>
          <w:sz w:val="30"/>
          <w:szCs w:val="30"/>
        </w:rPr>
        <w:t>6</w:t>
      </w:r>
      <w:r>
        <w:rPr>
          <w:rFonts w:ascii="仿宋_GB2312" w:eastAsia="仿宋_GB2312" w:hAnsi="宋体" w:hint="eastAsia"/>
          <w:sz w:val="30"/>
          <w:szCs w:val="30"/>
        </w:rPr>
        <w:t>号——重大资产重组》所附</w:t>
      </w:r>
      <w:r>
        <w:rPr>
          <w:rFonts w:ascii="仿宋_GB2312" w:eastAsia="仿宋_GB2312" w:hAnsi="宋体" w:hint="eastAsia"/>
          <w:bCs/>
          <w:sz w:val="30"/>
          <w:szCs w:val="30"/>
        </w:rPr>
        <w:t>指引。</w:t>
      </w:r>
    </w:p>
    <w:p w14:paraId="124D1E4F" w14:textId="77777777" w:rsidR="00C64855" w:rsidRDefault="00C64855">
      <w:pPr>
        <w:widowControl/>
        <w:adjustRightInd w:val="0"/>
        <w:snapToGrid w:val="0"/>
        <w:spacing w:line="600" w:lineRule="exact"/>
        <w:rPr>
          <w:rFonts w:ascii="仿宋_GB2312" w:eastAsia="仿宋_GB2312" w:hAnsi="宋体"/>
          <w:b/>
          <w:sz w:val="30"/>
          <w:szCs w:val="30"/>
        </w:rPr>
      </w:pPr>
    </w:p>
    <w:p w14:paraId="0D988485" w14:textId="77777777" w:rsidR="00C64855" w:rsidRDefault="00FA3D26">
      <w:pPr>
        <w:adjustRightInd w:val="0"/>
        <w:snapToGri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证券代码：</w:t>
      </w:r>
      <w:r>
        <w:rPr>
          <w:rFonts w:ascii="仿宋_GB2312" w:eastAsia="仿宋_GB2312" w:hAnsi="宋体" w:hint="eastAsia"/>
          <w:sz w:val="30"/>
          <w:szCs w:val="30"/>
        </w:rPr>
        <w:t xml:space="preserve">             </w:t>
      </w:r>
      <w:r>
        <w:rPr>
          <w:rFonts w:ascii="仿宋_GB2312" w:eastAsia="仿宋_GB2312" w:hAnsi="宋体" w:hint="eastAsia"/>
          <w:sz w:val="30"/>
          <w:szCs w:val="30"/>
        </w:rPr>
        <w:t>证券简称：</w:t>
      </w:r>
      <w:r>
        <w:rPr>
          <w:rFonts w:ascii="仿宋_GB2312" w:eastAsia="仿宋_GB2312" w:hAnsi="宋体" w:hint="eastAsia"/>
          <w:sz w:val="30"/>
          <w:szCs w:val="30"/>
        </w:rPr>
        <w:t xml:space="preserve">            </w:t>
      </w:r>
      <w:r>
        <w:rPr>
          <w:rFonts w:ascii="仿宋_GB2312" w:eastAsia="仿宋_GB2312" w:hAnsi="宋体" w:hint="eastAsia"/>
          <w:sz w:val="30"/>
          <w:szCs w:val="30"/>
        </w:rPr>
        <w:t>公告编号：</w:t>
      </w:r>
    </w:p>
    <w:p w14:paraId="3C260EC0" w14:textId="77777777" w:rsidR="00C64855" w:rsidRDefault="00C64855">
      <w:pPr>
        <w:pStyle w:val="ab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 w:cs="Arial"/>
          <w:sz w:val="30"/>
          <w:szCs w:val="30"/>
        </w:rPr>
      </w:pPr>
    </w:p>
    <w:p w14:paraId="2A1685FE" w14:textId="77777777" w:rsidR="00C64855" w:rsidRDefault="00FA3D26">
      <w:pPr>
        <w:adjustRightInd w:val="0"/>
        <w:snapToGrid w:val="0"/>
        <w:spacing w:line="600" w:lineRule="exact"/>
        <w:jc w:val="center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XXXX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股份有限公司重大事项停牌公告</w:t>
      </w:r>
    </w:p>
    <w:p w14:paraId="6EAB7ACA" w14:textId="77777777" w:rsidR="00C64855" w:rsidRDefault="00C64855">
      <w:pPr>
        <w:pStyle w:val="ab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 w:cs="Arial"/>
          <w:sz w:val="30"/>
          <w:szCs w:val="30"/>
        </w:rPr>
      </w:pPr>
    </w:p>
    <w:p w14:paraId="245AF0C4" w14:textId="77777777" w:rsidR="00C64855" w:rsidRDefault="00FA3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600" w:lineRule="exac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    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本公司董事会及全体董事保证本公告内容不存在任何虚假记载、误导性陈述或者重大遗漏，并对其内容的真实性、准确性和完整性依法承担法律责任。</w:t>
      </w:r>
    </w:p>
    <w:p w14:paraId="415F3D49" w14:textId="77777777" w:rsidR="00C64855" w:rsidRDefault="00FA3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600" w:lineRule="exac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    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如有董事对临时公告内容的真实性、准确性和完整性无法保证或存在异议的，公司应当在公告中作特别提示。</w:t>
      </w:r>
    </w:p>
    <w:p w14:paraId="04E399DE" w14:textId="77777777" w:rsidR="00C64855" w:rsidRDefault="00C64855">
      <w:pPr>
        <w:pStyle w:val="ab"/>
        <w:adjustRightInd w:val="0"/>
        <w:snapToGrid w:val="0"/>
        <w:spacing w:before="0" w:beforeAutospacing="0" w:after="0" w:afterAutospacing="0" w:line="600" w:lineRule="exact"/>
        <w:ind w:firstLineChars="200" w:firstLine="600"/>
        <w:rPr>
          <w:rFonts w:ascii="仿宋_GB2312" w:eastAsia="仿宋_GB2312" w:cs="Arial"/>
          <w:sz w:val="30"/>
          <w:szCs w:val="30"/>
        </w:rPr>
      </w:pPr>
    </w:p>
    <w:p w14:paraId="275610B0" w14:textId="77777777" w:rsidR="00C64855" w:rsidRDefault="00FA3D26">
      <w:pPr>
        <w:pStyle w:val="ab"/>
        <w:adjustRightInd w:val="0"/>
        <w:snapToGrid w:val="0"/>
        <w:spacing w:before="0" w:beforeAutospacing="0" w:after="0" w:afterAutospacing="0" w:line="600" w:lineRule="exact"/>
        <w:ind w:firstLineChars="200" w:firstLine="600"/>
        <w:rPr>
          <w:rFonts w:ascii="仿宋_GB2312" w:eastAsia="仿宋_GB2312" w:cs="Arial"/>
          <w:sz w:val="30"/>
          <w:szCs w:val="30"/>
        </w:rPr>
      </w:pPr>
      <w:r>
        <w:rPr>
          <w:rFonts w:ascii="仿宋_GB2312" w:eastAsia="仿宋_GB2312" w:cs="Arial" w:hint="eastAsia"/>
          <w:sz w:val="30"/>
          <w:szCs w:val="30"/>
        </w:rPr>
        <w:t>因本公司（或者相关信息披露义务人）正在筹划</w:t>
      </w:r>
      <w:r>
        <w:rPr>
          <w:rFonts w:ascii="仿宋_GB2312" w:eastAsia="仿宋_GB2312" w:cs="Arial" w:hint="eastAsia"/>
          <w:sz w:val="30"/>
          <w:szCs w:val="30"/>
        </w:rPr>
        <w:t>XX</w:t>
      </w:r>
      <w:r>
        <w:rPr>
          <w:rFonts w:ascii="仿宋_GB2312" w:eastAsia="仿宋_GB2312" w:cs="Arial" w:hint="eastAsia"/>
          <w:sz w:val="30"/>
          <w:szCs w:val="30"/>
        </w:rPr>
        <w:t>重大事项（应当明确说明重大事项类型及内容），鉴于该事项存在重大不确定性，为保证公平信息披露，维护投资者利益，避免造成公</w:t>
      </w:r>
      <w:r>
        <w:rPr>
          <w:rFonts w:ascii="仿宋_GB2312" w:eastAsia="仿宋_GB2312" w:cs="Arial" w:hint="eastAsia"/>
          <w:sz w:val="30"/>
          <w:szCs w:val="30"/>
        </w:rPr>
        <w:lastRenderedPageBreak/>
        <w:t>司股价异常波动，经公司申请，本公司股票自</w:t>
      </w:r>
      <w:r>
        <w:rPr>
          <w:rFonts w:ascii="仿宋_GB2312" w:eastAsia="仿宋_GB2312" w:cs="Arial" w:hint="eastAsia"/>
          <w:sz w:val="30"/>
          <w:szCs w:val="30"/>
        </w:rPr>
        <w:t>XXXX</w:t>
      </w:r>
      <w:r>
        <w:rPr>
          <w:rFonts w:ascii="仿宋_GB2312" w:eastAsia="仿宋_GB2312" w:cs="Arial" w:hint="eastAsia"/>
          <w:sz w:val="30"/>
          <w:szCs w:val="30"/>
        </w:rPr>
        <w:t>年</w:t>
      </w:r>
      <w:r>
        <w:rPr>
          <w:rFonts w:ascii="仿宋_GB2312" w:eastAsia="仿宋_GB2312" w:cs="Arial" w:hint="eastAsia"/>
          <w:sz w:val="30"/>
          <w:szCs w:val="30"/>
        </w:rPr>
        <w:t>XX</w:t>
      </w:r>
      <w:r>
        <w:rPr>
          <w:rFonts w:ascii="仿宋_GB2312" w:eastAsia="仿宋_GB2312" w:cs="Arial" w:hint="eastAsia"/>
          <w:sz w:val="30"/>
          <w:szCs w:val="30"/>
        </w:rPr>
        <w:t>月</w:t>
      </w:r>
      <w:r>
        <w:rPr>
          <w:rFonts w:ascii="仿宋_GB2312" w:eastAsia="仿宋_GB2312" w:cs="Arial" w:hint="eastAsia"/>
          <w:sz w:val="30"/>
          <w:szCs w:val="30"/>
        </w:rPr>
        <w:t>XX</w:t>
      </w:r>
      <w:r>
        <w:rPr>
          <w:rFonts w:ascii="仿宋_GB2312" w:eastAsia="仿宋_GB2312" w:cs="Arial" w:hint="eastAsia"/>
          <w:sz w:val="30"/>
          <w:szCs w:val="30"/>
        </w:rPr>
        <w:t>日起停牌。预计停牌时间不超过</w:t>
      </w:r>
      <w:r>
        <w:rPr>
          <w:rFonts w:ascii="仿宋_GB2312" w:eastAsia="仿宋_GB2312" w:cs="Arial" w:hint="eastAsia"/>
          <w:sz w:val="30"/>
          <w:szCs w:val="30"/>
        </w:rPr>
        <w:t>XX</w:t>
      </w:r>
      <w:r>
        <w:rPr>
          <w:rFonts w:ascii="仿宋_GB2312" w:eastAsia="仿宋_GB2312" w:cs="Arial" w:hint="eastAsia"/>
          <w:sz w:val="30"/>
          <w:szCs w:val="30"/>
        </w:rPr>
        <w:t>个交易日。</w:t>
      </w:r>
    </w:p>
    <w:p w14:paraId="4BB39635" w14:textId="77777777" w:rsidR="00C64855" w:rsidRDefault="00FA3D26">
      <w:pPr>
        <w:pStyle w:val="ab"/>
        <w:adjustRightInd w:val="0"/>
        <w:snapToGrid w:val="0"/>
        <w:spacing w:before="0" w:beforeAutospacing="0" w:after="0" w:afterAutospacing="0" w:line="600" w:lineRule="exact"/>
        <w:ind w:firstLineChars="200" w:firstLine="600"/>
        <w:jc w:val="both"/>
        <w:rPr>
          <w:rFonts w:ascii="仿宋_GB2312" w:eastAsia="仿宋_GB2312" w:cs="Arial"/>
          <w:sz w:val="30"/>
          <w:szCs w:val="30"/>
        </w:rPr>
      </w:pPr>
      <w:r>
        <w:rPr>
          <w:rFonts w:ascii="仿宋_GB2312" w:eastAsia="仿宋_GB2312" w:cs="Arial" w:hint="eastAsia"/>
          <w:sz w:val="30"/>
          <w:szCs w:val="30"/>
        </w:rPr>
        <w:t>公司（或者相关信息披露义务人）承诺将尽快确定是否进行上述重大事项，并于股票停牌之日起的</w:t>
      </w:r>
      <w:r>
        <w:rPr>
          <w:rFonts w:ascii="仿宋_GB2312" w:eastAsia="仿宋_GB2312" w:cs="Arial" w:hint="eastAsia"/>
          <w:sz w:val="30"/>
          <w:szCs w:val="30"/>
        </w:rPr>
        <w:t>XX</w:t>
      </w:r>
      <w:r>
        <w:rPr>
          <w:rFonts w:ascii="仿宋_GB2312" w:eastAsia="仿宋_GB2312" w:cs="Arial" w:hint="eastAsia"/>
          <w:sz w:val="30"/>
          <w:szCs w:val="30"/>
        </w:rPr>
        <w:t>个交易日内（含停牌当日）公告并复牌。股票停牌期间，公司将根据相关事项进展情况，严格按照有关法律法规的规定和要求履行信息披露义务。公司指定信息披露媒体为《</w:t>
      </w:r>
      <w:r>
        <w:rPr>
          <w:rFonts w:ascii="仿宋_GB2312" w:eastAsia="仿宋_GB2312" w:cs="Arial" w:hint="eastAsia"/>
          <w:sz w:val="30"/>
          <w:szCs w:val="30"/>
        </w:rPr>
        <w:t>XX</w:t>
      </w:r>
      <w:r>
        <w:rPr>
          <w:rFonts w:ascii="仿宋_GB2312" w:eastAsia="仿宋_GB2312" w:cs="Arial" w:hint="eastAsia"/>
          <w:sz w:val="30"/>
          <w:szCs w:val="30"/>
        </w:rPr>
        <w:t>报》及上海证券交易所网站（</w:t>
      </w:r>
      <w:r>
        <w:rPr>
          <w:rFonts w:ascii="仿宋_GB2312" w:eastAsia="仿宋_GB2312" w:cs="Arial" w:hint="eastAsia"/>
          <w:sz w:val="30"/>
          <w:szCs w:val="30"/>
        </w:rPr>
        <w:t>www.sse.com.cn</w:t>
      </w:r>
      <w:r>
        <w:rPr>
          <w:rFonts w:ascii="仿宋_GB2312" w:eastAsia="仿宋_GB2312" w:cs="Arial" w:hint="eastAsia"/>
          <w:sz w:val="30"/>
          <w:szCs w:val="30"/>
        </w:rPr>
        <w:t>），有关公司的信息均以在上述指定信息披露媒体刊登的为准，敬请广大投资者关注后续公告并注意投资风险。</w:t>
      </w:r>
    </w:p>
    <w:p w14:paraId="3482F612" w14:textId="77777777" w:rsidR="00C64855" w:rsidRDefault="00C64855">
      <w:pPr>
        <w:pStyle w:val="ab"/>
        <w:adjustRightInd w:val="0"/>
        <w:snapToGrid w:val="0"/>
        <w:spacing w:before="0" w:beforeAutospacing="0" w:after="0" w:afterAutospacing="0" w:line="600" w:lineRule="exact"/>
        <w:ind w:firstLineChars="200" w:firstLine="600"/>
        <w:jc w:val="both"/>
        <w:rPr>
          <w:rFonts w:ascii="仿宋_GB2312" w:eastAsia="仿宋_GB2312" w:cs="Arial"/>
          <w:sz w:val="30"/>
          <w:szCs w:val="30"/>
        </w:rPr>
      </w:pPr>
    </w:p>
    <w:p w14:paraId="5BCD0230" w14:textId="77777777" w:rsidR="00C64855" w:rsidRDefault="00FA3D26">
      <w:pPr>
        <w:pStyle w:val="ab"/>
        <w:adjustRightInd w:val="0"/>
        <w:snapToGrid w:val="0"/>
        <w:spacing w:before="0" w:beforeAutospacing="0" w:after="0" w:afterAutospacing="0" w:line="600" w:lineRule="exact"/>
        <w:ind w:firstLineChars="200" w:firstLine="600"/>
        <w:rPr>
          <w:rFonts w:ascii="仿宋_GB2312" w:eastAsia="仿宋_GB2312" w:cs="Arial"/>
          <w:sz w:val="30"/>
          <w:szCs w:val="30"/>
        </w:rPr>
      </w:pPr>
      <w:r>
        <w:rPr>
          <w:rFonts w:ascii="仿宋_GB2312" w:eastAsia="仿宋_GB2312" w:cs="Arial" w:hint="eastAsia"/>
          <w:sz w:val="30"/>
          <w:szCs w:val="30"/>
        </w:rPr>
        <w:t>特此公</w:t>
      </w:r>
      <w:r>
        <w:rPr>
          <w:rFonts w:ascii="仿宋_GB2312" w:eastAsia="仿宋_GB2312" w:cs="Arial" w:hint="eastAsia"/>
          <w:sz w:val="30"/>
          <w:szCs w:val="30"/>
        </w:rPr>
        <w:t>告。</w:t>
      </w:r>
    </w:p>
    <w:p w14:paraId="7BBAED3B" w14:textId="77777777" w:rsidR="00C64855" w:rsidRDefault="00C64855">
      <w:pPr>
        <w:pStyle w:val="ab"/>
        <w:adjustRightInd w:val="0"/>
        <w:snapToGrid w:val="0"/>
        <w:spacing w:before="0" w:beforeAutospacing="0" w:after="0" w:afterAutospacing="0" w:line="600" w:lineRule="exact"/>
        <w:ind w:firstLineChars="200" w:firstLine="600"/>
        <w:rPr>
          <w:rFonts w:ascii="仿宋_GB2312" w:eastAsia="仿宋_GB2312" w:cs="Arial"/>
          <w:sz w:val="30"/>
          <w:szCs w:val="30"/>
        </w:rPr>
      </w:pPr>
    </w:p>
    <w:p w14:paraId="131CB256" w14:textId="77777777" w:rsidR="00C64855" w:rsidRDefault="00FA3D26">
      <w:pPr>
        <w:pStyle w:val="ab"/>
        <w:adjustRightInd w:val="0"/>
        <w:snapToGrid w:val="0"/>
        <w:spacing w:before="0" w:beforeAutospacing="0" w:after="0" w:afterAutospacing="0" w:line="600" w:lineRule="exact"/>
        <w:ind w:firstLineChars="200" w:firstLine="600"/>
        <w:jc w:val="right"/>
        <w:rPr>
          <w:rFonts w:ascii="仿宋_GB2312" w:eastAsia="仿宋_GB2312" w:cs="Arial"/>
          <w:sz w:val="30"/>
          <w:szCs w:val="30"/>
        </w:rPr>
      </w:pPr>
      <w:r>
        <w:rPr>
          <w:rFonts w:ascii="仿宋_GB2312" w:eastAsia="仿宋_GB2312" w:cs="Arial" w:hint="eastAsia"/>
          <w:sz w:val="30"/>
          <w:szCs w:val="30"/>
        </w:rPr>
        <w:t>XXXX</w:t>
      </w:r>
      <w:r>
        <w:rPr>
          <w:rFonts w:ascii="仿宋_GB2312" w:eastAsia="仿宋_GB2312" w:cs="Arial" w:hint="eastAsia"/>
          <w:sz w:val="30"/>
          <w:szCs w:val="30"/>
        </w:rPr>
        <w:t>股份有限公司董事会</w:t>
      </w:r>
    </w:p>
    <w:p w14:paraId="30918ED0" w14:textId="77777777" w:rsidR="00C64855" w:rsidRDefault="00FA3D26">
      <w:pPr>
        <w:pStyle w:val="ab"/>
        <w:adjustRightInd w:val="0"/>
        <w:snapToGrid w:val="0"/>
        <w:spacing w:before="0" w:beforeAutospacing="0" w:after="0" w:afterAutospacing="0" w:line="600" w:lineRule="exact"/>
        <w:ind w:firstLineChars="200" w:firstLine="600"/>
        <w:jc w:val="right"/>
        <w:rPr>
          <w:rFonts w:ascii="仿宋_GB2312" w:eastAsia="仿宋_GB2312" w:cs="Arial"/>
          <w:sz w:val="30"/>
          <w:szCs w:val="30"/>
        </w:rPr>
      </w:pPr>
      <w:r>
        <w:rPr>
          <w:rFonts w:ascii="仿宋_GB2312" w:eastAsia="仿宋_GB2312" w:cs="Arial" w:hint="eastAsia"/>
          <w:sz w:val="30"/>
          <w:szCs w:val="30"/>
        </w:rPr>
        <w:t>年</w:t>
      </w:r>
      <w:r>
        <w:rPr>
          <w:rFonts w:ascii="仿宋_GB2312" w:eastAsia="仿宋_GB2312" w:cs="Arial" w:hint="eastAsia"/>
          <w:sz w:val="30"/>
          <w:szCs w:val="30"/>
        </w:rPr>
        <w:t xml:space="preserve">  </w:t>
      </w:r>
      <w:r>
        <w:rPr>
          <w:rFonts w:ascii="仿宋_GB2312" w:eastAsia="仿宋_GB2312" w:cs="Arial" w:hint="eastAsia"/>
          <w:sz w:val="30"/>
          <w:szCs w:val="30"/>
        </w:rPr>
        <w:t>月</w:t>
      </w:r>
      <w:r>
        <w:rPr>
          <w:rFonts w:ascii="仿宋_GB2312" w:eastAsia="仿宋_GB2312" w:cs="Arial" w:hint="eastAsia"/>
          <w:sz w:val="30"/>
          <w:szCs w:val="30"/>
        </w:rPr>
        <w:t xml:space="preserve">  </w:t>
      </w:r>
      <w:r>
        <w:rPr>
          <w:rFonts w:ascii="仿宋_GB2312" w:eastAsia="仿宋_GB2312" w:cs="Arial" w:hint="eastAsia"/>
          <w:sz w:val="30"/>
          <w:szCs w:val="30"/>
        </w:rPr>
        <w:t>日</w:t>
      </w:r>
    </w:p>
    <w:p w14:paraId="5FE7B59A" w14:textId="083E29C6" w:rsidR="00C64855" w:rsidRDefault="00C64855">
      <w:pPr>
        <w:pStyle w:val="ab"/>
        <w:adjustRightInd w:val="0"/>
        <w:snapToGrid w:val="0"/>
        <w:spacing w:before="0" w:beforeAutospacing="0" w:after="0" w:afterAutospacing="0"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bookmarkStart w:id="2" w:name="_GoBack"/>
      <w:bookmarkEnd w:id="2"/>
    </w:p>
    <w:sectPr w:rsidR="00C64855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4F490" w14:textId="77777777" w:rsidR="00FA3D26" w:rsidRDefault="00FA3D26">
      <w:r>
        <w:separator/>
      </w:r>
    </w:p>
  </w:endnote>
  <w:endnote w:type="continuationSeparator" w:id="0">
    <w:p w14:paraId="049229B0" w14:textId="77777777" w:rsidR="00FA3D26" w:rsidRDefault="00FA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792C6" w14:textId="77777777" w:rsidR="00C64855" w:rsidRDefault="00FA3D26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28DA6AE" w14:textId="77777777" w:rsidR="00C64855" w:rsidRDefault="00C6485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6E5C0" w14:textId="783291C6" w:rsidR="00C64855" w:rsidRDefault="00FA3D26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8154B">
      <w:rPr>
        <w:rStyle w:val="ae"/>
        <w:noProof/>
      </w:rPr>
      <w:t>1</w:t>
    </w:r>
    <w:r>
      <w:rPr>
        <w:rStyle w:val="ae"/>
      </w:rPr>
      <w:fldChar w:fldCharType="end"/>
    </w:r>
  </w:p>
  <w:p w14:paraId="0727899D" w14:textId="77777777" w:rsidR="00C64855" w:rsidRDefault="00C6485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21729" w14:textId="77777777" w:rsidR="00FA3D26" w:rsidRDefault="00FA3D26">
      <w:r>
        <w:separator/>
      </w:r>
    </w:p>
  </w:footnote>
  <w:footnote w:type="continuationSeparator" w:id="0">
    <w:p w14:paraId="580517E2" w14:textId="77777777" w:rsidR="00FA3D26" w:rsidRDefault="00FA3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16D32"/>
    <w:multiLevelType w:val="multilevel"/>
    <w:tmpl w:val="47816D32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5610"/>
    <w:rsid w:val="000658E5"/>
    <w:rsid w:val="000768AF"/>
    <w:rsid w:val="0008366A"/>
    <w:rsid w:val="000F695F"/>
    <w:rsid w:val="00172A27"/>
    <w:rsid w:val="0018154B"/>
    <w:rsid w:val="001A3E72"/>
    <w:rsid w:val="001B35E9"/>
    <w:rsid w:val="001E055F"/>
    <w:rsid w:val="00217CAE"/>
    <w:rsid w:val="00245EB3"/>
    <w:rsid w:val="00267A27"/>
    <w:rsid w:val="00274343"/>
    <w:rsid w:val="002A5325"/>
    <w:rsid w:val="002D2F96"/>
    <w:rsid w:val="00303467"/>
    <w:rsid w:val="003834FB"/>
    <w:rsid w:val="003B1AEE"/>
    <w:rsid w:val="003D36C0"/>
    <w:rsid w:val="00421198"/>
    <w:rsid w:val="004531F2"/>
    <w:rsid w:val="00464F56"/>
    <w:rsid w:val="004721C5"/>
    <w:rsid w:val="004A47B1"/>
    <w:rsid w:val="004E25E5"/>
    <w:rsid w:val="005E76C2"/>
    <w:rsid w:val="005F08D3"/>
    <w:rsid w:val="00607511"/>
    <w:rsid w:val="00624759"/>
    <w:rsid w:val="00646390"/>
    <w:rsid w:val="006679F7"/>
    <w:rsid w:val="006F3E31"/>
    <w:rsid w:val="006F4238"/>
    <w:rsid w:val="00700669"/>
    <w:rsid w:val="007042B0"/>
    <w:rsid w:val="00735EC2"/>
    <w:rsid w:val="00791CFF"/>
    <w:rsid w:val="007C694C"/>
    <w:rsid w:val="007E1FF2"/>
    <w:rsid w:val="007F5292"/>
    <w:rsid w:val="008327A4"/>
    <w:rsid w:val="00851563"/>
    <w:rsid w:val="00853F73"/>
    <w:rsid w:val="00881643"/>
    <w:rsid w:val="0088198A"/>
    <w:rsid w:val="00926162"/>
    <w:rsid w:val="00933139"/>
    <w:rsid w:val="00970D86"/>
    <w:rsid w:val="009847F3"/>
    <w:rsid w:val="009E49C1"/>
    <w:rsid w:val="00A259EC"/>
    <w:rsid w:val="00A460A7"/>
    <w:rsid w:val="00A63514"/>
    <w:rsid w:val="00A83D0A"/>
    <w:rsid w:val="00A97BF0"/>
    <w:rsid w:val="00AC62B5"/>
    <w:rsid w:val="00AE41C8"/>
    <w:rsid w:val="00AE41DC"/>
    <w:rsid w:val="00AF3533"/>
    <w:rsid w:val="00AF5EA8"/>
    <w:rsid w:val="00B2501C"/>
    <w:rsid w:val="00B715DE"/>
    <w:rsid w:val="00B76031"/>
    <w:rsid w:val="00BD3A4E"/>
    <w:rsid w:val="00BE4E44"/>
    <w:rsid w:val="00C272D6"/>
    <w:rsid w:val="00C64855"/>
    <w:rsid w:val="00C707FE"/>
    <w:rsid w:val="00CE1B56"/>
    <w:rsid w:val="00D45678"/>
    <w:rsid w:val="00DB3AAB"/>
    <w:rsid w:val="00E13345"/>
    <w:rsid w:val="00EC3BDB"/>
    <w:rsid w:val="00ED7147"/>
    <w:rsid w:val="00EE380C"/>
    <w:rsid w:val="00F074A7"/>
    <w:rsid w:val="00F96725"/>
    <w:rsid w:val="00FA3D26"/>
    <w:rsid w:val="00FA7A08"/>
    <w:rsid w:val="00FE50CE"/>
    <w:rsid w:val="50E8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722C0E"/>
  <w15:docId w15:val="{F7F8BB28-8B72-4138-B503-649D146E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Pr>
      <w:rFonts w:ascii="宋体"/>
      <w:sz w:val="18"/>
      <w:szCs w:val="18"/>
    </w:rPr>
  </w:style>
  <w:style w:type="paragraph" w:styleId="a5">
    <w:name w:val="annotation text"/>
    <w:basedOn w:val="a"/>
    <w:link w:val="a6"/>
    <w:pPr>
      <w:jc w:val="left"/>
    </w:pPr>
  </w:style>
  <w:style w:type="paragraph" w:styleId="a7">
    <w:name w:val="Balloon Text"/>
    <w:basedOn w:val="a"/>
    <w:link w:val="a8"/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annotation subject"/>
    <w:basedOn w:val="a5"/>
    <w:next w:val="a5"/>
    <w:link w:val="ad"/>
    <w:rPr>
      <w:b/>
      <w:bCs/>
    </w:rPr>
  </w:style>
  <w:style w:type="character" w:styleId="ae">
    <w:name w:val="page number"/>
    <w:basedOn w:val="a0"/>
  </w:style>
  <w:style w:type="character" w:styleId="af">
    <w:name w:val="annotation reference"/>
    <w:rPr>
      <w:sz w:val="21"/>
      <w:szCs w:val="21"/>
    </w:rPr>
  </w:style>
  <w:style w:type="character" w:customStyle="1" w:styleId="10">
    <w:name w:val="标题 1 字符"/>
    <w:link w:val="1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a8">
    <w:name w:val="批注框文本 字符"/>
    <w:link w:val="a7"/>
    <w:rPr>
      <w:kern w:val="2"/>
      <w:sz w:val="18"/>
      <w:szCs w:val="18"/>
    </w:rPr>
  </w:style>
  <w:style w:type="character" w:customStyle="1" w:styleId="a6">
    <w:name w:val="批注文字 字符"/>
    <w:link w:val="a5"/>
    <w:rPr>
      <w:kern w:val="2"/>
      <w:sz w:val="21"/>
    </w:rPr>
  </w:style>
  <w:style w:type="character" w:customStyle="1" w:styleId="ad">
    <w:name w:val="批注主题 字符"/>
    <w:link w:val="ac"/>
    <w:rPr>
      <w:b/>
      <w:bCs/>
      <w:kern w:val="2"/>
      <w:sz w:val="21"/>
    </w:rPr>
  </w:style>
  <w:style w:type="character" w:customStyle="1" w:styleId="a4">
    <w:name w:val="文档结构图 字符"/>
    <w:link w:val="a3"/>
    <w:rPr>
      <w:rFonts w:ascii="宋体"/>
      <w:kern w:val="2"/>
      <w:sz w:val="18"/>
      <w:szCs w:val="18"/>
    </w:rPr>
  </w:style>
  <w:style w:type="paragraph" w:styleId="af0">
    <w:name w:val="Revision"/>
    <w:hidden/>
    <w:uiPriority w:val="99"/>
    <w:unhideWhenUsed/>
    <w:rsid w:val="0030346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394</Characters>
  <Application>Microsoft Office Word</Application>
  <DocSecurity>0</DocSecurity>
  <Lines>21</Lines>
  <Paragraphs>15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wenyihuang</dc:creator>
  <cp:lastModifiedBy>QYJ</cp:lastModifiedBy>
  <cp:revision>5</cp:revision>
  <dcterms:created xsi:type="dcterms:W3CDTF">2012-12-03T02:42:00Z</dcterms:created>
  <dcterms:modified xsi:type="dcterms:W3CDTF">2025-08-17T14:02:00Z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2052-12.8.2.19309</vt:lpwstr>
  </property>
  <property fmtid="{D5CDD505-2E9C-101B-9397-08002B2CF9AE}" pid="3" name="ICV">
    <vt:lpwstr>10EB15959E384D02AED4AEE8B0B02888_13</vt:lpwstr>
  </property>
</Properties>
</file>