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1642610"/>
    <w:bookmarkStart w:id="1" w:name="_GoBack"/>
    <w:p w14:paraId="31E48467" w14:textId="612C6075" w:rsidR="006E0D0E" w:rsidRDefault="00B865F0">
      <w:pPr>
        <w:keepNext/>
        <w:keepLines/>
        <w:spacing w:line="413" w:lineRule="auto"/>
        <w:jc w:val="center"/>
        <w:outlineLvl w:val="0"/>
        <w:rPr>
          <w:rFonts w:ascii="黑体" w:eastAsia="黑体" w:hAnsi="黑体"/>
          <w:b/>
          <w:sz w:val="36"/>
          <w:szCs w:val="36"/>
        </w:rPr>
      </w:pPr>
      <w:r>
        <w:rPr>
          <w:rFonts w:ascii="黑体" w:eastAsia="黑体" w:hAnsi="黑体"/>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b/>
          <w:sz w:val="36"/>
          <w:szCs w:val="36"/>
        </w:rPr>
        <w:instrText>ADDIN CNKISM.UserStyle</w:instrText>
      </w:r>
      <w:r>
        <w:rPr>
          <w:rFonts w:ascii="黑体" w:eastAsia="黑体" w:hAnsi="黑体"/>
          <w:b/>
          <w:sz w:val="36"/>
          <w:szCs w:val="36"/>
        </w:rPr>
      </w:r>
      <w:r>
        <w:rPr>
          <w:rFonts w:ascii="黑体" w:eastAsia="黑体" w:hAnsi="黑体"/>
          <w:b/>
          <w:sz w:val="36"/>
          <w:szCs w:val="36"/>
        </w:rPr>
        <w:fldChar w:fldCharType="separate"/>
      </w:r>
      <w:r>
        <w:rPr>
          <w:rFonts w:ascii="黑体" w:eastAsia="黑体" w:hAnsi="黑体"/>
          <w:b/>
          <w:sz w:val="36"/>
          <w:szCs w:val="36"/>
        </w:rPr>
        <w:fldChar w:fldCharType="end"/>
      </w:r>
      <w:bookmarkEnd w:id="1"/>
      <w:r w:rsidR="001536F7">
        <w:rPr>
          <w:rFonts w:ascii="黑体" w:eastAsia="黑体" w:hAnsi="黑体" w:hint="eastAsia"/>
          <w:b/>
          <w:sz w:val="36"/>
          <w:szCs w:val="36"/>
        </w:rPr>
        <w:t>第八号</w:t>
      </w:r>
      <w:r w:rsidR="001536F7">
        <w:rPr>
          <w:rFonts w:ascii="黑体" w:eastAsia="黑体" w:hAnsi="黑体"/>
          <w:b/>
          <w:sz w:val="36"/>
          <w:szCs w:val="36"/>
        </w:rPr>
        <w:t xml:space="preserve"> </w:t>
      </w:r>
      <w:proofErr w:type="gramStart"/>
      <w:r w:rsidR="001536F7">
        <w:rPr>
          <w:rFonts w:ascii="黑体" w:eastAsia="黑体" w:hAnsi="黑体" w:hint="eastAsia"/>
          <w:b/>
          <w:sz w:val="36"/>
          <w:szCs w:val="36"/>
        </w:rPr>
        <w:t>科创板</w:t>
      </w:r>
      <w:proofErr w:type="gramEnd"/>
      <w:r w:rsidR="001536F7">
        <w:rPr>
          <w:rFonts w:ascii="黑体" w:eastAsia="黑体" w:hAnsi="黑体" w:hint="eastAsia"/>
          <w:b/>
          <w:sz w:val="36"/>
          <w:szCs w:val="36"/>
        </w:rPr>
        <w:t>上市公司股票终止上市暨摘牌的公告</w:t>
      </w:r>
      <w:bookmarkEnd w:id="0"/>
    </w:p>
    <w:p w14:paraId="58584435" w14:textId="77777777" w:rsidR="006E0D0E" w:rsidRDefault="006E0D0E">
      <w:pPr>
        <w:autoSpaceDE w:val="0"/>
        <w:autoSpaceDN w:val="0"/>
        <w:adjustRightInd w:val="0"/>
        <w:spacing w:line="560" w:lineRule="exact"/>
        <w:ind w:firstLineChars="200" w:firstLine="600"/>
        <w:rPr>
          <w:rFonts w:ascii="仿宋_GB2312" w:eastAsia="仿宋_GB2312"/>
          <w:color w:val="000000"/>
          <w:sz w:val="30"/>
          <w:szCs w:val="30"/>
        </w:rPr>
      </w:pPr>
    </w:p>
    <w:p w14:paraId="5A315A26" w14:textId="77777777" w:rsidR="006E0D0E" w:rsidRDefault="001536F7">
      <w:pPr>
        <w:autoSpaceDE w:val="0"/>
        <w:autoSpaceDN w:val="0"/>
        <w:adjustRightInd w:val="0"/>
        <w:snapToGrid w:val="0"/>
        <w:spacing w:line="560" w:lineRule="exact"/>
        <w:rPr>
          <w:rFonts w:ascii="仿宋_GB2312" w:eastAsia="仿宋_GB2312" w:hAnsi="宋体"/>
          <w:b/>
          <w:sz w:val="30"/>
          <w:szCs w:val="30"/>
        </w:rPr>
      </w:pPr>
      <w:r>
        <w:rPr>
          <w:rFonts w:ascii="仿宋_GB2312" w:eastAsia="仿宋_GB2312" w:hAnsi="宋体" w:hint="eastAsia"/>
          <w:b/>
          <w:sz w:val="30"/>
          <w:szCs w:val="30"/>
        </w:rPr>
        <w:t>适用情形：</w:t>
      </w:r>
    </w:p>
    <w:p w14:paraId="73DEC087" w14:textId="77777777" w:rsidR="006E0D0E" w:rsidRDefault="001536F7">
      <w:pPr>
        <w:autoSpaceDE w:val="0"/>
        <w:autoSpaceDN w:val="0"/>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w:t>
      </w:r>
      <w:proofErr w:type="gramStart"/>
      <w:r>
        <w:rPr>
          <w:rFonts w:ascii="仿宋_GB2312" w:eastAsia="仿宋_GB2312" w:hint="eastAsia"/>
          <w:color w:val="000000"/>
          <w:sz w:val="30"/>
          <w:szCs w:val="30"/>
        </w:rPr>
        <w:t>科创板</w:t>
      </w:r>
      <w:proofErr w:type="gramEnd"/>
      <w:r>
        <w:rPr>
          <w:rFonts w:ascii="仿宋_GB2312" w:eastAsia="仿宋_GB2312" w:hint="eastAsia"/>
          <w:color w:val="000000"/>
          <w:sz w:val="30"/>
          <w:szCs w:val="30"/>
        </w:rPr>
        <w:t>上市公司收到上海证券交易所</w:t>
      </w:r>
      <w:proofErr w:type="gramStart"/>
      <w:r>
        <w:rPr>
          <w:rFonts w:ascii="仿宋_GB2312" w:eastAsia="仿宋_GB2312" w:hint="eastAsia"/>
          <w:color w:val="000000"/>
          <w:sz w:val="30"/>
          <w:szCs w:val="30"/>
        </w:rPr>
        <w:t>作出</w:t>
      </w:r>
      <w:proofErr w:type="gramEnd"/>
      <w:r>
        <w:rPr>
          <w:rFonts w:ascii="仿宋_GB2312" w:eastAsia="仿宋_GB2312" w:hint="eastAsia"/>
          <w:color w:val="000000"/>
          <w:sz w:val="30"/>
          <w:szCs w:val="30"/>
        </w:rPr>
        <w:t>的终止上市决定，且后续股票不进入退市整理期交易的，需按照本公告格式立即披露相关事项。</w:t>
      </w:r>
    </w:p>
    <w:p w14:paraId="2BCE3519" w14:textId="77777777" w:rsidR="006E0D0E" w:rsidRDefault="001536F7">
      <w:pPr>
        <w:autoSpaceDE w:val="0"/>
        <w:autoSpaceDN w:val="0"/>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Pr>
          <w:rFonts w:ascii="仿宋_GB2312" w:eastAsia="仿宋_GB2312" w:hint="eastAsia"/>
          <w:color w:val="000000"/>
          <w:sz w:val="30"/>
          <w:szCs w:val="30"/>
        </w:rPr>
        <w:t>上市公司股票在退市整理期的交易已结束，需按照本公告格式指引立即披露相关事项。</w:t>
      </w:r>
    </w:p>
    <w:p w14:paraId="6D540FAD" w14:textId="77777777" w:rsidR="006E0D0E" w:rsidRDefault="001536F7">
      <w:pPr>
        <w:autoSpaceDE w:val="0"/>
        <w:autoSpaceDN w:val="0"/>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w:t>
      </w:r>
      <w:r>
        <w:rPr>
          <w:rFonts w:ascii="仿宋_GB2312" w:eastAsia="仿宋_GB2312" w:hint="eastAsia"/>
          <w:color w:val="000000"/>
          <w:sz w:val="30"/>
          <w:szCs w:val="30"/>
        </w:rPr>
        <w:t>上市公司其他证券产品（如可转债等）出现摘牌情况的，参照本公告格式发布相</w:t>
      </w:r>
      <w:r>
        <w:rPr>
          <w:rFonts w:ascii="仿宋_GB2312" w:eastAsia="仿宋_GB2312"/>
          <w:color w:val="000000"/>
          <w:sz w:val="30"/>
          <w:szCs w:val="30"/>
        </w:rPr>
        <w:t>应</w:t>
      </w:r>
      <w:r>
        <w:rPr>
          <w:rFonts w:ascii="仿宋_GB2312" w:eastAsia="仿宋_GB2312" w:hint="eastAsia"/>
          <w:color w:val="000000"/>
          <w:sz w:val="30"/>
          <w:szCs w:val="30"/>
        </w:rPr>
        <w:t>的风险提示公告。</w:t>
      </w:r>
    </w:p>
    <w:p w14:paraId="418BBD09" w14:textId="77777777" w:rsidR="006E0D0E" w:rsidRDefault="006E0D0E">
      <w:pPr>
        <w:autoSpaceDE w:val="0"/>
        <w:autoSpaceDN w:val="0"/>
        <w:adjustRightInd w:val="0"/>
        <w:snapToGrid w:val="0"/>
        <w:spacing w:line="560" w:lineRule="exact"/>
        <w:ind w:firstLineChars="200" w:firstLine="600"/>
        <w:rPr>
          <w:rFonts w:ascii="仿宋_GB2312" w:eastAsia="仿宋_GB2312"/>
          <w:color w:val="000000"/>
          <w:sz w:val="30"/>
          <w:szCs w:val="30"/>
        </w:rPr>
      </w:pPr>
    </w:p>
    <w:p w14:paraId="0DFF30A0" w14:textId="77777777" w:rsidR="006E0D0E" w:rsidRDefault="001536F7">
      <w:pPr>
        <w:adjustRightInd w:val="0"/>
        <w:snapToGrid w:val="0"/>
        <w:spacing w:line="560" w:lineRule="exact"/>
        <w:rPr>
          <w:rFonts w:ascii="仿宋_GB2312" w:eastAsia="仿宋_GB2312" w:hAnsi="宋体"/>
          <w:sz w:val="30"/>
          <w:szCs w:val="30"/>
        </w:rPr>
      </w:pPr>
      <w:r>
        <w:rPr>
          <w:rFonts w:ascii="仿宋_GB2312" w:eastAsia="仿宋_GB2312" w:hAnsi="宋体" w:hint="eastAsia"/>
          <w:sz w:val="30"/>
          <w:szCs w:val="30"/>
        </w:rPr>
        <w:t>证券代码：</w:t>
      </w:r>
      <w:r>
        <w:rPr>
          <w:rFonts w:ascii="仿宋_GB2312" w:eastAsia="仿宋_GB2312" w:hAnsi="宋体" w:hint="eastAsia"/>
          <w:sz w:val="30"/>
          <w:szCs w:val="30"/>
        </w:rPr>
        <w:t xml:space="preserve">             </w:t>
      </w:r>
      <w:r>
        <w:rPr>
          <w:rFonts w:ascii="仿宋_GB2312" w:eastAsia="仿宋_GB2312" w:hAnsi="宋体" w:hint="eastAsia"/>
          <w:sz w:val="30"/>
          <w:szCs w:val="30"/>
        </w:rPr>
        <w:t>证券简称：</w:t>
      </w:r>
      <w:r>
        <w:rPr>
          <w:rFonts w:ascii="仿宋_GB2312" w:eastAsia="仿宋_GB2312" w:hAnsi="宋体" w:hint="eastAsia"/>
          <w:sz w:val="30"/>
          <w:szCs w:val="30"/>
        </w:rPr>
        <w:t xml:space="preserve">            </w:t>
      </w:r>
      <w:r>
        <w:rPr>
          <w:rFonts w:ascii="仿宋_GB2312" w:eastAsia="仿宋_GB2312" w:hAnsi="宋体" w:hint="eastAsia"/>
          <w:sz w:val="30"/>
          <w:szCs w:val="30"/>
        </w:rPr>
        <w:t>公告编号：</w:t>
      </w:r>
    </w:p>
    <w:p w14:paraId="58E114D1" w14:textId="77777777" w:rsidR="006E0D0E" w:rsidRDefault="006E0D0E">
      <w:pPr>
        <w:adjustRightInd w:val="0"/>
        <w:snapToGrid w:val="0"/>
        <w:spacing w:line="560" w:lineRule="exact"/>
        <w:jc w:val="center"/>
        <w:rPr>
          <w:rFonts w:ascii="仿宋_GB2312" w:eastAsia="仿宋_GB2312" w:hAnsi="宋体"/>
          <w:color w:val="000000"/>
          <w:sz w:val="30"/>
          <w:szCs w:val="30"/>
        </w:rPr>
      </w:pPr>
    </w:p>
    <w:p w14:paraId="1E3314E2" w14:textId="77777777" w:rsidR="006E0D0E" w:rsidRDefault="001536F7">
      <w:pPr>
        <w:snapToGrid w:val="0"/>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XXXX</w:t>
      </w:r>
      <w:r>
        <w:rPr>
          <w:rFonts w:ascii="仿宋_GB2312" w:eastAsia="仿宋_GB2312" w:hAnsi="宋体" w:hint="eastAsia"/>
          <w:color w:val="000000"/>
          <w:sz w:val="30"/>
          <w:szCs w:val="30"/>
        </w:rPr>
        <w:t>有限公司股票终止上市暨摘牌的公告</w:t>
      </w:r>
    </w:p>
    <w:p w14:paraId="405244B3" w14:textId="77777777" w:rsidR="006E0D0E" w:rsidRDefault="006E0D0E">
      <w:pPr>
        <w:snapToGrid w:val="0"/>
        <w:spacing w:line="560" w:lineRule="exact"/>
        <w:rPr>
          <w:rFonts w:ascii="仿宋_GB2312" w:eastAsia="仿宋_GB2312" w:hAnsi="宋体"/>
          <w:color w:val="000000"/>
          <w:sz w:val="30"/>
          <w:szCs w:val="30"/>
        </w:rPr>
      </w:pPr>
    </w:p>
    <w:p w14:paraId="6CB38037" w14:textId="77777777" w:rsidR="006E0D0E" w:rsidRDefault="001536F7">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olor w:val="000000"/>
          <w:sz w:val="30"/>
          <w:szCs w:val="30"/>
        </w:rPr>
      </w:pP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本公司董事会及全体董事保证本公告内容不存在任何虚假记载、误导性陈述或者重大遗漏，并对其内容的真实性、准确性和完整性依法承担法律责任。</w:t>
      </w:r>
    </w:p>
    <w:p w14:paraId="5475CFF5" w14:textId="77777777" w:rsidR="006E0D0E" w:rsidRDefault="001536F7">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olor w:val="000000"/>
          <w:sz w:val="30"/>
          <w:szCs w:val="30"/>
        </w:rPr>
      </w:pP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如有董事对临时公告内容的真实性、准确性和完整性无法保证或存在异议的，公司</w:t>
      </w:r>
      <w:r>
        <w:rPr>
          <w:rFonts w:ascii="仿宋_GB2312" w:eastAsia="仿宋_GB2312" w:hAnsi="宋体"/>
          <w:color w:val="000000"/>
          <w:sz w:val="30"/>
          <w:szCs w:val="30"/>
        </w:rPr>
        <w:t>应当</w:t>
      </w:r>
      <w:r>
        <w:rPr>
          <w:rFonts w:ascii="仿宋_GB2312" w:eastAsia="仿宋_GB2312" w:hAnsi="宋体" w:hint="eastAsia"/>
          <w:color w:val="000000"/>
          <w:sz w:val="30"/>
          <w:szCs w:val="30"/>
        </w:rPr>
        <w:t>在公告中作特别提示。</w:t>
      </w:r>
    </w:p>
    <w:p w14:paraId="2E6FF192" w14:textId="77777777" w:rsidR="006E0D0E" w:rsidRDefault="006E0D0E">
      <w:pPr>
        <w:autoSpaceDE w:val="0"/>
        <w:autoSpaceDN w:val="0"/>
        <w:adjustRightInd w:val="0"/>
        <w:spacing w:line="560" w:lineRule="exact"/>
        <w:ind w:firstLineChars="200" w:firstLine="600"/>
        <w:rPr>
          <w:rFonts w:ascii="仿宋_GB2312" w:eastAsia="仿宋_GB2312"/>
          <w:color w:val="000000"/>
          <w:sz w:val="30"/>
          <w:szCs w:val="30"/>
        </w:rPr>
      </w:pPr>
    </w:p>
    <w:p w14:paraId="13F4DB2C" w14:textId="77777777" w:rsidR="006E0D0E" w:rsidRDefault="001536F7">
      <w:pPr>
        <w:autoSpaceDE w:val="0"/>
        <w:autoSpaceDN w:val="0"/>
        <w:adjustRightInd w:val="0"/>
        <w:spacing w:line="560" w:lineRule="exact"/>
        <w:ind w:firstLineChars="200" w:firstLine="602"/>
        <w:rPr>
          <w:rFonts w:ascii="仿宋_GB2312" w:eastAsia="仿宋_GB2312"/>
          <w:b/>
          <w:color w:val="000000"/>
          <w:sz w:val="30"/>
          <w:szCs w:val="30"/>
        </w:rPr>
      </w:pPr>
      <w:r>
        <w:rPr>
          <w:rFonts w:ascii="仿宋_GB2312" w:eastAsia="仿宋_GB2312" w:hint="eastAsia"/>
          <w:b/>
          <w:color w:val="000000"/>
          <w:sz w:val="30"/>
          <w:szCs w:val="30"/>
        </w:rPr>
        <w:t>重要内容提示：</w:t>
      </w:r>
    </w:p>
    <w:p w14:paraId="024B8695" w14:textId="77777777" w:rsidR="006E0D0E" w:rsidRDefault="001536F7">
      <w:pPr>
        <w:numPr>
          <w:ilvl w:val="0"/>
          <w:numId w:val="1"/>
        </w:numPr>
        <w:adjustRightInd w:val="0"/>
        <w:snapToGrid w:val="0"/>
        <w:spacing w:line="60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公司股票不进入退市整理期交易（适用于情形</w:t>
      </w:r>
      <w:r>
        <w:rPr>
          <w:rFonts w:ascii="仿宋_GB2312" w:eastAsia="仿宋_GB2312" w:hAnsi="宋体" w:hint="eastAsia"/>
          <w:sz w:val="30"/>
          <w:szCs w:val="30"/>
        </w:rPr>
        <w:t>1</w:t>
      </w:r>
      <w:r>
        <w:rPr>
          <w:rFonts w:ascii="仿宋_GB2312" w:eastAsia="仿宋_GB2312" w:hAnsi="宋体" w:hint="eastAsia"/>
          <w:sz w:val="30"/>
          <w:szCs w:val="30"/>
        </w:rPr>
        <w:t>）</w:t>
      </w:r>
      <w:r>
        <w:rPr>
          <w:rFonts w:ascii="仿宋_GB2312" w:eastAsia="仿宋_GB2312" w:hAnsi="宋体" w:hint="eastAsia"/>
          <w:sz w:val="30"/>
          <w:szCs w:val="30"/>
        </w:rPr>
        <w:t>/</w:t>
      </w:r>
      <w:r>
        <w:rPr>
          <w:rFonts w:ascii="仿宋_GB2312" w:eastAsia="仿宋_GB2312" w:hAnsi="宋体" w:hint="eastAsia"/>
          <w:sz w:val="30"/>
          <w:szCs w:val="30"/>
        </w:rPr>
        <w:t>公司股票退市整理期的起始日和最后交易日，退市整理期已结束（适</w:t>
      </w:r>
      <w:r>
        <w:rPr>
          <w:rFonts w:ascii="仿宋_GB2312" w:eastAsia="仿宋_GB2312" w:hAnsi="宋体" w:hint="eastAsia"/>
          <w:sz w:val="30"/>
          <w:szCs w:val="30"/>
        </w:rPr>
        <w:lastRenderedPageBreak/>
        <w:t>用于情形</w:t>
      </w:r>
      <w:r>
        <w:rPr>
          <w:rFonts w:ascii="仿宋_GB2312" w:eastAsia="仿宋_GB2312" w:hAnsi="宋体" w:hint="eastAsia"/>
          <w:sz w:val="30"/>
          <w:szCs w:val="30"/>
        </w:rPr>
        <w:t>2</w:t>
      </w:r>
      <w:r>
        <w:rPr>
          <w:rFonts w:ascii="仿宋_GB2312" w:eastAsia="仿宋_GB2312" w:hAnsi="宋体" w:hint="eastAsia"/>
          <w:sz w:val="30"/>
          <w:szCs w:val="30"/>
        </w:rPr>
        <w:t>）</w:t>
      </w:r>
    </w:p>
    <w:p w14:paraId="74AA6089" w14:textId="77777777" w:rsidR="006E0D0E" w:rsidRDefault="001536F7">
      <w:pPr>
        <w:numPr>
          <w:ilvl w:val="0"/>
          <w:numId w:val="1"/>
        </w:numPr>
        <w:adjustRightInd w:val="0"/>
        <w:snapToGrid w:val="0"/>
        <w:spacing w:line="60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公司股票终止上市暨摘牌日期</w:t>
      </w:r>
    </w:p>
    <w:p w14:paraId="4EB928AB" w14:textId="77777777" w:rsidR="006E0D0E" w:rsidRDefault="001536F7">
      <w:pPr>
        <w:numPr>
          <w:ilvl w:val="0"/>
          <w:numId w:val="1"/>
        </w:numPr>
        <w:adjustRightInd w:val="0"/>
        <w:snapToGrid w:val="0"/>
        <w:spacing w:line="60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公司股票终止上市后的安排</w:t>
      </w:r>
    </w:p>
    <w:p w14:paraId="2A182E5F" w14:textId="77777777" w:rsidR="006E0D0E" w:rsidRDefault="006E0D0E">
      <w:pPr>
        <w:autoSpaceDE w:val="0"/>
        <w:autoSpaceDN w:val="0"/>
        <w:adjustRightInd w:val="0"/>
        <w:spacing w:line="560" w:lineRule="exact"/>
        <w:ind w:firstLineChars="200" w:firstLine="600"/>
        <w:rPr>
          <w:rFonts w:ascii="仿宋_GB2312" w:eastAsia="仿宋_GB2312"/>
          <w:color w:val="000000"/>
          <w:sz w:val="30"/>
          <w:szCs w:val="30"/>
        </w:rPr>
      </w:pPr>
    </w:p>
    <w:p w14:paraId="11C43D37" w14:textId="77777777" w:rsidR="006E0D0E" w:rsidRDefault="001536F7">
      <w:pPr>
        <w:autoSpaceDE w:val="0"/>
        <w:autoSpaceDN w:val="0"/>
        <w:adjustRightIn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20XX</w:t>
      </w:r>
      <w:r>
        <w:rPr>
          <w:rFonts w:ascii="仿宋_GB2312" w:eastAsia="仿宋_GB2312" w:hint="eastAsia"/>
          <w:color w:val="000000"/>
          <w:sz w:val="30"/>
          <w:szCs w:val="30"/>
        </w:rPr>
        <w:t>年</w:t>
      </w:r>
      <w:r>
        <w:rPr>
          <w:rFonts w:ascii="仿宋_GB2312" w:eastAsia="仿宋_GB2312" w:hint="eastAsia"/>
          <w:color w:val="000000"/>
          <w:sz w:val="30"/>
          <w:szCs w:val="30"/>
        </w:rPr>
        <w:t>X</w:t>
      </w:r>
      <w:r>
        <w:rPr>
          <w:rFonts w:ascii="仿宋_GB2312" w:eastAsia="仿宋_GB2312" w:hint="eastAsia"/>
          <w:color w:val="000000"/>
          <w:sz w:val="30"/>
          <w:szCs w:val="30"/>
        </w:rPr>
        <w:t>月</w:t>
      </w:r>
      <w:r>
        <w:rPr>
          <w:rFonts w:ascii="仿宋_GB2312" w:eastAsia="仿宋_GB2312" w:hint="eastAsia"/>
          <w:color w:val="000000"/>
          <w:sz w:val="30"/>
          <w:szCs w:val="30"/>
        </w:rPr>
        <w:t>X</w:t>
      </w:r>
      <w:r>
        <w:rPr>
          <w:rFonts w:ascii="仿宋_GB2312" w:eastAsia="仿宋_GB2312" w:hint="eastAsia"/>
          <w:color w:val="000000"/>
          <w:sz w:val="30"/>
          <w:szCs w:val="30"/>
        </w:rPr>
        <w:t>日，本公司收到上海证券交易所《关于</w:t>
      </w:r>
      <w:r>
        <w:rPr>
          <w:rFonts w:ascii="仿宋_GB2312" w:eastAsia="仿宋_GB2312" w:hint="eastAsia"/>
          <w:color w:val="000000"/>
          <w:sz w:val="30"/>
          <w:szCs w:val="30"/>
        </w:rPr>
        <w:t>XX</w:t>
      </w:r>
      <w:r>
        <w:rPr>
          <w:rFonts w:ascii="仿宋_GB2312" w:eastAsia="仿宋_GB2312" w:hAnsi="宋体" w:hint="eastAsia"/>
          <w:color w:val="000000"/>
          <w:kern w:val="0"/>
          <w:sz w:val="30"/>
          <w:szCs w:val="30"/>
        </w:rPr>
        <w:t>XX</w:t>
      </w:r>
      <w:r>
        <w:rPr>
          <w:rFonts w:ascii="仿宋_GB2312" w:eastAsia="仿宋_GB2312" w:hint="eastAsia"/>
          <w:color w:val="000000"/>
          <w:sz w:val="30"/>
          <w:szCs w:val="30"/>
        </w:rPr>
        <w:t>股份有限公司股票终止上市的决定》（上海证券交易所自律监管决定书【</w:t>
      </w:r>
      <w:r>
        <w:rPr>
          <w:rFonts w:ascii="仿宋_GB2312" w:eastAsia="仿宋_GB2312" w:hint="eastAsia"/>
          <w:color w:val="000000"/>
          <w:sz w:val="30"/>
          <w:szCs w:val="30"/>
        </w:rPr>
        <w:t>20XX</w:t>
      </w:r>
      <w:r>
        <w:rPr>
          <w:rFonts w:ascii="仿宋_GB2312" w:eastAsia="仿宋_GB2312" w:hint="eastAsia"/>
          <w:color w:val="000000"/>
          <w:sz w:val="30"/>
          <w:szCs w:val="30"/>
        </w:rPr>
        <w:t>】</w:t>
      </w:r>
      <w:r>
        <w:rPr>
          <w:rFonts w:ascii="仿宋_GB2312" w:eastAsia="仿宋_GB2312" w:hint="eastAsia"/>
          <w:color w:val="000000"/>
          <w:sz w:val="30"/>
          <w:szCs w:val="30"/>
        </w:rPr>
        <w:t>XX</w:t>
      </w:r>
      <w:r>
        <w:rPr>
          <w:rFonts w:ascii="仿宋_GB2312" w:eastAsia="仿宋_GB2312" w:hint="eastAsia"/>
          <w:color w:val="000000"/>
          <w:sz w:val="30"/>
          <w:szCs w:val="30"/>
        </w:rPr>
        <w:t>号），上海证券交易所决定终止公司股票上市。</w:t>
      </w:r>
    </w:p>
    <w:p w14:paraId="1570673D" w14:textId="77777777" w:rsidR="006E0D0E" w:rsidRDefault="006E0D0E">
      <w:pPr>
        <w:autoSpaceDE w:val="0"/>
        <w:autoSpaceDN w:val="0"/>
        <w:adjustRightInd w:val="0"/>
        <w:spacing w:line="560" w:lineRule="exact"/>
        <w:ind w:firstLineChars="200" w:firstLine="600"/>
        <w:rPr>
          <w:rFonts w:ascii="仿宋_GB2312" w:eastAsia="仿宋_GB2312"/>
          <w:color w:val="000000"/>
          <w:sz w:val="30"/>
          <w:szCs w:val="30"/>
        </w:rPr>
      </w:pPr>
    </w:p>
    <w:p w14:paraId="6D4A3B7C" w14:textId="77777777" w:rsidR="006E0D0E" w:rsidRDefault="001536F7">
      <w:pPr>
        <w:autoSpaceDE w:val="0"/>
        <w:autoSpaceDN w:val="0"/>
        <w:adjustRightInd w:val="0"/>
        <w:spacing w:line="560" w:lineRule="exact"/>
        <w:ind w:firstLineChars="200" w:firstLine="643"/>
        <w:rPr>
          <w:rFonts w:ascii="黑体" w:eastAsia="黑体" w:hAnsi="黑体" w:cs="宋体-WinCharSetFFFF-H"/>
          <w:b/>
          <w:color w:val="000000"/>
          <w:kern w:val="0"/>
          <w:sz w:val="32"/>
          <w:szCs w:val="32"/>
        </w:rPr>
      </w:pPr>
      <w:r>
        <w:rPr>
          <w:rFonts w:ascii="黑体" w:eastAsia="黑体" w:hAnsi="黑体" w:cs="宋体-WinCharSetFFFF-H" w:hint="eastAsia"/>
          <w:b/>
          <w:color w:val="000000"/>
          <w:kern w:val="0"/>
          <w:sz w:val="32"/>
          <w:szCs w:val="32"/>
        </w:rPr>
        <w:t>一、终止上市股票的证券种类、简称、代码、终止上市决定日期</w:t>
      </w:r>
    </w:p>
    <w:p w14:paraId="3E1CF8A8" w14:textId="77777777" w:rsidR="006E0D0E" w:rsidRDefault="001536F7">
      <w:pPr>
        <w:autoSpaceDE w:val="0"/>
        <w:autoSpaceDN w:val="0"/>
        <w:adjustRightInd w:val="0"/>
        <w:spacing w:line="560" w:lineRule="exact"/>
        <w:ind w:firstLineChars="250" w:firstLine="750"/>
        <w:rPr>
          <w:rFonts w:ascii="仿宋_GB2312" w:eastAsia="仿宋_GB2312"/>
          <w:color w:val="000000"/>
          <w:sz w:val="30"/>
          <w:szCs w:val="30"/>
        </w:rPr>
      </w:pPr>
      <w:r>
        <w:rPr>
          <w:rFonts w:ascii="仿宋_GB2312" w:eastAsia="仿宋_GB2312"/>
          <w:color w:val="000000"/>
          <w:sz w:val="30"/>
          <w:szCs w:val="30"/>
        </w:rPr>
        <w:t>(</w:t>
      </w:r>
      <w:r>
        <w:rPr>
          <w:rFonts w:ascii="仿宋_GB2312" w:eastAsia="仿宋_GB2312" w:hint="eastAsia"/>
          <w:color w:val="000000"/>
          <w:sz w:val="30"/>
          <w:szCs w:val="30"/>
        </w:rPr>
        <w:t>一）证券种类；</w:t>
      </w:r>
    </w:p>
    <w:p w14:paraId="0376A07C" w14:textId="77777777" w:rsidR="006E0D0E" w:rsidRDefault="001536F7">
      <w:pPr>
        <w:autoSpaceDE w:val="0"/>
        <w:autoSpaceDN w:val="0"/>
        <w:adjustRightIn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（二）证券简称、</w:t>
      </w:r>
      <w:proofErr w:type="gramStart"/>
      <w:r>
        <w:rPr>
          <w:rFonts w:ascii="仿宋_GB2312" w:eastAsia="仿宋_GB2312"/>
          <w:color w:val="000000"/>
          <w:sz w:val="30"/>
          <w:szCs w:val="30"/>
        </w:rPr>
        <w:t>扩位证券</w:t>
      </w:r>
      <w:proofErr w:type="gramEnd"/>
      <w:r>
        <w:rPr>
          <w:rFonts w:ascii="仿宋_GB2312" w:eastAsia="仿宋_GB2312"/>
          <w:color w:val="000000"/>
          <w:sz w:val="30"/>
          <w:szCs w:val="30"/>
        </w:rPr>
        <w:t>简称</w:t>
      </w:r>
      <w:r>
        <w:rPr>
          <w:rFonts w:ascii="仿宋_GB2312" w:eastAsia="仿宋_GB2312" w:hint="eastAsia"/>
          <w:color w:val="000000"/>
          <w:sz w:val="30"/>
          <w:szCs w:val="30"/>
        </w:rPr>
        <w:t>；</w:t>
      </w:r>
    </w:p>
    <w:p w14:paraId="0B419C13" w14:textId="77777777" w:rsidR="006E0D0E" w:rsidRDefault="001536F7">
      <w:pPr>
        <w:autoSpaceDE w:val="0"/>
        <w:autoSpaceDN w:val="0"/>
        <w:adjustRightIn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（三）证券代码；</w:t>
      </w:r>
    </w:p>
    <w:p w14:paraId="2D90642B" w14:textId="77777777" w:rsidR="006E0D0E" w:rsidRDefault="001536F7">
      <w:pPr>
        <w:autoSpaceDE w:val="0"/>
        <w:autoSpaceDN w:val="0"/>
        <w:adjustRightIn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（四）终止上市决定日期。</w:t>
      </w:r>
    </w:p>
    <w:p w14:paraId="31C5260E" w14:textId="77777777" w:rsidR="006E0D0E" w:rsidRDefault="006E0D0E">
      <w:pPr>
        <w:autoSpaceDE w:val="0"/>
        <w:autoSpaceDN w:val="0"/>
        <w:adjustRightInd w:val="0"/>
        <w:spacing w:line="560" w:lineRule="exact"/>
        <w:ind w:firstLineChars="200" w:firstLine="602"/>
        <w:rPr>
          <w:rFonts w:ascii="黑体" w:eastAsia="黑体" w:hAnsi="黑体" w:cs="宋体-WinCharSetFFFF-H"/>
          <w:b/>
          <w:color w:val="000000"/>
          <w:kern w:val="0"/>
          <w:sz w:val="30"/>
          <w:szCs w:val="30"/>
        </w:rPr>
      </w:pPr>
    </w:p>
    <w:p w14:paraId="4DEAE0D5" w14:textId="77777777" w:rsidR="006E0D0E" w:rsidRDefault="001536F7">
      <w:pPr>
        <w:autoSpaceDE w:val="0"/>
        <w:autoSpaceDN w:val="0"/>
        <w:adjustRightInd w:val="0"/>
        <w:spacing w:line="560" w:lineRule="exact"/>
        <w:ind w:firstLineChars="200" w:firstLine="643"/>
        <w:rPr>
          <w:rFonts w:ascii="黑体" w:eastAsia="黑体" w:hAnsi="黑体" w:cs="宋体-WinCharSetFFFF-H"/>
          <w:b/>
          <w:color w:val="000000"/>
          <w:kern w:val="0"/>
          <w:sz w:val="32"/>
          <w:szCs w:val="32"/>
        </w:rPr>
      </w:pPr>
      <w:r>
        <w:rPr>
          <w:rFonts w:ascii="黑体" w:eastAsia="黑体" w:hAnsi="黑体" w:cs="宋体-WinCharSetFFFF-H" w:hint="eastAsia"/>
          <w:b/>
          <w:color w:val="000000"/>
          <w:kern w:val="0"/>
          <w:sz w:val="32"/>
          <w:szCs w:val="32"/>
        </w:rPr>
        <w:t>二、终止上市决定的主要内容</w:t>
      </w:r>
    </w:p>
    <w:p w14:paraId="5E8CF7E5" w14:textId="77777777" w:rsidR="006E0D0E" w:rsidRDefault="001536F7">
      <w:pPr>
        <w:autoSpaceDE w:val="0"/>
        <w:autoSpaceDN w:val="0"/>
        <w:adjustRightIn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本部分主要说明收到上海证券交易所关于公司股票终止上市决定的主要内容。</w:t>
      </w:r>
    </w:p>
    <w:p w14:paraId="7B609778" w14:textId="77777777" w:rsidR="006E0D0E" w:rsidRDefault="006E0D0E">
      <w:pPr>
        <w:autoSpaceDE w:val="0"/>
        <w:autoSpaceDN w:val="0"/>
        <w:adjustRightInd w:val="0"/>
        <w:spacing w:line="560" w:lineRule="exact"/>
        <w:ind w:firstLineChars="200" w:firstLine="600"/>
        <w:rPr>
          <w:rFonts w:ascii="仿宋_GB2312" w:eastAsia="仿宋_GB2312"/>
          <w:color w:val="000000"/>
          <w:sz w:val="30"/>
          <w:szCs w:val="30"/>
        </w:rPr>
      </w:pPr>
    </w:p>
    <w:p w14:paraId="2FE7A0F4" w14:textId="77777777" w:rsidR="006E0D0E" w:rsidRDefault="001536F7">
      <w:pPr>
        <w:autoSpaceDE w:val="0"/>
        <w:autoSpaceDN w:val="0"/>
        <w:adjustRightInd w:val="0"/>
        <w:spacing w:line="560" w:lineRule="exact"/>
        <w:ind w:firstLineChars="200" w:firstLine="643"/>
        <w:rPr>
          <w:rFonts w:ascii="黑体" w:eastAsia="黑体" w:hAnsi="黑体" w:cs="宋体-WinCharSetFFFF-H"/>
          <w:b/>
          <w:color w:val="000000"/>
          <w:kern w:val="0"/>
          <w:sz w:val="32"/>
          <w:szCs w:val="32"/>
        </w:rPr>
      </w:pPr>
      <w:r>
        <w:rPr>
          <w:rFonts w:ascii="黑体" w:eastAsia="黑体" w:hAnsi="黑体" w:cs="宋体-WinCharSetFFFF-H" w:hint="eastAsia"/>
          <w:b/>
          <w:color w:val="000000"/>
          <w:kern w:val="0"/>
          <w:sz w:val="32"/>
          <w:szCs w:val="32"/>
        </w:rPr>
        <w:t>三、不进入退市整理期交易</w:t>
      </w:r>
      <w:r>
        <w:rPr>
          <w:rFonts w:ascii="黑体" w:eastAsia="黑体" w:hAnsi="黑体" w:cs="宋体-WinCharSetFFFF-H"/>
          <w:b/>
          <w:color w:val="000000"/>
          <w:kern w:val="0"/>
          <w:sz w:val="32"/>
          <w:szCs w:val="32"/>
        </w:rPr>
        <w:t>/</w:t>
      </w:r>
      <w:r>
        <w:rPr>
          <w:rFonts w:ascii="黑体" w:eastAsia="黑体" w:hAnsi="黑体" w:cs="宋体-WinCharSetFFFF-H"/>
          <w:b/>
          <w:color w:val="000000"/>
          <w:kern w:val="0"/>
          <w:sz w:val="32"/>
          <w:szCs w:val="32"/>
        </w:rPr>
        <w:t>退市整理期已结束</w:t>
      </w:r>
    </w:p>
    <w:p w14:paraId="39C53E4D" w14:textId="77777777" w:rsidR="006E0D0E" w:rsidRDefault="001536F7">
      <w:pPr>
        <w:autoSpaceDE w:val="0"/>
        <w:autoSpaceDN w:val="0"/>
        <w:adjustRightIn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对于出现情形</w:t>
      </w:r>
      <w:r>
        <w:rPr>
          <w:rFonts w:ascii="仿宋_GB2312" w:eastAsia="仿宋_GB2312" w:hint="eastAsia"/>
          <w:color w:val="000000"/>
          <w:sz w:val="30"/>
          <w:szCs w:val="30"/>
        </w:rPr>
        <w:t>1</w:t>
      </w:r>
      <w:r>
        <w:rPr>
          <w:rFonts w:ascii="仿宋_GB2312" w:eastAsia="仿宋_GB2312" w:hint="eastAsia"/>
          <w:color w:val="000000"/>
          <w:sz w:val="30"/>
          <w:szCs w:val="30"/>
        </w:rPr>
        <w:t>的上市公司，本部分主要说明，公司收到终止上市决定后，根据《上海证券</w:t>
      </w:r>
      <w:r>
        <w:rPr>
          <w:rFonts w:ascii="仿宋_GB2312" w:eastAsia="仿宋_GB2312"/>
          <w:color w:val="000000"/>
          <w:sz w:val="30"/>
          <w:szCs w:val="30"/>
        </w:rPr>
        <w:t>交易所</w:t>
      </w:r>
      <w:r>
        <w:rPr>
          <w:rFonts w:ascii="仿宋_GB2312" w:eastAsia="仿宋_GB2312" w:hint="eastAsia"/>
          <w:color w:val="000000"/>
          <w:sz w:val="30"/>
          <w:szCs w:val="30"/>
        </w:rPr>
        <w:t>科创板股票上市规则》第</w:t>
      </w:r>
      <w:r>
        <w:rPr>
          <w:rFonts w:ascii="仿宋_GB2312" w:eastAsia="仿宋_GB2312" w:hint="eastAsia"/>
          <w:color w:val="000000"/>
          <w:sz w:val="30"/>
          <w:szCs w:val="30"/>
        </w:rPr>
        <w:t>X</w:t>
      </w:r>
      <w:r>
        <w:rPr>
          <w:rFonts w:ascii="仿宋_GB2312" w:eastAsia="仿宋_GB2312" w:hint="eastAsia"/>
          <w:color w:val="000000"/>
          <w:sz w:val="30"/>
          <w:szCs w:val="30"/>
        </w:rPr>
        <w:t>条等相关规定，公司股票将不进入退市整理期交易，自上海证券交易所公告对上市公司股票</w:t>
      </w:r>
      <w:proofErr w:type="gramStart"/>
      <w:r>
        <w:rPr>
          <w:rFonts w:ascii="仿宋_GB2312" w:eastAsia="仿宋_GB2312" w:hint="eastAsia"/>
          <w:color w:val="000000"/>
          <w:sz w:val="30"/>
          <w:szCs w:val="30"/>
        </w:rPr>
        <w:t>作出</w:t>
      </w:r>
      <w:proofErr w:type="gramEnd"/>
      <w:r>
        <w:rPr>
          <w:rFonts w:ascii="仿宋_GB2312" w:eastAsia="仿宋_GB2312" w:hint="eastAsia"/>
          <w:color w:val="000000"/>
          <w:sz w:val="30"/>
          <w:szCs w:val="30"/>
        </w:rPr>
        <w:t>终止上市决定之日后</w:t>
      </w:r>
      <w:r>
        <w:rPr>
          <w:rFonts w:ascii="仿宋_GB2312" w:eastAsia="仿宋_GB2312" w:hint="eastAsia"/>
          <w:color w:val="000000"/>
          <w:sz w:val="30"/>
          <w:szCs w:val="30"/>
        </w:rPr>
        <w:t>5</w:t>
      </w:r>
      <w:r>
        <w:rPr>
          <w:rFonts w:ascii="仿宋_GB2312" w:eastAsia="仿宋_GB2312" w:hint="eastAsia"/>
          <w:color w:val="000000"/>
          <w:sz w:val="30"/>
          <w:szCs w:val="30"/>
        </w:rPr>
        <w:t>个交易</w:t>
      </w:r>
      <w:r>
        <w:rPr>
          <w:rFonts w:ascii="仿宋_GB2312" w:eastAsia="仿宋_GB2312" w:hint="eastAsia"/>
          <w:color w:val="000000"/>
          <w:sz w:val="30"/>
          <w:szCs w:val="30"/>
        </w:rPr>
        <w:lastRenderedPageBreak/>
        <w:t>日内，上交所对公司股票予以摘牌，公司股票终止上市。</w:t>
      </w:r>
    </w:p>
    <w:p w14:paraId="33CEC2AD" w14:textId="77777777" w:rsidR="006E0D0E" w:rsidRDefault="001536F7">
      <w:pPr>
        <w:autoSpaceDE w:val="0"/>
        <w:autoSpaceDN w:val="0"/>
        <w:adjustRightIn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对于出现情形</w:t>
      </w:r>
      <w:r>
        <w:rPr>
          <w:rFonts w:ascii="仿宋_GB2312" w:eastAsia="仿宋_GB2312" w:hint="eastAsia"/>
          <w:color w:val="000000"/>
          <w:sz w:val="30"/>
          <w:szCs w:val="30"/>
        </w:rPr>
        <w:t>2</w:t>
      </w:r>
      <w:r>
        <w:rPr>
          <w:rFonts w:ascii="仿宋_GB2312" w:eastAsia="仿宋_GB2312" w:hint="eastAsia"/>
          <w:color w:val="000000"/>
          <w:sz w:val="30"/>
          <w:szCs w:val="30"/>
        </w:rPr>
        <w:t>的上市公司，本部分主要说明公司股票在退市整理期交易的起始日和最后交易日，退市整理期已结束。</w:t>
      </w:r>
    </w:p>
    <w:p w14:paraId="75D7DA03" w14:textId="77777777" w:rsidR="006E0D0E" w:rsidRDefault="006E0D0E">
      <w:pPr>
        <w:autoSpaceDE w:val="0"/>
        <w:autoSpaceDN w:val="0"/>
        <w:adjustRightInd w:val="0"/>
        <w:spacing w:line="560" w:lineRule="exact"/>
        <w:ind w:firstLineChars="200" w:firstLine="600"/>
        <w:rPr>
          <w:rFonts w:ascii="仿宋_GB2312" w:eastAsia="仿宋_GB2312"/>
          <w:color w:val="000000"/>
          <w:sz w:val="30"/>
          <w:szCs w:val="30"/>
        </w:rPr>
      </w:pPr>
    </w:p>
    <w:p w14:paraId="694C50BB" w14:textId="77777777" w:rsidR="006E0D0E" w:rsidRDefault="001536F7">
      <w:pPr>
        <w:autoSpaceDE w:val="0"/>
        <w:autoSpaceDN w:val="0"/>
        <w:adjustRightInd w:val="0"/>
        <w:spacing w:line="560" w:lineRule="exact"/>
        <w:ind w:firstLineChars="200" w:firstLine="643"/>
        <w:rPr>
          <w:rFonts w:ascii="黑体" w:eastAsia="黑体" w:hAnsi="黑体" w:cs="宋体-WinCharSetFFFF-H"/>
          <w:b/>
          <w:color w:val="000000"/>
          <w:kern w:val="0"/>
          <w:sz w:val="32"/>
          <w:szCs w:val="32"/>
        </w:rPr>
      </w:pPr>
      <w:r>
        <w:rPr>
          <w:rFonts w:ascii="黑体" w:eastAsia="黑体" w:hAnsi="黑体" w:cs="宋体-WinCharSetFFFF-H" w:hint="eastAsia"/>
          <w:b/>
          <w:color w:val="000000"/>
          <w:kern w:val="0"/>
          <w:sz w:val="32"/>
          <w:szCs w:val="32"/>
        </w:rPr>
        <w:t>四、终止上市暨摘牌日期</w:t>
      </w:r>
    </w:p>
    <w:p w14:paraId="5D152B79" w14:textId="77777777" w:rsidR="006E0D0E" w:rsidRDefault="001536F7">
      <w:pPr>
        <w:autoSpaceDE w:val="0"/>
        <w:autoSpaceDN w:val="0"/>
        <w:adjustRightIn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说明公司股票终止上市暨摘牌日期。</w:t>
      </w:r>
    </w:p>
    <w:p w14:paraId="67A126B8" w14:textId="77777777" w:rsidR="006E0D0E" w:rsidRDefault="006E0D0E">
      <w:pPr>
        <w:autoSpaceDE w:val="0"/>
        <w:autoSpaceDN w:val="0"/>
        <w:adjustRightInd w:val="0"/>
        <w:spacing w:line="560" w:lineRule="exact"/>
        <w:ind w:firstLineChars="200" w:firstLine="600"/>
        <w:rPr>
          <w:rFonts w:ascii="仿宋_GB2312" w:eastAsia="仿宋_GB2312"/>
          <w:color w:val="000000"/>
          <w:sz w:val="30"/>
          <w:szCs w:val="30"/>
        </w:rPr>
      </w:pPr>
    </w:p>
    <w:p w14:paraId="5B5EE093" w14:textId="77777777" w:rsidR="006E0D0E" w:rsidRDefault="001536F7">
      <w:pPr>
        <w:autoSpaceDE w:val="0"/>
        <w:autoSpaceDN w:val="0"/>
        <w:adjustRightInd w:val="0"/>
        <w:spacing w:line="560" w:lineRule="exact"/>
        <w:ind w:firstLineChars="200" w:firstLine="643"/>
        <w:rPr>
          <w:rFonts w:ascii="黑体" w:eastAsia="黑体" w:hAnsi="黑体" w:cs="宋体-WinCharSetFFFF-H"/>
          <w:b/>
          <w:color w:val="000000"/>
          <w:kern w:val="0"/>
          <w:sz w:val="32"/>
          <w:szCs w:val="32"/>
        </w:rPr>
      </w:pPr>
      <w:r>
        <w:rPr>
          <w:rFonts w:ascii="黑体" w:eastAsia="黑体" w:hAnsi="黑体" w:cs="宋体-WinCharSetFFFF-H" w:hint="eastAsia"/>
          <w:b/>
          <w:color w:val="000000"/>
          <w:kern w:val="0"/>
          <w:sz w:val="32"/>
          <w:szCs w:val="32"/>
        </w:rPr>
        <w:t>五、终止上市后相关后续事宜</w:t>
      </w:r>
    </w:p>
    <w:p w14:paraId="21CDAEDD" w14:textId="77777777" w:rsidR="006E0D0E" w:rsidRDefault="001536F7">
      <w:pPr>
        <w:autoSpaceDE w:val="0"/>
        <w:autoSpaceDN w:val="0"/>
        <w:adjustRightIn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主动终止上市公司：本部分主要说明公司股票终止上市后，公司将选择在证券交易场所交易或转让其股票，或者依法</w:t>
      </w:r>
      <w:proofErr w:type="gramStart"/>
      <w:r>
        <w:rPr>
          <w:rFonts w:ascii="仿宋_GB2312" w:eastAsia="仿宋_GB2312" w:hint="eastAsia"/>
          <w:color w:val="000000"/>
          <w:sz w:val="30"/>
          <w:szCs w:val="30"/>
        </w:rPr>
        <w:t>作出</w:t>
      </w:r>
      <w:proofErr w:type="gramEnd"/>
      <w:r>
        <w:rPr>
          <w:rFonts w:ascii="仿宋_GB2312" w:eastAsia="仿宋_GB2312" w:hint="eastAsia"/>
          <w:color w:val="000000"/>
          <w:sz w:val="30"/>
          <w:szCs w:val="30"/>
        </w:rPr>
        <w:t>其他安排，以及相</w:t>
      </w:r>
      <w:r>
        <w:rPr>
          <w:rFonts w:ascii="仿宋_GB2312" w:eastAsia="仿宋_GB2312"/>
          <w:color w:val="000000"/>
          <w:sz w:val="30"/>
          <w:szCs w:val="30"/>
        </w:rPr>
        <w:t>应</w:t>
      </w:r>
      <w:r>
        <w:rPr>
          <w:rFonts w:ascii="仿宋_GB2312" w:eastAsia="仿宋_GB2312" w:hint="eastAsia"/>
          <w:color w:val="000000"/>
          <w:sz w:val="30"/>
          <w:szCs w:val="30"/>
        </w:rPr>
        <w:t>的股票登记、转让和管理事宜等。</w:t>
      </w:r>
    </w:p>
    <w:p w14:paraId="37004786" w14:textId="77777777" w:rsidR="006E0D0E" w:rsidRDefault="001536F7">
      <w:pPr>
        <w:autoSpaceDE w:val="0"/>
        <w:autoSpaceDN w:val="0"/>
        <w:adjustRightIn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强制终止上市公司：本部分主要说明公司股票终止上市后，公司股票将转入全国中小企业股份转让系统等证券交易场所转让，提示投资者确认或申报拟在全国中小企业股份转让系统退市板块使用的证券账户，并明确股票进入退市板块挂牌转让涉及的确权、登记、托管等相关安排。包括但不限于：</w:t>
      </w:r>
    </w:p>
    <w:p w14:paraId="1EA83B5A" w14:textId="77777777" w:rsidR="006E0D0E" w:rsidRDefault="001536F7">
      <w:pPr>
        <w:autoSpaceDE w:val="0"/>
        <w:autoSpaceDN w:val="0"/>
        <w:adjustRightIn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Pr>
          <w:rFonts w:ascii="仿宋_GB2312" w:eastAsia="仿宋_GB2312" w:hint="eastAsia"/>
          <w:color w:val="000000"/>
          <w:sz w:val="30"/>
          <w:szCs w:val="30"/>
        </w:rPr>
        <w:t>披露主办券商的名称、确定主办券商的方式、签订委托股份转让协议的情况。</w:t>
      </w:r>
    </w:p>
    <w:p w14:paraId="548EF088" w14:textId="77777777" w:rsidR="006E0D0E" w:rsidRDefault="001536F7">
      <w:pPr>
        <w:autoSpaceDE w:val="0"/>
        <w:autoSpaceDN w:val="0"/>
        <w:adjustRightInd w:val="0"/>
        <w:spacing w:line="560" w:lineRule="exact"/>
        <w:ind w:firstLineChars="200" w:firstLine="600"/>
        <w:rPr>
          <w:rFonts w:ascii="仿宋_GB2312" w:eastAsia="仿宋_GB2312" w:hAnsi="宋体"/>
          <w:color w:val="000000"/>
          <w:sz w:val="30"/>
          <w:szCs w:val="30"/>
        </w:rPr>
      </w:pPr>
      <w:r>
        <w:rPr>
          <w:rFonts w:ascii="仿宋_GB2312" w:eastAsia="仿宋_GB2312" w:hint="eastAsia"/>
          <w:color w:val="000000"/>
          <w:sz w:val="30"/>
          <w:szCs w:val="30"/>
        </w:rPr>
        <w:t>2.</w:t>
      </w:r>
      <w:r>
        <w:rPr>
          <w:rFonts w:ascii="仿宋_GB2312" w:eastAsia="仿宋_GB2312" w:hAnsi="宋体" w:hint="eastAsia"/>
          <w:color w:val="000000"/>
          <w:sz w:val="30"/>
          <w:szCs w:val="30"/>
        </w:rPr>
        <w:t>对于公司历年委托中国证券登记结算有限责任公司（以下简称中国结算）上海分公司派发的现金红利，因投资者证券账户未办理指定交易手续、证券账户状态异</w:t>
      </w:r>
      <w:r>
        <w:rPr>
          <w:rFonts w:ascii="仿宋_GB2312" w:eastAsia="仿宋_GB2312" w:hAnsi="宋体" w:hint="eastAsia"/>
          <w:color w:val="000000"/>
          <w:sz w:val="30"/>
          <w:szCs w:val="30"/>
        </w:rPr>
        <w:t>常等原因未派发给投资者的，公司已委托中国结算上海分公司继续负责该部分现金红利的保管和发放事宜，投资者等相关主体在办理完成指定交易、证券账户状态变更等手续后，可按照现有的红利领取流程获取对应的</w:t>
      </w:r>
      <w:r>
        <w:rPr>
          <w:rFonts w:ascii="仿宋_GB2312" w:eastAsia="仿宋_GB2312" w:hAnsi="宋体" w:hint="eastAsia"/>
          <w:color w:val="000000"/>
          <w:sz w:val="30"/>
          <w:szCs w:val="30"/>
        </w:rPr>
        <w:lastRenderedPageBreak/>
        <w:t>现金红利。</w:t>
      </w:r>
    </w:p>
    <w:p w14:paraId="56CD379B" w14:textId="77777777" w:rsidR="006E0D0E" w:rsidRDefault="001536F7">
      <w:pPr>
        <w:autoSpaceDE w:val="0"/>
        <w:autoSpaceDN w:val="0"/>
        <w:adjustRightInd w:val="0"/>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因投资者所持股票被质押、司法冻结等原因未派发给投资者的现金红利，公司已委托中国结算上海分公司在股票完成退市板块初始登记前，暂为保管该部分现金红利并</w:t>
      </w:r>
      <w:proofErr w:type="gramStart"/>
      <w:r>
        <w:rPr>
          <w:rFonts w:ascii="仿宋_GB2312" w:eastAsia="仿宋_GB2312" w:hAnsi="宋体" w:hint="eastAsia"/>
          <w:color w:val="000000"/>
          <w:sz w:val="30"/>
          <w:szCs w:val="30"/>
        </w:rPr>
        <w:t>协助主办</w:t>
      </w:r>
      <w:proofErr w:type="gramEnd"/>
      <w:r>
        <w:rPr>
          <w:rFonts w:ascii="仿宋_GB2312" w:eastAsia="仿宋_GB2312" w:hAnsi="宋体" w:hint="eastAsia"/>
          <w:color w:val="000000"/>
          <w:sz w:val="30"/>
          <w:szCs w:val="30"/>
        </w:rPr>
        <w:t>券商办理解冻资金的划付；在股票完成退市板块初始登记后，将红利资金划至中国结算北京分公司，由中国结算北京分公司负责该部分现金红利的保管和发放事宜。</w:t>
      </w:r>
    </w:p>
    <w:p w14:paraId="18CEA1C3" w14:textId="77777777" w:rsidR="006E0D0E" w:rsidRDefault="001536F7">
      <w:pPr>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3</w:t>
      </w:r>
      <w:r>
        <w:rPr>
          <w:rFonts w:ascii="仿宋_GB2312" w:eastAsia="仿宋_GB2312" w:hAnsi="宋体" w:hint="eastAsia"/>
          <w:color w:val="000000"/>
          <w:sz w:val="30"/>
          <w:szCs w:val="30"/>
        </w:rPr>
        <w:t>.</w:t>
      </w:r>
      <w:r>
        <w:rPr>
          <w:rFonts w:ascii="仿宋_GB2312" w:eastAsia="仿宋_GB2312" w:hAnsi="宋体" w:hint="eastAsia"/>
          <w:color w:val="000000"/>
          <w:sz w:val="30"/>
          <w:szCs w:val="30"/>
        </w:rPr>
        <w:t>公司已（或已委托主办券商）向中国结算上海分公司申请办理沪市退出登记手续。</w:t>
      </w:r>
      <w:r>
        <w:rPr>
          <w:rFonts w:ascii="仿宋_GB2312" w:eastAsia="仿宋_GB2312" w:hAnsi="宋体"/>
          <w:color w:val="000000"/>
          <w:sz w:val="30"/>
          <w:szCs w:val="30"/>
        </w:rPr>
        <w:t>自完成沪市退出登记至在</w:t>
      </w:r>
      <w:r>
        <w:rPr>
          <w:rFonts w:ascii="仿宋_GB2312" w:eastAsia="仿宋_GB2312" w:hAnsi="宋体" w:hint="eastAsia"/>
          <w:color w:val="000000"/>
          <w:sz w:val="30"/>
          <w:szCs w:val="30"/>
        </w:rPr>
        <w:t>退市板块办理完成股份初始登记业务</w:t>
      </w:r>
      <w:r>
        <w:rPr>
          <w:rFonts w:ascii="仿宋_GB2312" w:eastAsia="仿宋_GB2312" w:hAnsi="宋体"/>
          <w:color w:val="000000"/>
          <w:sz w:val="30"/>
          <w:szCs w:val="30"/>
        </w:rPr>
        <w:t>期间，主办券商负责办理股份确权、协助执法及投资者证券持有和变动记录维护等业务</w:t>
      </w:r>
      <w:r>
        <w:rPr>
          <w:rFonts w:ascii="仿宋_GB2312" w:eastAsia="仿宋_GB2312" w:hAnsi="宋体" w:hint="eastAsia"/>
          <w:color w:val="000000"/>
          <w:sz w:val="30"/>
          <w:szCs w:val="30"/>
        </w:rPr>
        <w:t>。</w:t>
      </w:r>
    </w:p>
    <w:p w14:paraId="47C758FF" w14:textId="77777777" w:rsidR="006E0D0E" w:rsidRDefault="001536F7">
      <w:pPr>
        <w:snapToGrid w:val="0"/>
        <w:spacing w:line="56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4</w:t>
      </w:r>
      <w:r>
        <w:rPr>
          <w:rFonts w:ascii="仿宋_GB2312" w:eastAsia="仿宋_GB2312" w:hAnsi="宋体" w:hint="eastAsia"/>
          <w:color w:val="000000"/>
          <w:sz w:val="30"/>
          <w:szCs w:val="30"/>
        </w:rPr>
        <w:t>.</w:t>
      </w:r>
      <w:r>
        <w:rPr>
          <w:rFonts w:ascii="仿宋_GB2312" w:eastAsia="仿宋_GB2312" w:hAnsi="宋体" w:hint="eastAsia"/>
          <w:color w:val="000000"/>
          <w:sz w:val="30"/>
          <w:szCs w:val="30"/>
        </w:rPr>
        <w:t>公司</w:t>
      </w:r>
      <w:r>
        <w:rPr>
          <w:rFonts w:ascii="仿宋_GB2312" w:eastAsia="仿宋_GB2312" w:hAnsi="宋体" w:hint="eastAsia"/>
          <w:color w:val="000000"/>
          <w:sz w:val="30"/>
          <w:szCs w:val="30"/>
        </w:rPr>
        <w:t>/</w:t>
      </w:r>
      <w:r>
        <w:rPr>
          <w:rFonts w:ascii="仿宋_GB2312" w:eastAsia="仿宋_GB2312" w:hAnsi="宋体" w:hint="eastAsia"/>
          <w:color w:val="000000"/>
          <w:sz w:val="30"/>
          <w:szCs w:val="30"/>
        </w:rPr>
        <w:t>主办券商已委托中国结算上海分公司为持有公司</w:t>
      </w:r>
      <w:r>
        <w:rPr>
          <w:rFonts w:ascii="仿宋_GB2312" w:eastAsia="仿宋_GB2312" w:hAnsi="宋体" w:hint="eastAsia"/>
          <w:color w:val="000000"/>
          <w:sz w:val="30"/>
          <w:szCs w:val="30"/>
        </w:rPr>
        <w:t>A</w:t>
      </w:r>
      <w:r>
        <w:rPr>
          <w:rFonts w:ascii="仿宋_GB2312" w:eastAsia="仿宋_GB2312" w:hAnsi="宋体" w:hint="eastAsia"/>
          <w:color w:val="000000"/>
          <w:sz w:val="30"/>
          <w:szCs w:val="30"/>
        </w:rPr>
        <w:t>股股票的个人和普通机构投资者提供证券账户的初步转换服务。中国结算上海分公司将根据投资者的沪市证券账户信息，初步转换得到投资者可在退市板块使用的证券账户。证券账户转换原则请详见主办券商在退市板块发布的公司股份确权公告。自公司股票终止上市暨摘牌后至主办券</w:t>
      </w:r>
      <w:r>
        <w:rPr>
          <w:rFonts w:ascii="仿宋_GB2312" w:eastAsia="仿宋_GB2312" w:hAnsi="宋体" w:hint="eastAsia"/>
          <w:color w:val="000000"/>
          <w:sz w:val="30"/>
          <w:szCs w:val="30"/>
        </w:rPr>
        <w:t>商办理完成退市板块初始登记业务期间，请投资者不要注销初步转换得到的证券账户，避免影响股份的登记和转让。</w:t>
      </w:r>
    </w:p>
    <w:p w14:paraId="144EA591" w14:textId="77777777" w:rsidR="006E0D0E" w:rsidRDefault="001536F7">
      <w:pPr>
        <w:autoSpaceDE w:val="0"/>
        <w:autoSpaceDN w:val="0"/>
        <w:adjustRightInd w:val="0"/>
        <w:spacing w:line="560" w:lineRule="exact"/>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5</w:t>
      </w:r>
      <w:r>
        <w:rPr>
          <w:rFonts w:ascii="仿宋_GB2312" w:eastAsia="仿宋_GB2312" w:hAnsi="宋体" w:hint="eastAsia"/>
          <w:color w:val="000000"/>
          <w:sz w:val="30"/>
          <w:szCs w:val="30"/>
        </w:rPr>
        <w:t>.</w:t>
      </w:r>
      <w:r>
        <w:rPr>
          <w:rFonts w:ascii="仿宋_GB2312" w:eastAsia="仿宋_GB2312" w:hAnsi="宋体" w:hint="eastAsia"/>
          <w:color w:val="000000"/>
          <w:sz w:val="30"/>
          <w:szCs w:val="30"/>
        </w:rPr>
        <w:t>请投资者持续关注证券公司等股份托管机构的通知，以及主办券商在退市板块发布的公司股份确权公告，并按照相关通知和公告的要求，主动联系股份托管机构或主办券商办理股份确权手续，并及时办理加挂资金账户等交易结算手续。</w:t>
      </w:r>
    </w:p>
    <w:p w14:paraId="005C5400" w14:textId="77777777" w:rsidR="006E0D0E" w:rsidRDefault="006E0D0E">
      <w:pPr>
        <w:autoSpaceDE w:val="0"/>
        <w:autoSpaceDN w:val="0"/>
        <w:adjustRightInd w:val="0"/>
        <w:spacing w:line="560" w:lineRule="exact"/>
        <w:ind w:firstLineChars="200" w:firstLine="600"/>
        <w:rPr>
          <w:rFonts w:ascii="仿宋_GB2312" w:eastAsia="仿宋_GB2312"/>
          <w:color w:val="000000"/>
          <w:sz w:val="30"/>
          <w:szCs w:val="30"/>
        </w:rPr>
      </w:pPr>
    </w:p>
    <w:p w14:paraId="500C02FA" w14:textId="77777777" w:rsidR="006E0D0E" w:rsidRDefault="001536F7">
      <w:pPr>
        <w:autoSpaceDE w:val="0"/>
        <w:autoSpaceDN w:val="0"/>
        <w:adjustRightInd w:val="0"/>
        <w:spacing w:line="560" w:lineRule="exact"/>
        <w:ind w:firstLineChars="200" w:firstLine="643"/>
        <w:rPr>
          <w:rFonts w:ascii="黑体" w:eastAsia="黑体" w:hAnsi="黑体" w:cs="宋体-WinCharSetFFFF-H"/>
          <w:b/>
          <w:color w:val="000000"/>
          <w:kern w:val="0"/>
          <w:sz w:val="32"/>
          <w:szCs w:val="32"/>
        </w:rPr>
      </w:pPr>
      <w:r>
        <w:rPr>
          <w:rFonts w:ascii="黑体" w:eastAsia="黑体" w:hAnsi="黑体" w:cs="宋体-WinCharSetFFFF-H" w:hint="eastAsia"/>
          <w:b/>
          <w:color w:val="000000"/>
          <w:kern w:val="0"/>
          <w:sz w:val="32"/>
          <w:szCs w:val="32"/>
        </w:rPr>
        <w:lastRenderedPageBreak/>
        <w:t>六、终止上市后公司的联系人、联系地址、电话和其他通讯方式</w:t>
      </w:r>
    </w:p>
    <w:p w14:paraId="08BE1BEE" w14:textId="77777777" w:rsidR="006E0D0E" w:rsidRDefault="001536F7">
      <w:pPr>
        <w:autoSpaceDE w:val="0"/>
        <w:autoSpaceDN w:val="0"/>
        <w:adjustRightInd w:val="0"/>
        <w:spacing w:line="560" w:lineRule="exact"/>
        <w:ind w:firstLineChars="150" w:firstLine="450"/>
        <w:rPr>
          <w:rFonts w:ascii="仿宋_GB2312" w:eastAsia="仿宋_GB2312"/>
          <w:color w:val="000000"/>
          <w:sz w:val="30"/>
          <w:szCs w:val="30"/>
        </w:rPr>
      </w:pPr>
      <w:r>
        <w:rPr>
          <w:rFonts w:ascii="仿宋_GB2312" w:eastAsia="仿宋_GB2312" w:hint="eastAsia"/>
          <w:color w:val="000000"/>
          <w:sz w:val="30"/>
          <w:szCs w:val="30"/>
        </w:rPr>
        <w:t>（一）联系人；</w:t>
      </w:r>
    </w:p>
    <w:p w14:paraId="175A76F1" w14:textId="77777777" w:rsidR="006E0D0E" w:rsidRDefault="001536F7">
      <w:pPr>
        <w:autoSpaceDE w:val="0"/>
        <w:autoSpaceDN w:val="0"/>
        <w:adjustRightInd w:val="0"/>
        <w:spacing w:line="560" w:lineRule="exact"/>
        <w:ind w:firstLineChars="150" w:firstLine="450"/>
        <w:rPr>
          <w:rFonts w:ascii="仿宋_GB2312" w:eastAsia="仿宋_GB2312"/>
          <w:color w:val="000000"/>
          <w:sz w:val="30"/>
          <w:szCs w:val="30"/>
        </w:rPr>
      </w:pPr>
      <w:r>
        <w:rPr>
          <w:rFonts w:ascii="仿宋_GB2312" w:eastAsia="仿宋_GB2312" w:hint="eastAsia"/>
          <w:color w:val="000000"/>
          <w:sz w:val="30"/>
          <w:szCs w:val="30"/>
        </w:rPr>
        <w:t>（二）联系地址；</w:t>
      </w:r>
    </w:p>
    <w:p w14:paraId="0B6F2787" w14:textId="77777777" w:rsidR="006E0D0E" w:rsidRDefault="001536F7">
      <w:pPr>
        <w:autoSpaceDE w:val="0"/>
        <w:autoSpaceDN w:val="0"/>
        <w:adjustRightInd w:val="0"/>
        <w:spacing w:line="560" w:lineRule="exact"/>
        <w:ind w:firstLineChars="150" w:firstLine="450"/>
        <w:rPr>
          <w:rFonts w:ascii="仿宋_GB2312" w:eastAsia="仿宋_GB2312"/>
          <w:color w:val="000000"/>
          <w:sz w:val="30"/>
          <w:szCs w:val="30"/>
        </w:rPr>
      </w:pPr>
      <w:r>
        <w:rPr>
          <w:rFonts w:ascii="仿宋_GB2312" w:eastAsia="仿宋_GB2312" w:hint="eastAsia"/>
          <w:color w:val="000000"/>
          <w:sz w:val="30"/>
          <w:szCs w:val="30"/>
        </w:rPr>
        <w:t>（三）咨询电话；</w:t>
      </w:r>
    </w:p>
    <w:p w14:paraId="75C3592D" w14:textId="77777777" w:rsidR="006E0D0E" w:rsidRDefault="001536F7">
      <w:pPr>
        <w:autoSpaceDE w:val="0"/>
        <w:autoSpaceDN w:val="0"/>
        <w:adjustRightInd w:val="0"/>
        <w:spacing w:line="560" w:lineRule="exact"/>
        <w:ind w:firstLineChars="150" w:firstLine="450"/>
        <w:rPr>
          <w:rFonts w:ascii="仿宋_GB2312" w:eastAsia="仿宋_GB2312"/>
          <w:color w:val="000000"/>
          <w:sz w:val="30"/>
          <w:szCs w:val="30"/>
        </w:rPr>
      </w:pPr>
      <w:r>
        <w:rPr>
          <w:rFonts w:ascii="仿宋_GB2312" w:eastAsia="仿宋_GB2312" w:hint="eastAsia"/>
          <w:color w:val="000000"/>
          <w:sz w:val="30"/>
          <w:szCs w:val="30"/>
        </w:rPr>
        <w:t>（四）传真；</w:t>
      </w:r>
    </w:p>
    <w:p w14:paraId="0532AD5E" w14:textId="77777777" w:rsidR="006E0D0E" w:rsidRDefault="001536F7">
      <w:pPr>
        <w:autoSpaceDE w:val="0"/>
        <w:autoSpaceDN w:val="0"/>
        <w:adjustRightInd w:val="0"/>
        <w:spacing w:line="560" w:lineRule="exact"/>
        <w:ind w:firstLineChars="150" w:firstLine="450"/>
        <w:rPr>
          <w:rFonts w:ascii="仿宋_GB2312" w:eastAsia="仿宋_GB2312"/>
          <w:color w:val="000000"/>
          <w:sz w:val="30"/>
          <w:szCs w:val="30"/>
        </w:rPr>
      </w:pPr>
      <w:r>
        <w:rPr>
          <w:rFonts w:ascii="仿宋_GB2312" w:eastAsia="仿宋_GB2312" w:hint="eastAsia"/>
          <w:color w:val="000000"/>
          <w:sz w:val="30"/>
          <w:szCs w:val="30"/>
        </w:rPr>
        <w:t>（五）电子信箱。</w:t>
      </w:r>
    </w:p>
    <w:p w14:paraId="453D2D2A" w14:textId="77777777" w:rsidR="006E0D0E" w:rsidRDefault="006E0D0E">
      <w:pPr>
        <w:autoSpaceDE w:val="0"/>
        <w:autoSpaceDN w:val="0"/>
        <w:adjustRightInd w:val="0"/>
        <w:spacing w:line="560" w:lineRule="exact"/>
        <w:ind w:firstLineChars="192" w:firstLine="578"/>
        <w:jc w:val="left"/>
        <w:rPr>
          <w:rFonts w:ascii="黑体" w:eastAsia="黑体" w:hAnsi="黑体" w:cs="宋体-WinCharSetFFFF-H"/>
          <w:b/>
          <w:color w:val="000000"/>
          <w:kern w:val="0"/>
          <w:sz w:val="30"/>
          <w:szCs w:val="30"/>
        </w:rPr>
      </w:pPr>
    </w:p>
    <w:p w14:paraId="3ED48FC4" w14:textId="77777777" w:rsidR="006E0D0E" w:rsidRDefault="001536F7">
      <w:pPr>
        <w:autoSpaceDE w:val="0"/>
        <w:autoSpaceDN w:val="0"/>
        <w:adjustRightInd w:val="0"/>
        <w:spacing w:line="560" w:lineRule="exact"/>
        <w:ind w:firstLineChars="192" w:firstLine="576"/>
        <w:jc w:val="left"/>
        <w:rPr>
          <w:rFonts w:ascii="仿宋_GB2312" w:eastAsia="仿宋_GB2312" w:hAnsi="宋体" w:cs="宋体-WinCharSetFFFF-H"/>
          <w:color w:val="000000"/>
          <w:kern w:val="0"/>
          <w:sz w:val="30"/>
          <w:szCs w:val="30"/>
        </w:rPr>
      </w:pPr>
      <w:r>
        <w:rPr>
          <w:rFonts w:ascii="仿宋_GB2312" w:eastAsia="仿宋_GB2312" w:hAnsi="宋体" w:cs="宋体-WinCharSetFFFF-H" w:hint="eastAsia"/>
          <w:color w:val="000000"/>
          <w:kern w:val="0"/>
          <w:sz w:val="30"/>
          <w:szCs w:val="30"/>
        </w:rPr>
        <w:t>特此公告。</w:t>
      </w:r>
    </w:p>
    <w:p w14:paraId="62B97F76" w14:textId="77777777" w:rsidR="006E0D0E" w:rsidRDefault="006E0D0E">
      <w:pPr>
        <w:autoSpaceDE w:val="0"/>
        <w:autoSpaceDN w:val="0"/>
        <w:adjustRightInd w:val="0"/>
        <w:spacing w:line="560" w:lineRule="exact"/>
        <w:ind w:firstLineChars="192" w:firstLine="576"/>
        <w:jc w:val="left"/>
        <w:rPr>
          <w:rFonts w:ascii="仿宋_GB2312" w:eastAsia="仿宋_GB2312" w:hAnsi="宋体" w:cs="宋体-WinCharSetFFFF-H"/>
          <w:color w:val="000000"/>
          <w:kern w:val="0"/>
          <w:sz w:val="30"/>
          <w:szCs w:val="30"/>
        </w:rPr>
      </w:pPr>
    </w:p>
    <w:p w14:paraId="7C45F1F8" w14:textId="77777777" w:rsidR="006E0D0E" w:rsidRDefault="001536F7">
      <w:pPr>
        <w:autoSpaceDE w:val="0"/>
        <w:autoSpaceDN w:val="0"/>
        <w:adjustRightInd w:val="0"/>
        <w:spacing w:line="560" w:lineRule="exact"/>
        <w:jc w:val="right"/>
        <w:rPr>
          <w:rFonts w:ascii="仿宋_GB2312" w:eastAsia="仿宋_GB2312" w:hAnsi="宋体" w:cs="宋体-WinCharSetFFFF-H"/>
          <w:color w:val="000000"/>
          <w:kern w:val="0"/>
          <w:sz w:val="30"/>
          <w:szCs w:val="30"/>
        </w:rPr>
      </w:pPr>
      <w:r>
        <w:rPr>
          <w:rFonts w:ascii="仿宋_GB2312" w:eastAsia="仿宋_GB2312" w:hAnsi="宋体" w:cs="宋体" w:hint="eastAsia"/>
          <w:color w:val="000000"/>
          <w:kern w:val="0"/>
          <w:sz w:val="30"/>
          <w:szCs w:val="30"/>
        </w:rPr>
        <w:t>XXXX</w:t>
      </w:r>
      <w:r>
        <w:rPr>
          <w:rFonts w:ascii="仿宋_GB2312" w:eastAsia="仿宋_GB2312" w:hAnsi="宋体" w:cs="宋体" w:hint="eastAsia"/>
          <w:color w:val="000000"/>
          <w:kern w:val="0"/>
          <w:sz w:val="30"/>
          <w:szCs w:val="30"/>
        </w:rPr>
        <w:t>有限</w:t>
      </w:r>
      <w:r>
        <w:rPr>
          <w:rFonts w:ascii="仿宋_GB2312" w:eastAsia="仿宋_GB2312" w:hAnsi="宋体" w:cs="宋体-WinCharSetFFFF-H" w:hint="eastAsia"/>
          <w:color w:val="000000"/>
          <w:kern w:val="0"/>
          <w:sz w:val="30"/>
          <w:szCs w:val="30"/>
        </w:rPr>
        <w:t>公司董事会</w:t>
      </w:r>
    </w:p>
    <w:p w14:paraId="7B38B09A" w14:textId="77777777" w:rsidR="006E0D0E" w:rsidRDefault="001536F7">
      <w:pPr>
        <w:spacing w:line="560" w:lineRule="exact"/>
        <w:jc w:val="right"/>
        <w:rPr>
          <w:rFonts w:ascii="仿宋_GB2312" w:eastAsia="仿宋_GB2312" w:hAnsi="宋体" w:cs="宋体-WinCharSetFFFF-H"/>
          <w:color w:val="000000"/>
          <w:kern w:val="0"/>
          <w:sz w:val="30"/>
          <w:szCs w:val="30"/>
        </w:rPr>
      </w:pPr>
      <w:r>
        <w:rPr>
          <w:rFonts w:ascii="仿宋_GB2312" w:eastAsia="仿宋_GB2312" w:hAnsi="宋体" w:cs="宋体-WinCharSetFFFF-H" w:hint="eastAsia"/>
          <w:color w:val="000000"/>
          <w:kern w:val="0"/>
          <w:sz w:val="30"/>
          <w:szCs w:val="30"/>
        </w:rPr>
        <w:t xml:space="preserve"> </w:t>
      </w:r>
      <w:r>
        <w:rPr>
          <w:rFonts w:ascii="仿宋_GB2312" w:eastAsia="仿宋_GB2312" w:hAnsi="宋体" w:cs="宋体-WinCharSetFFFF-H" w:hint="eastAsia"/>
          <w:color w:val="000000"/>
          <w:kern w:val="0"/>
          <w:sz w:val="30"/>
          <w:szCs w:val="30"/>
        </w:rPr>
        <w:t>年</w:t>
      </w:r>
      <w:r>
        <w:rPr>
          <w:rFonts w:ascii="仿宋_GB2312" w:eastAsia="仿宋_GB2312" w:hAnsi="宋体" w:cs="宋体-WinCharSetFFFF-H" w:hint="eastAsia"/>
          <w:color w:val="000000"/>
          <w:kern w:val="0"/>
          <w:sz w:val="30"/>
          <w:szCs w:val="30"/>
        </w:rPr>
        <w:t xml:space="preserve">  </w:t>
      </w:r>
      <w:r>
        <w:rPr>
          <w:rFonts w:ascii="仿宋_GB2312" w:eastAsia="仿宋_GB2312" w:hAnsi="宋体" w:cs="宋体-WinCharSetFFFF-H" w:hint="eastAsia"/>
          <w:color w:val="000000"/>
          <w:kern w:val="0"/>
          <w:sz w:val="30"/>
          <w:szCs w:val="30"/>
        </w:rPr>
        <w:t>月</w:t>
      </w:r>
      <w:r>
        <w:rPr>
          <w:rFonts w:ascii="仿宋_GB2312" w:eastAsia="仿宋_GB2312" w:hAnsi="宋体" w:cs="宋体-WinCharSetFFFF-H" w:hint="eastAsia"/>
          <w:color w:val="000000"/>
          <w:kern w:val="0"/>
          <w:sz w:val="30"/>
          <w:szCs w:val="30"/>
        </w:rPr>
        <w:t xml:space="preserve">  </w:t>
      </w:r>
      <w:r>
        <w:rPr>
          <w:rFonts w:ascii="仿宋_GB2312" w:eastAsia="仿宋_GB2312" w:hAnsi="宋体" w:cs="宋体-WinCharSetFFFF-H" w:hint="eastAsia"/>
          <w:color w:val="000000"/>
          <w:kern w:val="0"/>
          <w:sz w:val="30"/>
          <w:szCs w:val="30"/>
        </w:rPr>
        <w:t>日</w:t>
      </w:r>
    </w:p>
    <w:p w14:paraId="12832840" w14:textId="77777777" w:rsidR="006E0D0E" w:rsidRDefault="006E0D0E">
      <w:pPr>
        <w:spacing w:line="600" w:lineRule="exact"/>
        <w:jc w:val="left"/>
        <w:rPr>
          <w:rFonts w:ascii="仿宋_GB2312" w:eastAsia="仿宋_GB2312" w:hAnsi="宋体"/>
          <w:color w:val="000000"/>
          <w:sz w:val="30"/>
          <w:szCs w:val="30"/>
        </w:rPr>
      </w:pPr>
    </w:p>
    <w:p w14:paraId="7318B420" w14:textId="77777777" w:rsidR="006E0D0E" w:rsidRDefault="006E0D0E"/>
    <w:sectPr w:rsidR="006E0D0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920B7" w14:textId="77777777" w:rsidR="001536F7" w:rsidRDefault="001536F7">
      <w:r>
        <w:separator/>
      </w:r>
    </w:p>
  </w:endnote>
  <w:endnote w:type="continuationSeparator" w:id="0">
    <w:p w14:paraId="2612949A" w14:textId="77777777" w:rsidR="001536F7" w:rsidRDefault="0015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jaVu Sans">
    <w:altName w:val="Arial"/>
    <w:charset w:val="00"/>
    <w:family w:val="roman"/>
    <w:pitch w:val="default"/>
    <w:sig w:usb0="00000000" w:usb1="0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WinCharSetFFFF-H">
    <w:altName w:val="方正舒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01252"/>
    </w:sdtPr>
    <w:sdtEndPr/>
    <w:sdtContent>
      <w:p w14:paraId="027645D1" w14:textId="372A3681" w:rsidR="006E0D0E" w:rsidRDefault="001536F7">
        <w:pPr>
          <w:pStyle w:val="a3"/>
          <w:jc w:val="center"/>
        </w:pPr>
        <w:r>
          <w:fldChar w:fldCharType="begin"/>
        </w:r>
        <w:r>
          <w:instrText xml:space="preserve"> PAGE   \* MERGEFORMAT </w:instrText>
        </w:r>
        <w:r>
          <w:fldChar w:fldCharType="separate"/>
        </w:r>
        <w:r w:rsidR="00496AB6" w:rsidRPr="00496AB6">
          <w:rPr>
            <w:noProof/>
            <w:lang w:val="zh-CN"/>
          </w:rPr>
          <w:t>5</w:t>
        </w:r>
        <w:r>
          <w:rPr>
            <w:lang w:val="zh-CN"/>
          </w:rPr>
          <w:fldChar w:fldCharType="end"/>
        </w:r>
      </w:p>
    </w:sdtContent>
  </w:sdt>
  <w:p w14:paraId="165C1FE4" w14:textId="77777777" w:rsidR="006E0D0E" w:rsidRDefault="006E0D0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E5F7" w14:textId="77777777" w:rsidR="001536F7" w:rsidRDefault="001536F7">
      <w:r>
        <w:separator/>
      </w:r>
    </w:p>
  </w:footnote>
  <w:footnote w:type="continuationSeparator" w:id="0">
    <w:p w14:paraId="5100ADDE" w14:textId="77777777" w:rsidR="001536F7" w:rsidRDefault="001536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4109"/>
    <w:multiLevelType w:val="multilevel"/>
    <w:tmpl w:val="0E2B4109"/>
    <w:lvl w:ilvl="0">
      <w:start w:val="1"/>
      <w:numFmt w:val="bullet"/>
      <w:lvlText w:val=""/>
      <w:lvlJc w:val="left"/>
      <w:pPr>
        <w:tabs>
          <w:tab w:val="left" w:pos="987"/>
        </w:tabs>
        <w:ind w:left="987"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68"/>
    <w:rsid w:val="000B73D7"/>
    <w:rsid w:val="001536F7"/>
    <w:rsid w:val="00387482"/>
    <w:rsid w:val="00496AB6"/>
    <w:rsid w:val="006E0D0E"/>
    <w:rsid w:val="00A75D68"/>
    <w:rsid w:val="00B865F0"/>
    <w:rsid w:val="00C35F3C"/>
    <w:rsid w:val="655A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254372-CF22-4E19-8A9B-1FFAE63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0"/>
    <w:uiPriority w:val="9"/>
    <w:unhideWhenUsed/>
    <w:qFormat/>
    <w:pPr>
      <w:keepNext/>
      <w:keepLines/>
      <w:spacing w:line="413" w:lineRule="auto"/>
      <w:jc w:val="center"/>
      <w:outlineLvl w:val="1"/>
    </w:pPr>
    <w:rPr>
      <w:rFonts w:ascii="DejaVu Sans" w:eastAsia="黑体" w:hAnsi="DejaVu Sans"/>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character" w:customStyle="1" w:styleId="20">
    <w:name w:val="标题 2 字符"/>
    <w:basedOn w:val="a0"/>
    <w:link w:val="2"/>
    <w:uiPriority w:val="9"/>
    <w:qFormat/>
    <w:rPr>
      <w:rFonts w:ascii="DejaVu Sans" w:eastAsia="黑体" w:hAnsi="DejaVu Sans" w:cs="Times New Roman"/>
      <w:b/>
      <w:sz w:val="32"/>
    </w:rPr>
  </w:style>
  <w:style w:type="character" w:customStyle="1" w:styleId="a4">
    <w:name w:val="页脚 字符"/>
    <w:basedOn w:val="a0"/>
    <w:link w:val="a3"/>
    <w:uiPriority w:val="99"/>
    <w:qFormat/>
    <w:rPr>
      <w:rFonts w:ascii="Calibri" w:eastAsia="宋体" w:hAnsi="Calibri" w:cs="Times New Roman"/>
      <w:sz w:val="18"/>
      <w:szCs w:val="18"/>
    </w:rPr>
  </w:style>
  <w:style w:type="paragraph" w:customStyle="1" w:styleId="1">
    <w:name w:val="列出段落1"/>
    <w:basedOn w:val="a"/>
    <w:uiPriority w:val="34"/>
    <w:qFormat/>
    <w:pPr>
      <w:ind w:firstLineChars="200" w:firstLine="420"/>
    </w:pPr>
  </w:style>
  <w:style w:type="paragraph" w:styleId="a5">
    <w:name w:val="header"/>
    <w:basedOn w:val="a"/>
    <w:link w:val="a6"/>
    <w:uiPriority w:val="99"/>
    <w:unhideWhenUsed/>
    <w:rsid w:val="00B865F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865F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1909</Words>
  <Characters>1933</Characters>
  <Application>Microsoft Office Word</Application>
  <DocSecurity>0</DocSecurity>
  <Lines>109</Lines>
  <Paragraphs>44</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yjqin</dc:creator>
  <cp:lastModifiedBy>QYJ</cp:lastModifiedBy>
  <cp:revision>4</cp:revision>
  <dcterms:created xsi:type="dcterms:W3CDTF">2024-04-16T05:53:00Z</dcterms:created>
  <dcterms:modified xsi:type="dcterms:W3CDTF">2025-08-17T13:46:00Z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4714F7F8CBD84F35BA50FF2171279E14_12</vt:lpwstr>
  </property>
</Properties>
</file>