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4D3026BF" w14:textId="395DC3B2" w:rsidR="004568D2" w:rsidRDefault="0003413B">
      <w:pPr>
        <w:keepNext/>
        <w:keepLines/>
        <w:spacing w:line="413" w:lineRule="auto"/>
        <w:jc w:val="center"/>
        <w:outlineLvl w:val="0"/>
        <w:rPr>
          <w:rFonts w:ascii="黑体" w:eastAsia="黑体" w:hAnsi="黑体" w:cs="Times New Roman"/>
          <w:b/>
          <w:sz w:val="36"/>
          <w:szCs w:val="36"/>
        </w:rPr>
      </w:pPr>
      <w:r>
        <w:rPr>
          <w:rFonts w:ascii="黑体" w:eastAsia="黑体" w:hAnsi="黑体" w:cs="Times New Roman"/>
          <w:b/>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cs="Times New Roman"/>
          <w:b/>
          <w:sz w:val="36"/>
          <w:szCs w:val="36"/>
        </w:rPr>
        <w:instrText>ADDIN CNKISM.UserStyle</w:instrText>
      </w:r>
      <w:r>
        <w:rPr>
          <w:rFonts w:ascii="黑体" w:eastAsia="黑体" w:hAnsi="黑体" w:cs="Times New Roman"/>
          <w:b/>
          <w:sz w:val="36"/>
          <w:szCs w:val="36"/>
        </w:rPr>
      </w:r>
      <w:r>
        <w:rPr>
          <w:rFonts w:ascii="黑体" w:eastAsia="黑体" w:hAnsi="黑体" w:cs="Times New Roman"/>
          <w:b/>
          <w:sz w:val="36"/>
          <w:szCs w:val="36"/>
        </w:rPr>
        <w:fldChar w:fldCharType="end"/>
      </w:r>
      <w:bookmarkEnd w:id="0"/>
      <w:r w:rsidR="00A05CB4">
        <w:rPr>
          <w:rFonts w:ascii="黑体" w:eastAsia="黑体" w:hAnsi="黑体" w:cs="Times New Roman" w:hint="eastAsia"/>
          <w:b/>
          <w:sz w:val="36"/>
          <w:szCs w:val="36"/>
        </w:rPr>
        <w:t xml:space="preserve">第五号 </w:t>
      </w:r>
      <w:proofErr w:type="gramStart"/>
      <w:r w:rsidR="00A05CB4">
        <w:rPr>
          <w:rFonts w:ascii="黑体" w:eastAsia="黑体" w:hAnsi="黑体" w:cs="Times New Roman" w:hint="eastAsia"/>
          <w:b/>
          <w:sz w:val="36"/>
          <w:szCs w:val="36"/>
        </w:rPr>
        <w:t>科创板</w:t>
      </w:r>
      <w:proofErr w:type="gramEnd"/>
      <w:r w:rsidR="00A05CB4">
        <w:rPr>
          <w:rFonts w:ascii="黑体" w:eastAsia="黑体" w:hAnsi="黑体" w:cs="Times New Roman" w:hint="eastAsia"/>
          <w:b/>
          <w:sz w:val="36"/>
          <w:szCs w:val="36"/>
        </w:rPr>
        <w:t>上市公司收到股票终止上市决定的公告</w:t>
      </w:r>
    </w:p>
    <w:p w14:paraId="2C473FB6" w14:textId="77777777" w:rsidR="004568D2" w:rsidRDefault="004568D2">
      <w:pPr>
        <w:rPr>
          <w:rFonts w:ascii="Calibri" w:eastAsia="宋体" w:hAnsi="Calibri" w:cs="Times New Roman"/>
        </w:rPr>
      </w:pPr>
    </w:p>
    <w:p w14:paraId="1DAA92FA" w14:textId="77777777" w:rsidR="004568D2" w:rsidRDefault="00A05CB4">
      <w:pPr>
        <w:autoSpaceDE w:val="0"/>
        <w:autoSpaceDN w:val="0"/>
        <w:adjustRightInd w:val="0"/>
        <w:snapToGrid w:val="0"/>
        <w:spacing w:line="560" w:lineRule="exact"/>
        <w:rPr>
          <w:rFonts w:ascii="仿宋_GB2312" w:eastAsia="仿宋_GB2312" w:hAnsi="宋体" w:cs="Times New Roman"/>
          <w:b/>
          <w:sz w:val="30"/>
          <w:szCs w:val="30"/>
        </w:rPr>
      </w:pPr>
      <w:r>
        <w:rPr>
          <w:rFonts w:ascii="仿宋_GB2312" w:eastAsia="仿宋_GB2312" w:hAnsi="宋体" w:cs="Times New Roman" w:hint="eastAsia"/>
          <w:b/>
          <w:sz w:val="30"/>
          <w:szCs w:val="30"/>
        </w:rPr>
        <w:t>适用情形：</w:t>
      </w:r>
    </w:p>
    <w:p w14:paraId="7E092D7C" w14:textId="77777777" w:rsidR="004568D2" w:rsidRDefault="00A05CB4">
      <w:pPr>
        <w:autoSpaceDE w:val="0"/>
        <w:autoSpaceDN w:val="0"/>
        <w:adjustRightInd w:val="0"/>
        <w:snapToGrid w:val="0"/>
        <w:spacing w:line="560" w:lineRule="exact"/>
        <w:ind w:firstLineChars="200" w:firstLine="600"/>
        <w:rPr>
          <w:rFonts w:ascii="仿宋_GB2312" w:eastAsia="仿宋_GB2312" w:hAnsi="Calibri" w:cs="Times New Roman"/>
          <w:color w:val="000000"/>
          <w:sz w:val="30"/>
          <w:szCs w:val="30"/>
        </w:rPr>
      </w:pPr>
      <w:proofErr w:type="gramStart"/>
      <w:r>
        <w:rPr>
          <w:rFonts w:ascii="仿宋_GB2312" w:eastAsia="仿宋_GB2312" w:hAnsi="Calibri" w:cs="Times New Roman" w:hint="eastAsia"/>
          <w:color w:val="000000"/>
          <w:sz w:val="30"/>
          <w:szCs w:val="30"/>
        </w:rPr>
        <w:t>科创板</w:t>
      </w:r>
      <w:proofErr w:type="gramEnd"/>
      <w:r>
        <w:rPr>
          <w:rFonts w:ascii="仿宋_GB2312" w:eastAsia="仿宋_GB2312" w:hAnsi="Calibri" w:cs="Times New Roman" w:hint="eastAsia"/>
          <w:color w:val="000000"/>
          <w:sz w:val="30"/>
          <w:szCs w:val="30"/>
        </w:rPr>
        <w:t>上市公司出现《上海证券交易所科创板股票上市规则》（以下简称《科创板上市规则》）规定的终止上市情形之一，由上海证券交易所（以下简称本所）决定终止其股票上市的，上市公司收到本所</w:t>
      </w:r>
      <w:proofErr w:type="gramStart"/>
      <w:r>
        <w:rPr>
          <w:rFonts w:ascii="仿宋_GB2312" w:eastAsia="仿宋_GB2312" w:hAnsi="Calibri" w:cs="Times New Roman" w:hint="eastAsia"/>
          <w:color w:val="000000"/>
          <w:sz w:val="30"/>
          <w:szCs w:val="30"/>
        </w:rPr>
        <w:t>作出</w:t>
      </w:r>
      <w:proofErr w:type="gramEnd"/>
      <w:r>
        <w:rPr>
          <w:rFonts w:ascii="仿宋_GB2312" w:eastAsia="仿宋_GB2312" w:hAnsi="Calibri" w:cs="Times New Roman" w:hint="eastAsia"/>
          <w:color w:val="000000"/>
          <w:sz w:val="30"/>
          <w:szCs w:val="30"/>
        </w:rPr>
        <w:t>的终止上市决定，且后续股票需进入退市整理期交易的，需按照本公告格式指引立即披露相关事项。</w:t>
      </w:r>
    </w:p>
    <w:p w14:paraId="0A2B587A" w14:textId="77777777" w:rsidR="004568D2" w:rsidRDefault="004568D2">
      <w:pPr>
        <w:autoSpaceDE w:val="0"/>
        <w:autoSpaceDN w:val="0"/>
        <w:adjustRightInd w:val="0"/>
        <w:snapToGrid w:val="0"/>
        <w:spacing w:line="560" w:lineRule="exact"/>
        <w:ind w:firstLineChars="200" w:firstLine="600"/>
        <w:rPr>
          <w:rFonts w:ascii="仿宋_GB2312" w:eastAsia="仿宋_GB2312" w:hAnsi="Calibri" w:cs="Times New Roman"/>
          <w:color w:val="000000"/>
          <w:sz w:val="30"/>
          <w:szCs w:val="30"/>
        </w:rPr>
      </w:pPr>
    </w:p>
    <w:p w14:paraId="6859A831" w14:textId="77777777" w:rsidR="004568D2" w:rsidRDefault="00A05CB4">
      <w:pPr>
        <w:adjustRightInd w:val="0"/>
        <w:snapToGrid w:val="0"/>
        <w:spacing w:line="560" w:lineRule="exact"/>
        <w:rPr>
          <w:rFonts w:ascii="仿宋_GB2312" w:eastAsia="仿宋_GB2312" w:hAnsi="宋体" w:cs="Times New Roman"/>
          <w:sz w:val="30"/>
          <w:szCs w:val="30"/>
        </w:rPr>
      </w:pPr>
      <w:r>
        <w:rPr>
          <w:rFonts w:ascii="仿宋_GB2312" w:eastAsia="仿宋_GB2312" w:hAnsi="宋体" w:cs="Times New Roman" w:hint="eastAsia"/>
          <w:sz w:val="30"/>
          <w:szCs w:val="30"/>
        </w:rPr>
        <w:t>证券代码：             证券简称：            公告编号：</w:t>
      </w:r>
    </w:p>
    <w:p w14:paraId="5F89093E" w14:textId="77777777" w:rsidR="004568D2" w:rsidRDefault="004568D2">
      <w:pPr>
        <w:adjustRightInd w:val="0"/>
        <w:snapToGrid w:val="0"/>
        <w:spacing w:line="560" w:lineRule="exact"/>
        <w:jc w:val="center"/>
        <w:rPr>
          <w:rFonts w:ascii="仿宋_GB2312" w:eastAsia="仿宋_GB2312" w:hAnsi="宋体" w:cs="Times New Roman"/>
          <w:color w:val="000000"/>
          <w:sz w:val="30"/>
          <w:szCs w:val="30"/>
        </w:rPr>
      </w:pPr>
    </w:p>
    <w:p w14:paraId="5847890B" w14:textId="77777777" w:rsidR="004568D2" w:rsidRDefault="00A05CB4">
      <w:pPr>
        <w:snapToGrid w:val="0"/>
        <w:spacing w:line="560" w:lineRule="exact"/>
        <w:jc w:val="center"/>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t>X</w:t>
      </w:r>
      <w:r>
        <w:rPr>
          <w:rFonts w:ascii="仿宋_GB2312" w:eastAsia="仿宋_GB2312" w:hAnsi="宋体" w:cs="Times New Roman"/>
          <w:color w:val="000000"/>
          <w:sz w:val="30"/>
          <w:szCs w:val="30"/>
        </w:rPr>
        <w:t>XXX</w:t>
      </w:r>
      <w:r>
        <w:rPr>
          <w:rFonts w:ascii="仿宋_GB2312" w:eastAsia="仿宋_GB2312" w:hAnsi="宋体" w:cs="Times New Roman" w:hint="eastAsia"/>
          <w:color w:val="000000"/>
          <w:sz w:val="30"/>
          <w:szCs w:val="30"/>
        </w:rPr>
        <w:t>股份有限公司收到股票终止上市决定的公告</w:t>
      </w:r>
    </w:p>
    <w:p w14:paraId="5F720840" w14:textId="77777777" w:rsidR="004568D2" w:rsidRDefault="004568D2">
      <w:pPr>
        <w:snapToGrid w:val="0"/>
        <w:spacing w:line="560" w:lineRule="exact"/>
        <w:jc w:val="center"/>
        <w:rPr>
          <w:rFonts w:ascii="仿宋_GB2312" w:eastAsia="仿宋_GB2312" w:hAnsi="宋体" w:cs="Times New Roman"/>
          <w:color w:val="000000"/>
          <w:sz w:val="30"/>
          <w:szCs w:val="30"/>
        </w:rPr>
      </w:pPr>
    </w:p>
    <w:p w14:paraId="5DECF066" w14:textId="77777777" w:rsidR="004568D2" w:rsidRDefault="00A05CB4">
      <w:pPr>
        <w:pBdr>
          <w:top w:val="single" w:sz="4" w:space="1" w:color="auto"/>
          <w:left w:val="single" w:sz="4" w:space="4" w:color="auto"/>
          <w:bottom w:val="single" w:sz="4" w:space="2" w:color="auto"/>
          <w:right w:val="single" w:sz="4" w:space="4" w:color="auto"/>
        </w:pBdr>
        <w:adjustRightInd w:val="0"/>
        <w:spacing w:line="560" w:lineRule="exact"/>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t xml:space="preserve">    本公司董事会及全体董事保证本公告内容不存在任何虚假记载、误导性陈述或者重大遗漏，并对其内容的真实性、准确性和完整性依法承担法律责任。</w:t>
      </w:r>
    </w:p>
    <w:p w14:paraId="4F5CA4C0" w14:textId="77777777" w:rsidR="004568D2" w:rsidRDefault="00A05CB4">
      <w:pPr>
        <w:pBdr>
          <w:top w:val="single" w:sz="4" w:space="1" w:color="auto"/>
          <w:left w:val="single" w:sz="4" w:space="4" w:color="auto"/>
          <w:bottom w:val="single" w:sz="4" w:space="2" w:color="auto"/>
          <w:right w:val="single" w:sz="4" w:space="4" w:color="auto"/>
        </w:pBdr>
        <w:adjustRightInd w:val="0"/>
        <w:spacing w:line="560" w:lineRule="exact"/>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t xml:space="preserve">    如有董事对临时公告内容的真实性、准确性和完整性无法保证或存在异议的，公司</w:t>
      </w:r>
      <w:r>
        <w:rPr>
          <w:rFonts w:ascii="仿宋_GB2312" w:eastAsia="仿宋_GB2312" w:hAnsi="宋体" w:cs="Times New Roman"/>
          <w:color w:val="000000"/>
          <w:sz w:val="30"/>
          <w:szCs w:val="30"/>
        </w:rPr>
        <w:t>应当</w:t>
      </w:r>
      <w:r>
        <w:rPr>
          <w:rFonts w:ascii="仿宋_GB2312" w:eastAsia="仿宋_GB2312" w:hAnsi="宋体" w:cs="Times New Roman" w:hint="eastAsia"/>
          <w:color w:val="000000"/>
          <w:sz w:val="30"/>
          <w:szCs w:val="30"/>
        </w:rPr>
        <w:t>在公告中作特别提示。</w:t>
      </w:r>
    </w:p>
    <w:p w14:paraId="5D949008" w14:textId="77777777" w:rsidR="004568D2" w:rsidRDefault="004568D2">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1E7CA429" w14:textId="77777777" w:rsidR="004568D2" w:rsidRDefault="00A05CB4">
      <w:pPr>
        <w:autoSpaceDE w:val="0"/>
        <w:autoSpaceDN w:val="0"/>
        <w:adjustRightInd w:val="0"/>
        <w:spacing w:line="560" w:lineRule="exact"/>
        <w:ind w:firstLineChars="200" w:firstLine="602"/>
        <w:rPr>
          <w:rFonts w:ascii="仿宋_GB2312" w:eastAsia="仿宋_GB2312" w:hAnsi="Calibri" w:cs="Times New Roman"/>
          <w:b/>
          <w:color w:val="000000"/>
          <w:sz w:val="30"/>
          <w:szCs w:val="30"/>
        </w:rPr>
      </w:pPr>
      <w:r>
        <w:rPr>
          <w:rFonts w:ascii="仿宋_GB2312" w:eastAsia="仿宋_GB2312" w:hAnsi="Calibri" w:cs="Times New Roman" w:hint="eastAsia"/>
          <w:b/>
          <w:color w:val="000000"/>
          <w:sz w:val="30"/>
          <w:szCs w:val="30"/>
        </w:rPr>
        <w:t>重要内容提示：</w:t>
      </w:r>
    </w:p>
    <w:p w14:paraId="3D30D8EB" w14:textId="77777777" w:rsidR="004568D2" w:rsidRDefault="00A05CB4">
      <w:pPr>
        <w:numPr>
          <w:ilvl w:val="0"/>
          <w:numId w:val="1"/>
        </w:numPr>
        <w:tabs>
          <w:tab w:val="left" w:pos="987"/>
        </w:tabs>
        <w:adjustRightInd w:val="0"/>
        <w:snapToGrid w:val="0"/>
        <w:spacing w:line="60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终止上市的证券种类、证券简称、</w:t>
      </w:r>
      <w:proofErr w:type="gramStart"/>
      <w:r>
        <w:rPr>
          <w:rFonts w:ascii="仿宋_GB2312" w:eastAsia="仿宋_GB2312" w:hAnsi="宋体" w:cs="Times New Roman" w:hint="eastAsia"/>
          <w:sz w:val="30"/>
          <w:szCs w:val="30"/>
        </w:rPr>
        <w:t>扩位证券</w:t>
      </w:r>
      <w:proofErr w:type="gramEnd"/>
      <w:r>
        <w:rPr>
          <w:rFonts w:ascii="仿宋_GB2312" w:eastAsia="仿宋_GB2312" w:hAnsi="宋体" w:cs="Times New Roman" w:hint="eastAsia"/>
          <w:sz w:val="30"/>
          <w:szCs w:val="30"/>
        </w:rPr>
        <w:t>简称</w:t>
      </w:r>
      <w:r>
        <w:rPr>
          <w:rFonts w:ascii="仿宋_GB2312" w:eastAsia="仿宋_GB2312" w:hAnsi="宋体" w:cs="Times New Roman"/>
          <w:sz w:val="30"/>
          <w:szCs w:val="30"/>
        </w:rPr>
        <w:t>、</w:t>
      </w:r>
      <w:r>
        <w:rPr>
          <w:rFonts w:ascii="仿宋_GB2312" w:eastAsia="仿宋_GB2312" w:hAnsi="宋体" w:cs="Times New Roman" w:hint="eastAsia"/>
          <w:sz w:val="30"/>
          <w:szCs w:val="30"/>
        </w:rPr>
        <w:t>证券代码</w:t>
      </w:r>
    </w:p>
    <w:p w14:paraId="2975AA8F" w14:textId="77777777" w:rsidR="004568D2" w:rsidRDefault="00A05CB4">
      <w:pPr>
        <w:numPr>
          <w:ilvl w:val="0"/>
          <w:numId w:val="1"/>
        </w:numPr>
        <w:tabs>
          <w:tab w:val="left" w:pos="987"/>
        </w:tabs>
        <w:adjustRightInd w:val="0"/>
        <w:snapToGrid w:val="0"/>
        <w:spacing w:line="60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公司股票进入退市整理期的起始日和退市整理期的交易</w:t>
      </w:r>
      <w:r>
        <w:rPr>
          <w:rFonts w:ascii="仿宋_GB2312" w:eastAsia="仿宋_GB2312" w:hAnsi="宋体" w:cs="Times New Roman" w:hint="eastAsia"/>
          <w:sz w:val="30"/>
          <w:szCs w:val="30"/>
        </w:rPr>
        <w:lastRenderedPageBreak/>
        <w:t>期限</w:t>
      </w:r>
    </w:p>
    <w:p w14:paraId="5E326E5B" w14:textId="77777777" w:rsidR="004568D2" w:rsidRDefault="00A05CB4">
      <w:pPr>
        <w:numPr>
          <w:ilvl w:val="0"/>
          <w:numId w:val="1"/>
        </w:numPr>
        <w:tabs>
          <w:tab w:val="left" w:pos="987"/>
        </w:tabs>
        <w:adjustRightInd w:val="0"/>
        <w:snapToGrid w:val="0"/>
        <w:spacing w:line="60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退市整理期间股票不进入风险警示板交易，不适用风险警示</w:t>
      </w:r>
      <w:proofErr w:type="gramStart"/>
      <w:r>
        <w:rPr>
          <w:rFonts w:ascii="仿宋_GB2312" w:eastAsia="仿宋_GB2312" w:hAnsi="宋体" w:cs="Times New Roman" w:hint="eastAsia"/>
          <w:sz w:val="30"/>
          <w:szCs w:val="30"/>
        </w:rPr>
        <w:t>板交易</w:t>
      </w:r>
      <w:proofErr w:type="gramEnd"/>
      <w:r>
        <w:rPr>
          <w:rFonts w:ascii="仿宋_GB2312" w:eastAsia="仿宋_GB2312" w:hAnsi="宋体" w:cs="Times New Roman" w:hint="eastAsia"/>
          <w:sz w:val="30"/>
          <w:szCs w:val="30"/>
        </w:rPr>
        <w:t>的相关规定。</w:t>
      </w:r>
    </w:p>
    <w:p w14:paraId="15BCB39D" w14:textId="77777777" w:rsidR="004568D2" w:rsidRDefault="00A05CB4">
      <w:pPr>
        <w:numPr>
          <w:ilvl w:val="0"/>
          <w:numId w:val="1"/>
        </w:numPr>
        <w:tabs>
          <w:tab w:val="left" w:pos="987"/>
        </w:tabs>
        <w:adjustRightInd w:val="0"/>
        <w:snapToGrid w:val="0"/>
        <w:spacing w:line="60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公司</w:t>
      </w:r>
      <w:r>
        <w:rPr>
          <w:rFonts w:ascii="仿宋_GB2312" w:eastAsia="仿宋_GB2312" w:hAnsi="宋体" w:cs="Times New Roman"/>
          <w:sz w:val="30"/>
          <w:szCs w:val="30"/>
        </w:rPr>
        <w:t>股票进入退市整理期首日，</w:t>
      </w:r>
      <w:r>
        <w:rPr>
          <w:rFonts w:ascii="仿宋_GB2312" w:eastAsia="仿宋_GB2312" w:hAnsi="宋体" w:cs="Times New Roman" w:hint="eastAsia"/>
          <w:sz w:val="30"/>
          <w:szCs w:val="30"/>
        </w:rPr>
        <w:t>不设</w:t>
      </w:r>
      <w:r>
        <w:rPr>
          <w:rFonts w:ascii="仿宋_GB2312" w:eastAsia="仿宋_GB2312" w:hAnsi="宋体" w:cs="Times New Roman"/>
          <w:sz w:val="30"/>
          <w:szCs w:val="30"/>
        </w:rPr>
        <w:t>价格涨跌幅限制。</w:t>
      </w:r>
    </w:p>
    <w:p w14:paraId="50E89680" w14:textId="77777777" w:rsidR="004568D2" w:rsidRDefault="004568D2">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1A1E63E8" w14:textId="77777777" w:rsidR="004568D2" w:rsidRDefault="00A05C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本公司于20X</w:t>
      </w:r>
      <w:r>
        <w:rPr>
          <w:rFonts w:ascii="仿宋_GB2312" w:eastAsia="仿宋_GB2312" w:hAnsi="Calibri" w:cs="Times New Roman"/>
          <w:color w:val="000000"/>
          <w:sz w:val="30"/>
          <w:szCs w:val="30"/>
        </w:rPr>
        <w:t>X</w:t>
      </w:r>
      <w:r>
        <w:rPr>
          <w:rFonts w:ascii="仿宋_GB2312" w:eastAsia="仿宋_GB2312" w:hAnsi="Calibri" w:cs="Times New Roman" w:hint="eastAsia"/>
          <w:color w:val="000000"/>
          <w:sz w:val="30"/>
          <w:szCs w:val="30"/>
        </w:rPr>
        <w:t>年X</w:t>
      </w:r>
      <w:r>
        <w:rPr>
          <w:rFonts w:ascii="仿宋_GB2312" w:eastAsia="仿宋_GB2312" w:hAnsi="Calibri" w:cs="Times New Roman"/>
          <w:color w:val="000000"/>
          <w:sz w:val="30"/>
          <w:szCs w:val="30"/>
        </w:rPr>
        <w:t>X</w:t>
      </w:r>
      <w:r>
        <w:rPr>
          <w:rFonts w:ascii="仿宋_GB2312" w:eastAsia="仿宋_GB2312" w:hAnsi="Calibri" w:cs="Times New Roman" w:hint="eastAsia"/>
          <w:color w:val="000000"/>
          <w:sz w:val="30"/>
          <w:szCs w:val="30"/>
        </w:rPr>
        <w:t>月X</w:t>
      </w:r>
      <w:r>
        <w:rPr>
          <w:rFonts w:ascii="仿宋_GB2312" w:eastAsia="仿宋_GB2312" w:hAnsi="Calibri" w:cs="Times New Roman"/>
          <w:color w:val="000000"/>
          <w:sz w:val="30"/>
          <w:szCs w:val="30"/>
        </w:rPr>
        <w:t>X</w:t>
      </w:r>
      <w:r>
        <w:rPr>
          <w:rFonts w:ascii="仿宋_GB2312" w:eastAsia="仿宋_GB2312" w:hAnsi="Calibri" w:cs="Times New Roman" w:hint="eastAsia"/>
          <w:color w:val="000000"/>
          <w:sz w:val="30"/>
          <w:szCs w:val="30"/>
        </w:rPr>
        <w:t>日收到上海证券交易所《关于X</w:t>
      </w:r>
      <w:r>
        <w:rPr>
          <w:rFonts w:ascii="仿宋_GB2312" w:eastAsia="仿宋_GB2312" w:hAnsi="Calibri" w:cs="Times New Roman"/>
          <w:color w:val="000000"/>
          <w:sz w:val="30"/>
          <w:szCs w:val="30"/>
        </w:rPr>
        <w:t>XXX</w:t>
      </w:r>
      <w:r>
        <w:rPr>
          <w:rFonts w:ascii="仿宋_GB2312" w:eastAsia="仿宋_GB2312" w:hAnsi="Calibri" w:cs="Times New Roman" w:hint="eastAsia"/>
          <w:color w:val="000000"/>
          <w:sz w:val="30"/>
          <w:szCs w:val="30"/>
        </w:rPr>
        <w:t>股份有限公司股票终止上市的决定》（上海证券交易所自律监管决定书〔20X</w:t>
      </w:r>
      <w:r>
        <w:rPr>
          <w:rFonts w:ascii="仿宋_GB2312" w:eastAsia="仿宋_GB2312" w:hAnsi="Calibri" w:cs="Times New Roman"/>
          <w:color w:val="000000"/>
          <w:sz w:val="30"/>
          <w:szCs w:val="30"/>
        </w:rPr>
        <w:t>X</w:t>
      </w:r>
      <w:r>
        <w:rPr>
          <w:rFonts w:ascii="仿宋_GB2312" w:eastAsia="仿宋_GB2312" w:hAnsi="Calibri" w:cs="Times New Roman" w:hint="eastAsia"/>
          <w:color w:val="000000"/>
          <w:sz w:val="30"/>
          <w:szCs w:val="30"/>
        </w:rPr>
        <w:t>〕X</w:t>
      </w:r>
      <w:r>
        <w:rPr>
          <w:rFonts w:ascii="仿宋_GB2312" w:eastAsia="仿宋_GB2312" w:hAnsi="Calibri" w:cs="Times New Roman"/>
          <w:color w:val="000000"/>
          <w:sz w:val="30"/>
          <w:szCs w:val="30"/>
        </w:rPr>
        <w:t>X</w:t>
      </w:r>
      <w:r>
        <w:rPr>
          <w:rFonts w:ascii="仿宋_GB2312" w:eastAsia="仿宋_GB2312" w:hAnsi="Calibri" w:cs="Times New Roman" w:hint="eastAsia"/>
          <w:color w:val="000000"/>
          <w:sz w:val="30"/>
          <w:szCs w:val="30"/>
        </w:rPr>
        <w:t>号），上海证券交易所决定终止公司股票上市。</w:t>
      </w:r>
    </w:p>
    <w:p w14:paraId="1EA99FB0" w14:textId="77777777" w:rsidR="004568D2" w:rsidRDefault="004568D2">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7A99F24C" w14:textId="77777777" w:rsidR="004568D2" w:rsidRDefault="00A05CB4">
      <w:pPr>
        <w:widowControl/>
        <w:adjustRightInd w:val="0"/>
        <w:snapToGrid w:val="0"/>
        <w:spacing w:line="560" w:lineRule="exact"/>
        <w:ind w:firstLineChars="200" w:firstLine="643"/>
        <w:jc w:val="left"/>
        <w:rPr>
          <w:rFonts w:ascii="黑体" w:eastAsia="黑体" w:hAnsi="黑体" w:cs="宋体"/>
          <w:b/>
          <w:bCs/>
          <w:kern w:val="0"/>
          <w:sz w:val="32"/>
          <w:szCs w:val="32"/>
        </w:rPr>
      </w:pPr>
      <w:r>
        <w:rPr>
          <w:rFonts w:ascii="黑体" w:eastAsia="黑体" w:hAnsi="黑体" w:cs="宋体" w:hint="eastAsia"/>
          <w:b/>
          <w:bCs/>
          <w:kern w:val="0"/>
          <w:sz w:val="32"/>
          <w:szCs w:val="32"/>
        </w:rPr>
        <w:t>一、终止上市的证券种类、证券简称、证券代码</w:t>
      </w:r>
    </w:p>
    <w:p w14:paraId="0899729C" w14:textId="77777777" w:rsidR="004568D2" w:rsidRDefault="00A05C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（一）证券种类；</w:t>
      </w:r>
    </w:p>
    <w:p w14:paraId="18D84C99" w14:textId="77777777" w:rsidR="004568D2" w:rsidRDefault="00A05C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（二）证券简称，</w:t>
      </w:r>
      <w:proofErr w:type="gramStart"/>
      <w:r>
        <w:rPr>
          <w:rFonts w:ascii="仿宋_GB2312" w:eastAsia="仿宋_GB2312" w:hAnsi="Calibri" w:cs="Times New Roman" w:hint="eastAsia"/>
          <w:color w:val="000000"/>
          <w:sz w:val="30"/>
          <w:szCs w:val="30"/>
        </w:rPr>
        <w:t>扩位</w:t>
      </w:r>
      <w:r>
        <w:rPr>
          <w:rFonts w:ascii="仿宋_GB2312" w:eastAsia="仿宋_GB2312" w:hAnsi="Calibri" w:cs="Times New Roman"/>
          <w:color w:val="000000"/>
          <w:sz w:val="30"/>
          <w:szCs w:val="30"/>
        </w:rPr>
        <w:t>证券</w:t>
      </w:r>
      <w:proofErr w:type="gramEnd"/>
      <w:r>
        <w:rPr>
          <w:rFonts w:ascii="仿宋_GB2312" w:eastAsia="仿宋_GB2312" w:hAnsi="Calibri" w:cs="Times New Roman"/>
          <w:color w:val="000000"/>
          <w:sz w:val="30"/>
          <w:szCs w:val="30"/>
        </w:rPr>
        <w:t>简称</w:t>
      </w:r>
      <w:r>
        <w:rPr>
          <w:rFonts w:ascii="仿宋_GB2312" w:eastAsia="仿宋_GB2312" w:hAnsi="Calibri" w:cs="Times New Roman" w:hint="eastAsia"/>
          <w:color w:val="000000"/>
          <w:sz w:val="30"/>
          <w:szCs w:val="30"/>
        </w:rPr>
        <w:t>；</w:t>
      </w:r>
    </w:p>
    <w:p w14:paraId="12774DC0" w14:textId="77777777" w:rsidR="004568D2" w:rsidRDefault="00A05C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（三）证券代码。</w:t>
      </w:r>
    </w:p>
    <w:p w14:paraId="0D3076E6" w14:textId="77777777" w:rsidR="004568D2" w:rsidRDefault="004568D2">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1295CA4B" w14:textId="77777777" w:rsidR="004568D2" w:rsidRDefault="00A05CB4">
      <w:pPr>
        <w:widowControl/>
        <w:adjustRightInd w:val="0"/>
        <w:snapToGrid w:val="0"/>
        <w:spacing w:line="560" w:lineRule="exact"/>
        <w:ind w:firstLineChars="200" w:firstLine="643"/>
        <w:jc w:val="left"/>
        <w:rPr>
          <w:rFonts w:ascii="黑体" w:eastAsia="黑体" w:hAnsi="黑体" w:cs="宋体"/>
          <w:b/>
          <w:bCs/>
          <w:kern w:val="0"/>
          <w:sz w:val="32"/>
          <w:szCs w:val="32"/>
        </w:rPr>
      </w:pPr>
      <w:r>
        <w:rPr>
          <w:rFonts w:ascii="黑体" w:eastAsia="黑体" w:hAnsi="黑体" w:cs="宋体" w:hint="eastAsia"/>
          <w:b/>
          <w:bCs/>
          <w:kern w:val="0"/>
          <w:sz w:val="32"/>
          <w:szCs w:val="32"/>
        </w:rPr>
        <w:t>二、终止上市决定的主要内容</w:t>
      </w:r>
    </w:p>
    <w:p w14:paraId="3C5178A2" w14:textId="77777777" w:rsidR="004568D2" w:rsidRDefault="00A05C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本部分主要说明收到上海证券交易所关于公司股票终止上市决定的主要内容。</w:t>
      </w:r>
    </w:p>
    <w:p w14:paraId="36DAA1D2" w14:textId="77777777" w:rsidR="004568D2" w:rsidRDefault="004568D2">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7248A02D" w14:textId="77777777" w:rsidR="004568D2" w:rsidRDefault="00A05CB4">
      <w:pPr>
        <w:widowControl/>
        <w:adjustRightInd w:val="0"/>
        <w:snapToGrid w:val="0"/>
        <w:spacing w:line="560" w:lineRule="exact"/>
        <w:ind w:firstLineChars="200" w:firstLine="643"/>
        <w:jc w:val="left"/>
        <w:rPr>
          <w:rFonts w:ascii="黑体" w:eastAsia="黑体" w:hAnsi="黑体" w:cs="宋体"/>
          <w:b/>
          <w:bCs/>
          <w:kern w:val="0"/>
          <w:sz w:val="32"/>
          <w:szCs w:val="32"/>
        </w:rPr>
      </w:pPr>
      <w:r>
        <w:rPr>
          <w:rFonts w:ascii="黑体" w:eastAsia="黑体" w:hAnsi="黑体" w:cs="宋体" w:hint="eastAsia"/>
          <w:b/>
          <w:bCs/>
          <w:kern w:val="0"/>
          <w:sz w:val="32"/>
          <w:szCs w:val="32"/>
        </w:rPr>
        <w:t>三、终止上市后公司股票登记、转让和管理事宜</w:t>
      </w:r>
    </w:p>
    <w:p w14:paraId="7447FA27" w14:textId="77777777" w:rsidR="004568D2" w:rsidRDefault="00A05C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本部分主要说明公司股票终止上市后，公司股票将转入全国中小企业股份转让系统等证券交易场所转让，以及相</w:t>
      </w:r>
      <w:r>
        <w:rPr>
          <w:rFonts w:ascii="仿宋_GB2312" w:eastAsia="仿宋_GB2312" w:hAnsi="Calibri" w:cs="Times New Roman"/>
          <w:color w:val="000000"/>
          <w:sz w:val="30"/>
          <w:szCs w:val="30"/>
        </w:rPr>
        <w:t>应</w:t>
      </w:r>
      <w:r>
        <w:rPr>
          <w:rFonts w:ascii="仿宋_GB2312" w:eastAsia="仿宋_GB2312" w:hAnsi="Calibri" w:cs="Times New Roman" w:hint="eastAsia"/>
          <w:color w:val="000000"/>
          <w:sz w:val="30"/>
          <w:szCs w:val="30"/>
        </w:rPr>
        <w:t>的股票登记、转让和管理事宜等。</w:t>
      </w:r>
    </w:p>
    <w:p w14:paraId="2AB0669B" w14:textId="77777777" w:rsidR="004568D2" w:rsidRDefault="004568D2">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4289FC30" w14:textId="77777777" w:rsidR="004568D2" w:rsidRDefault="00A05CB4">
      <w:pPr>
        <w:widowControl/>
        <w:adjustRightInd w:val="0"/>
        <w:snapToGrid w:val="0"/>
        <w:spacing w:line="560" w:lineRule="exact"/>
        <w:ind w:firstLineChars="200" w:firstLine="643"/>
        <w:jc w:val="left"/>
        <w:rPr>
          <w:rFonts w:ascii="黑体" w:eastAsia="黑体" w:hAnsi="黑体" w:cs="宋体"/>
          <w:b/>
          <w:bCs/>
          <w:kern w:val="0"/>
          <w:sz w:val="32"/>
          <w:szCs w:val="32"/>
        </w:rPr>
      </w:pPr>
      <w:r>
        <w:rPr>
          <w:rFonts w:ascii="黑体" w:eastAsia="黑体" w:hAnsi="黑体" w:cs="宋体" w:hint="eastAsia"/>
          <w:b/>
          <w:bCs/>
          <w:kern w:val="0"/>
          <w:sz w:val="32"/>
          <w:szCs w:val="32"/>
        </w:rPr>
        <w:lastRenderedPageBreak/>
        <w:t>四、终止上市后公司的信息披露指定媒体、联系人、联系地址、电话和其他通讯方式</w:t>
      </w:r>
    </w:p>
    <w:p w14:paraId="73717B26" w14:textId="77777777" w:rsidR="004568D2" w:rsidRDefault="00A05C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本部分主要说明公司股票终止上市后的信息披露指定媒体、联系人、联系地址、电话和其他通讯方式等。</w:t>
      </w:r>
    </w:p>
    <w:p w14:paraId="12DDE4DE" w14:textId="77777777" w:rsidR="004568D2" w:rsidRDefault="004568D2">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52C015AD" w14:textId="77777777" w:rsidR="004568D2" w:rsidRDefault="00A05CB4">
      <w:pPr>
        <w:adjustRightInd w:val="0"/>
        <w:snapToGrid w:val="0"/>
        <w:spacing w:line="600" w:lineRule="exact"/>
        <w:ind w:firstLineChars="200" w:firstLine="643"/>
        <w:rPr>
          <w:rFonts w:ascii="黑体" w:eastAsia="黑体" w:hAnsi="黑体" w:cs="Times New Roman"/>
          <w:b/>
          <w:sz w:val="32"/>
          <w:szCs w:val="30"/>
        </w:rPr>
      </w:pPr>
      <w:r>
        <w:rPr>
          <w:rFonts w:ascii="黑体" w:eastAsia="黑体" w:hAnsi="黑体" w:cs="宋体" w:hint="eastAsia"/>
          <w:b/>
          <w:bCs/>
          <w:kern w:val="0"/>
          <w:sz w:val="32"/>
          <w:szCs w:val="32"/>
        </w:rPr>
        <w:t>五、公司退市整理期及终止上市相关安排</w:t>
      </w:r>
    </w:p>
    <w:p w14:paraId="17748F16" w14:textId="77777777" w:rsidR="004568D2" w:rsidRDefault="00A05C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本部分主要说明公司股票进入退市整理期的起始日、交易期限及预计最后交易日期、退市整理期间每日的涨跌幅限制、退市整理期届满后的5个交易日内股票将被摘牌等内容，同时还</w:t>
      </w:r>
      <w:r>
        <w:rPr>
          <w:rFonts w:ascii="仿宋_GB2312" w:eastAsia="仿宋_GB2312" w:hAnsi="Calibri" w:cs="Times New Roman"/>
          <w:color w:val="000000"/>
          <w:sz w:val="30"/>
          <w:szCs w:val="30"/>
        </w:rPr>
        <w:t>应当</w:t>
      </w:r>
      <w:r>
        <w:rPr>
          <w:rFonts w:ascii="仿宋_GB2312" w:eastAsia="仿宋_GB2312" w:hAnsi="Calibri" w:cs="Times New Roman" w:hint="eastAsia"/>
          <w:color w:val="000000"/>
          <w:sz w:val="30"/>
          <w:szCs w:val="30"/>
        </w:rPr>
        <w:t>说明公司股票在退市整理期内全天停牌的，停牌期间</w:t>
      </w:r>
      <w:proofErr w:type="gramStart"/>
      <w:r>
        <w:rPr>
          <w:rFonts w:ascii="仿宋_GB2312" w:eastAsia="仿宋_GB2312" w:hAnsi="Calibri" w:cs="Times New Roman" w:hint="eastAsia"/>
          <w:color w:val="000000"/>
          <w:sz w:val="30"/>
          <w:szCs w:val="30"/>
        </w:rPr>
        <w:t>不计入退市</w:t>
      </w:r>
      <w:proofErr w:type="gramEnd"/>
      <w:r>
        <w:rPr>
          <w:rFonts w:ascii="仿宋_GB2312" w:eastAsia="仿宋_GB2312" w:hAnsi="Calibri" w:cs="Times New Roman" w:hint="eastAsia"/>
          <w:color w:val="000000"/>
          <w:sz w:val="30"/>
          <w:szCs w:val="30"/>
        </w:rPr>
        <w:t>整理期、退市整理期间风险提示公告的披露安排等。</w:t>
      </w:r>
    </w:p>
    <w:p w14:paraId="19D1F16F" w14:textId="473A52C6" w:rsidR="004568D2" w:rsidRDefault="00A05CB4">
      <w:pPr>
        <w:autoSpaceDE w:val="0"/>
        <w:autoSpaceDN w:val="0"/>
        <w:adjustRightInd w:val="0"/>
        <w:spacing w:line="560" w:lineRule="exact"/>
        <w:ind w:firstLineChars="200" w:firstLine="480"/>
        <w:rPr>
          <w:rFonts w:ascii="仿宋_GB2312" w:eastAsia="仿宋_GB2312" w:hAnsi="Calibri" w:cs="Times New Roman"/>
          <w:color w:val="000000"/>
          <w:sz w:val="30"/>
          <w:szCs w:val="30"/>
        </w:rPr>
      </w:pPr>
      <w:r>
        <w:rPr>
          <w:rFonts w:ascii="楷体" w:eastAsia="楷体" w:hAnsi="楷体" w:hint="eastAsia"/>
          <w:sz w:val="24"/>
          <w:szCs w:val="24"/>
        </w:rPr>
        <w:t>（编制提醒：根据《科创板上市规则》，自上海证券交易所公告对上市公司股票</w:t>
      </w:r>
      <w:proofErr w:type="gramStart"/>
      <w:r>
        <w:rPr>
          <w:rFonts w:ascii="楷体" w:eastAsia="楷体" w:hAnsi="楷体" w:hint="eastAsia"/>
          <w:sz w:val="24"/>
          <w:szCs w:val="24"/>
        </w:rPr>
        <w:t>作出</w:t>
      </w:r>
      <w:proofErr w:type="gramEnd"/>
      <w:r>
        <w:rPr>
          <w:rFonts w:ascii="楷体" w:eastAsia="楷体" w:hAnsi="楷体" w:hint="eastAsia"/>
          <w:sz w:val="24"/>
          <w:szCs w:val="24"/>
        </w:rPr>
        <w:t>终止上市的决定之日后的5个交易日届满的次一交易日起，公司股票进入退市整理期。退市整理期的交易期限为15个交易日。）</w:t>
      </w:r>
    </w:p>
    <w:p w14:paraId="66BA295C" w14:textId="77777777" w:rsidR="004568D2" w:rsidRDefault="004568D2">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6C36DFE5" w14:textId="77777777" w:rsidR="004568D2" w:rsidRDefault="00A05CB4">
      <w:pPr>
        <w:widowControl/>
        <w:numPr>
          <w:ilvl w:val="0"/>
          <w:numId w:val="2"/>
        </w:numPr>
        <w:adjustRightInd w:val="0"/>
        <w:snapToGrid w:val="0"/>
        <w:spacing w:line="560" w:lineRule="exact"/>
        <w:ind w:firstLineChars="200" w:firstLine="602"/>
        <w:jc w:val="left"/>
        <w:rPr>
          <w:rFonts w:ascii="黑体" w:eastAsia="黑体" w:hAnsi="黑体" w:cs="宋体"/>
          <w:b/>
          <w:bCs/>
          <w:kern w:val="0"/>
          <w:sz w:val="30"/>
          <w:szCs w:val="30"/>
        </w:rPr>
      </w:pPr>
      <w:r>
        <w:rPr>
          <w:rFonts w:ascii="黑体" w:eastAsia="黑体" w:hAnsi="黑体" w:cs="宋体" w:hint="eastAsia"/>
          <w:b/>
          <w:bCs/>
          <w:kern w:val="0"/>
          <w:sz w:val="30"/>
          <w:szCs w:val="30"/>
        </w:rPr>
        <w:t>其他重要事项</w:t>
      </w:r>
    </w:p>
    <w:p w14:paraId="40193380" w14:textId="77777777" w:rsidR="004568D2" w:rsidRDefault="00A05C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提示各主体及时办理相关事项，包括但不限于：</w:t>
      </w:r>
    </w:p>
    <w:p w14:paraId="5335E045" w14:textId="77777777" w:rsidR="004568D2" w:rsidRDefault="00A05C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（1）</w:t>
      </w:r>
      <w:r>
        <w:rPr>
          <w:rFonts w:ascii="仿宋_GB2312" w:eastAsia="仿宋_GB2312" w:hAnsi="宋体" w:cs="Times New Roman" w:hint="eastAsia"/>
          <w:color w:val="000000"/>
          <w:kern w:val="0"/>
          <w:sz w:val="30"/>
          <w:szCs w:val="30"/>
        </w:rPr>
        <w:t>投资者或托管券商等市场主体在股票终止上市暨摘牌前及时了结股票质押式回购、约定购回、融资融券、转融通、沪股通等业务；</w:t>
      </w:r>
    </w:p>
    <w:p w14:paraId="1FA412C2" w14:textId="77777777" w:rsidR="004568D2" w:rsidRDefault="00A05C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（2）对于自股票终止上市暨摘牌后至进入退市板块办理股份登记、挂牌期间到期的司法冻结业务，建议有权机关在股票终止上市日前通过原协助执行渠道提前</w:t>
      </w:r>
      <w:proofErr w:type="gramStart"/>
      <w:r>
        <w:rPr>
          <w:rFonts w:ascii="仿宋_GB2312" w:eastAsia="仿宋_GB2312" w:hAnsi="Calibri" w:cs="Times New Roman" w:hint="eastAsia"/>
          <w:color w:val="000000"/>
          <w:sz w:val="30"/>
          <w:szCs w:val="30"/>
        </w:rPr>
        <w:t>办理续冻手续</w:t>
      </w:r>
      <w:proofErr w:type="gramEnd"/>
      <w:r>
        <w:rPr>
          <w:rFonts w:ascii="仿宋_GB2312" w:eastAsia="仿宋_GB2312" w:hAnsi="Calibri" w:cs="Times New Roman" w:hint="eastAsia"/>
          <w:color w:val="000000"/>
          <w:sz w:val="30"/>
          <w:szCs w:val="30"/>
        </w:rPr>
        <w:t>。</w:t>
      </w:r>
    </w:p>
    <w:p w14:paraId="1FDDF552" w14:textId="77777777" w:rsidR="004568D2" w:rsidRDefault="004568D2">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59F0F483" w14:textId="77777777" w:rsidR="004568D2" w:rsidRDefault="00A05CB4">
      <w:pPr>
        <w:widowControl/>
        <w:adjustRightInd w:val="0"/>
        <w:snapToGrid w:val="0"/>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lastRenderedPageBreak/>
        <w:t>特此公告。</w:t>
      </w:r>
    </w:p>
    <w:p w14:paraId="7941286B" w14:textId="77777777" w:rsidR="004568D2" w:rsidRDefault="00A05CB4">
      <w:pPr>
        <w:adjustRightInd w:val="0"/>
        <w:snapToGrid w:val="0"/>
        <w:spacing w:beforeLines="50" w:before="156" w:afterLines="50" w:after="156" w:line="560" w:lineRule="exact"/>
        <w:ind w:firstLineChars="200" w:firstLine="600"/>
        <w:jc w:val="right"/>
        <w:rPr>
          <w:rFonts w:ascii="仿宋_GB2312" w:eastAsia="仿宋_GB2312" w:hAnsi="仿宋" w:cs="Times New Roman"/>
          <w:bCs/>
          <w:sz w:val="30"/>
          <w:szCs w:val="30"/>
        </w:rPr>
      </w:pPr>
      <w:r>
        <w:rPr>
          <w:rFonts w:ascii="仿宋_GB2312" w:eastAsia="仿宋_GB2312" w:hAnsi="仿宋" w:cs="Times New Roman" w:hint="eastAsia"/>
          <w:bCs/>
          <w:sz w:val="30"/>
          <w:szCs w:val="30"/>
        </w:rPr>
        <w:t>XXXX股份有限公司董事会</w:t>
      </w:r>
    </w:p>
    <w:p w14:paraId="570B4DC7" w14:textId="77777777" w:rsidR="004568D2" w:rsidRDefault="00A05CB4">
      <w:pPr>
        <w:adjustRightInd w:val="0"/>
        <w:snapToGrid w:val="0"/>
        <w:spacing w:beforeLines="50" w:before="156" w:afterLines="50" w:after="156" w:line="560" w:lineRule="exact"/>
        <w:ind w:firstLineChars="200" w:firstLine="600"/>
        <w:jc w:val="right"/>
        <w:rPr>
          <w:rFonts w:ascii="仿宋_GB2312" w:eastAsia="仿宋_GB2312" w:hAnsi="仿宋" w:cs="Times New Roman"/>
          <w:bCs/>
          <w:sz w:val="30"/>
          <w:szCs w:val="30"/>
        </w:rPr>
      </w:pPr>
      <w:r>
        <w:rPr>
          <w:rFonts w:ascii="仿宋_GB2312" w:eastAsia="仿宋_GB2312" w:hAnsi="仿宋" w:cs="Times New Roman" w:hint="eastAsia"/>
          <w:bCs/>
          <w:sz w:val="30"/>
          <w:szCs w:val="30"/>
        </w:rPr>
        <w:t>年  月  日</w:t>
      </w:r>
    </w:p>
    <w:p w14:paraId="2BDA31AC" w14:textId="77777777" w:rsidR="004568D2" w:rsidRDefault="004568D2">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0723427C" w14:textId="77777777" w:rsidR="004568D2" w:rsidRDefault="00A05CB4">
      <w:pPr>
        <w:numPr>
          <w:ilvl w:val="0"/>
          <w:numId w:val="3"/>
        </w:numPr>
        <w:autoSpaceDE w:val="0"/>
        <w:autoSpaceDN w:val="0"/>
        <w:adjustRightInd w:val="0"/>
        <w:snapToGrid w:val="0"/>
        <w:spacing w:line="560" w:lineRule="exact"/>
        <w:rPr>
          <w:rFonts w:ascii="仿宋_GB2312" w:eastAsia="仿宋_GB2312" w:hAnsi="宋体" w:cs="Times New Roman"/>
          <w:b/>
          <w:color w:val="000000"/>
          <w:sz w:val="30"/>
          <w:szCs w:val="30"/>
        </w:rPr>
      </w:pPr>
      <w:r>
        <w:rPr>
          <w:rFonts w:ascii="仿宋_GB2312" w:eastAsia="仿宋_GB2312" w:hAnsi="宋体" w:cs="Times New Roman" w:hint="eastAsia"/>
          <w:b/>
          <w:color w:val="000000"/>
          <w:sz w:val="30"/>
          <w:szCs w:val="30"/>
        </w:rPr>
        <w:t>报备文件</w:t>
      </w:r>
    </w:p>
    <w:p w14:paraId="0326B656" w14:textId="77777777" w:rsidR="004568D2" w:rsidRDefault="00A05CB4">
      <w:pPr>
        <w:autoSpaceDE w:val="0"/>
        <w:autoSpaceDN w:val="0"/>
        <w:adjustRightInd w:val="0"/>
        <w:snapToGrid w:val="0"/>
        <w:spacing w:line="560" w:lineRule="exact"/>
        <w:ind w:left="602"/>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t>上海证券交易所关于X</w:t>
      </w:r>
      <w:r>
        <w:rPr>
          <w:rFonts w:ascii="仿宋_GB2312" w:eastAsia="仿宋_GB2312" w:hAnsi="宋体" w:cs="Times New Roman"/>
          <w:color w:val="000000"/>
          <w:sz w:val="30"/>
          <w:szCs w:val="30"/>
        </w:rPr>
        <w:t>XXX</w:t>
      </w:r>
      <w:r>
        <w:rPr>
          <w:rFonts w:ascii="仿宋_GB2312" w:eastAsia="仿宋_GB2312" w:hAnsi="宋体" w:cs="Times New Roman" w:hint="eastAsia"/>
          <w:color w:val="000000"/>
          <w:sz w:val="30"/>
          <w:szCs w:val="30"/>
        </w:rPr>
        <w:t>公司股票终止上市的决定</w:t>
      </w:r>
    </w:p>
    <w:p w14:paraId="54D734DB" w14:textId="77777777" w:rsidR="004568D2" w:rsidRDefault="004568D2"/>
    <w:sectPr w:rsidR="004568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B4F82" w14:textId="77777777" w:rsidR="00DE181F" w:rsidRDefault="00DE181F">
      <w:r>
        <w:separator/>
      </w:r>
    </w:p>
  </w:endnote>
  <w:endnote w:type="continuationSeparator" w:id="0">
    <w:p w14:paraId="3667F71B" w14:textId="77777777" w:rsidR="00DE181F" w:rsidRDefault="00DE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541735"/>
    </w:sdtPr>
    <w:sdtEndPr/>
    <w:sdtContent>
      <w:p w14:paraId="50D5251C" w14:textId="1D526406" w:rsidR="004568D2" w:rsidRDefault="00A05CB4">
        <w:pPr>
          <w:pStyle w:val="a3"/>
          <w:jc w:val="center"/>
        </w:pPr>
        <w:r>
          <w:fldChar w:fldCharType="begin"/>
        </w:r>
        <w:r>
          <w:instrText>PAGE   \* MERGEFORMAT</w:instrText>
        </w:r>
        <w:r>
          <w:fldChar w:fldCharType="separate"/>
        </w:r>
        <w:r w:rsidR="00D868E5" w:rsidRPr="00D868E5">
          <w:rPr>
            <w:noProof/>
            <w:lang w:val="zh-CN"/>
          </w:rPr>
          <w:t>2</w:t>
        </w:r>
        <w:r>
          <w:fldChar w:fldCharType="end"/>
        </w:r>
      </w:p>
    </w:sdtContent>
  </w:sdt>
  <w:p w14:paraId="6C918AED" w14:textId="77777777" w:rsidR="004568D2" w:rsidRDefault="004568D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5FB9D" w14:textId="77777777" w:rsidR="00DE181F" w:rsidRDefault="00DE181F">
      <w:r>
        <w:separator/>
      </w:r>
    </w:p>
  </w:footnote>
  <w:footnote w:type="continuationSeparator" w:id="0">
    <w:p w14:paraId="49DEFBCF" w14:textId="77777777" w:rsidR="00DE181F" w:rsidRDefault="00DE18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4109"/>
    <w:multiLevelType w:val="multilevel"/>
    <w:tmpl w:val="0E2B4109"/>
    <w:lvl w:ilvl="0">
      <w:start w:val="1"/>
      <w:numFmt w:val="bullet"/>
      <w:lvlText w:val=""/>
      <w:lvlJc w:val="left"/>
      <w:pPr>
        <w:tabs>
          <w:tab w:val="left" w:pos="0"/>
        </w:tabs>
        <w:ind w:left="0" w:hanging="420"/>
      </w:pPr>
      <w:rPr>
        <w:rFonts w:ascii="Wingdings" w:hAnsi="Wingdings" w:hint="default"/>
      </w:rPr>
    </w:lvl>
    <w:lvl w:ilvl="1">
      <w:start w:val="1"/>
      <w:numFmt w:val="bullet"/>
      <w:lvlText w:val=""/>
      <w:lvlJc w:val="left"/>
      <w:pPr>
        <w:tabs>
          <w:tab w:val="left" w:pos="273"/>
        </w:tabs>
        <w:ind w:left="273" w:hanging="420"/>
      </w:pPr>
      <w:rPr>
        <w:rFonts w:ascii="Wingdings" w:hAnsi="Wingdings" w:hint="default"/>
      </w:rPr>
    </w:lvl>
    <w:lvl w:ilvl="2">
      <w:start w:val="1"/>
      <w:numFmt w:val="bullet"/>
      <w:lvlText w:val=""/>
      <w:lvlJc w:val="left"/>
      <w:pPr>
        <w:tabs>
          <w:tab w:val="left" w:pos="693"/>
        </w:tabs>
        <w:ind w:left="693" w:hanging="420"/>
      </w:pPr>
      <w:rPr>
        <w:rFonts w:ascii="Wingdings" w:hAnsi="Wingdings" w:hint="default"/>
      </w:rPr>
    </w:lvl>
    <w:lvl w:ilvl="3">
      <w:start w:val="1"/>
      <w:numFmt w:val="bullet"/>
      <w:lvlText w:val=""/>
      <w:lvlJc w:val="left"/>
      <w:pPr>
        <w:tabs>
          <w:tab w:val="left" w:pos="1113"/>
        </w:tabs>
        <w:ind w:left="1113" w:hanging="420"/>
      </w:pPr>
      <w:rPr>
        <w:rFonts w:ascii="Wingdings" w:hAnsi="Wingdings" w:hint="default"/>
      </w:rPr>
    </w:lvl>
    <w:lvl w:ilvl="4">
      <w:start w:val="1"/>
      <w:numFmt w:val="bullet"/>
      <w:lvlText w:val=""/>
      <w:lvlJc w:val="left"/>
      <w:pPr>
        <w:tabs>
          <w:tab w:val="left" w:pos="1533"/>
        </w:tabs>
        <w:ind w:left="1533" w:hanging="420"/>
      </w:pPr>
      <w:rPr>
        <w:rFonts w:ascii="Wingdings" w:hAnsi="Wingdings" w:hint="default"/>
      </w:rPr>
    </w:lvl>
    <w:lvl w:ilvl="5">
      <w:start w:val="1"/>
      <w:numFmt w:val="bullet"/>
      <w:lvlText w:val=""/>
      <w:lvlJc w:val="left"/>
      <w:pPr>
        <w:tabs>
          <w:tab w:val="left" w:pos="1953"/>
        </w:tabs>
        <w:ind w:left="1953" w:hanging="420"/>
      </w:pPr>
      <w:rPr>
        <w:rFonts w:ascii="Wingdings" w:hAnsi="Wingdings" w:hint="default"/>
      </w:rPr>
    </w:lvl>
    <w:lvl w:ilvl="6">
      <w:start w:val="1"/>
      <w:numFmt w:val="bullet"/>
      <w:lvlText w:val=""/>
      <w:lvlJc w:val="left"/>
      <w:pPr>
        <w:tabs>
          <w:tab w:val="left" w:pos="2373"/>
        </w:tabs>
        <w:ind w:left="2373" w:hanging="420"/>
      </w:pPr>
      <w:rPr>
        <w:rFonts w:ascii="Wingdings" w:hAnsi="Wingdings" w:hint="default"/>
      </w:rPr>
    </w:lvl>
    <w:lvl w:ilvl="7">
      <w:start w:val="1"/>
      <w:numFmt w:val="bullet"/>
      <w:lvlText w:val=""/>
      <w:lvlJc w:val="left"/>
      <w:pPr>
        <w:tabs>
          <w:tab w:val="left" w:pos="2793"/>
        </w:tabs>
        <w:ind w:left="2793" w:hanging="420"/>
      </w:pPr>
      <w:rPr>
        <w:rFonts w:ascii="Wingdings" w:hAnsi="Wingdings" w:hint="default"/>
      </w:rPr>
    </w:lvl>
    <w:lvl w:ilvl="8">
      <w:start w:val="1"/>
      <w:numFmt w:val="bullet"/>
      <w:lvlText w:val=""/>
      <w:lvlJc w:val="left"/>
      <w:pPr>
        <w:tabs>
          <w:tab w:val="left" w:pos="3213"/>
        </w:tabs>
        <w:ind w:left="3213" w:hanging="420"/>
      </w:pPr>
      <w:rPr>
        <w:rFonts w:ascii="Wingdings" w:hAnsi="Wingdings" w:hint="default"/>
      </w:rPr>
    </w:lvl>
  </w:abstractNum>
  <w:abstractNum w:abstractNumId="1"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2" w15:restartNumberingAfterBreak="0">
    <w:nsid w:val="600D7102"/>
    <w:multiLevelType w:val="singleLevel"/>
    <w:tmpl w:val="600D7102"/>
    <w:lvl w:ilvl="0">
      <w:start w:val="6"/>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FD"/>
    <w:rsid w:val="0003413B"/>
    <w:rsid w:val="001E22FD"/>
    <w:rsid w:val="004568D2"/>
    <w:rsid w:val="00581DDA"/>
    <w:rsid w:val="005A49BF"/>
    <w:rsid w:val="007A07C6"/>
    <w:rsid w:val="009D7B12"/>
    <w:rsid w:val="00A05CB4"/>
    <w:rsid w:val="00A636A1"/>
    <w:rsid w:val="00A6556F"/>
    <w:rsid w:val="00C61E11"/>
    <w:rsid w:val="00C653AC"/>
    <w:rsid w:val="00D07469"/>
    <w:rsid w:val="00D868E5"/>
    <w:rsid w:val="00DE181F"/>
    <w:rsid w:val="00EA2656"/>
    <w:rsid w:val="46F11FE5"/>
    <w:rsid w:val="52210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B3C05"/>
  <w15:docId w15:val="{68154A02-E19C-45AA-AAE8-E8571E6F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1235</Words>
  <Characters>1257</Characters>
  <Application>Microsoft Office Word</Application>
  <DocSecurity>0</DocSecurity>
  <Lines>77</Lines>
  <Paragraphs>35</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yjqin</dc:creator>
  <cp:lastModifiedBy>QYJ</cp:lastModifiedBy>
  <cp:revision>5</cp:revision>
  <dcterms:created xsi:type="dcterms:W3CDTF">2023-01-13T06:12:00Z</dcterms:created>
  <dcterms:modified xsi:type="dcterms:W3CDTF">2025-08-17T13:45:00Z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C8A4BE510ED84CFC9364D0CC75847AE3_12</vt:lpwstr>
  </property>
</Properties>
</file>