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2DB41">
      <w:pPr>
        <w:pStyle w:val="9"/>
        <w:spacing w:before="60" w:line="600" w:lineRule="exact"/>
        <w:rPr>
          <w:rFonts w:ascii="黑体" w:hAnsi="黑体" w:eastAsia="黑体"/>
          <w:sz w:val="36"/>
          <w:szCs w:val="36"/>
        </w:rPr>
      </w:pPr>
      <w:bookmarkStart w:id="0" w:name="_Toc57800068"/>
      <w:bookmarkStart w:id="1" w:name="_Toc159833822"/>
      <w:r>
        <w:rPr>
          <w:rFonts w:ascii="黑体" w:hAnsi="黑体" w:eastAsia="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 w:val="36"/>
          <w:szCs w:val="36"/>
        </w:rPr>
        <w:instrText xml:space="preserve">ADDIN CNKISM.UserStyle</w:instrText>
      </w:r>
      <w:r>
        <w:rPr>
          <w:rFonts w:ascii="黑体" w:hAnsi="黑体" w:eastAsia="黑体"/>
          <w:sz w:val="36"/>
          <w:szCs w:val="36"/>
        </w:rPr>
        <w:fldChar w:fldCharType="separate"/>
      </w:r>
      <w:r>
        <w:rPr>
          <w:rFonts w:ascii="黑体" w:hAnsi="黑体" w:eastAsia="黑体"/>
          <w:sz w:val="36"/>
          <w:szCs w:val="36"/>
        </w:rPr>
        <w:fldChar w:fldCharType="end"/>
      </w:r>
      <w:r>
        <w:rPr>
          <w:rFonts w:hint="eastAsia" w:ascii="黑体" w:hAnsi="黑体" w:eastAsia="黑体"/>
          <w:sz w:val="36"/>
          <w:szCs w:val="36"/>
        </w:rPr>
        <w:t>第九号 科创板上市公司股权激励计划限制性股票回购注销实施公告</w:t>
      </w:r>
    </w:p>
    <w:p w14:paraId="5A421AC3">
      <w:pPr>
        <w:spacing w:line="560" w:lineRule="exact"/>
        <w:rPr>
          <w:rFonts w:ascii="仿宋_GB2312" w:eastAsia="仿宋_GB2312"/>
          <w:sz w:val="30"/>
          <w:szCs w:val="30"/>
        </w:rPr>
      </w:pPr>
    </w:p>
    <w:p w14:paraId="350995FD">
      <w:pPr>
        <w:tabs>
          <w:tab w:val="left" w:pos="720"/>
        </w:tabs>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4BCBDB02">
      <w:pPr>
        <w:autoSpaceDE w:val="0"/>
        <w:autoSpaceDN w:val="0"/>
        <w:adjustRightInd w:val="0"/>
        <w:spacing w:line="600" w:lineRule="exact"/>
        <w:ind w:firstLine="600" w:firstLineChars="200"/>
        <w:rPr>
          <w:rFonts w:ascii="仿宋_GB2312" w:eastAsia="仿宋_GB2312" w:cs="宋体"/>
          <w:color w:val="000000"/>
          <w:kern w:val="0"/>
          <w:sz w:val="30"/>
          <w:szCs w:val="30"/>
        </w:rPr>
      </w:pPr>
      <w:r>
        <w:rPr>
          <w:rFonts w:hint="eastAsia" w:ascii="仿宋_GB2312" w:hAnsi="宋体" w:eastAsia="仿宋_GB2312"/>
          <w:sz w:val="30"/>
          <w:szCs w:val="30"/>
        </w:rPr>
        <w:t>科创板上市公司（以下简称上市公司）授予激励对象《上海证券交易所科创板股票上市规则》第10.5条规定的第一类限制性股票（以下简称限制性股票），</w:t>
      </w:r>
      <w:r>
        <w:rPr>
          <w:rFonts w:hint="eastAsia" w:ascii="仿宋_GB2312" w:hAnsi="Arial" w:eastAsia="仿宋_GB2312" w:cs="Arial"/>
          <w:color w:val="000000"/>
          <w:kern w:val="0"/>
          <w:sz w:val="30"/>
          <w:szCs w:val="30"/>
        </w:rPr>
        <w:t>需向部分或全部激励对象回购已获授的限制性股票并注销</w:t>
      </w:r>
      <w:r>
        <w:rPr>
          <w:rFonts w:hint="eastAsia" w:ascii="仿宋_GB2312" w:hAnsi="宋体" w:eastAsia="仿宋_GB2312"/>
          <w:sz w:val="30"/>
          <w:szCs w:val="30"/>
        </w:rPr>
        <w:t>的，需履行信息披露义务，适用本公告格式指引。</w:t>
      </w:r>
    </w:p>
    <w:p w14:paraId="669DBC3B">
      <w:pPr>
        <w:adjustRightInd w:val="0"/>
        <w:snapToGrid w:val="0"/>
        <w:spacing w:line="560" w:lineRule="exact"/>
        <w:ind w:firstLine="1050" w:firstLineChars="350"/>
        <w:rPr>
          <w:rFonts w:ascii="仿宋_GB2312" w:hAnsi="宋体" w:eastAsia="仿宋_GB2312"/>
          <w:sz w:val="30"/>
          <w:szCs w:val="30"/>
        </w:rPr>
      </w:pPr>
    </w:p>
    <w:p w14:paraId="4C4B21D6">
      <w:pPr>
        <w:widowControl/>
        <w:adjustRightInd w:val="0"/>
        <w:snapToGrid w:val="0"/>
        <w:spacing w:line="560" w:lineRule="exac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证券代码：</w:t>
      </w:r>
      <w:r>
        <w:rPr>
          <w:rFonts w:ascii="仿宋_GB2312" w:hAnsi="仿宋" w:eastAsia="仿宋_GB2312" w:cs="宋体"/>
          <w:color w:val="000000"/>
          <w:kern w:val="0"/>
          <w:sz w:val="30"/>
          <w:szCs w:val="30"/>
        </w:rPr>
        <w:t xml:space="preserve">             </w:t>
      </w:r>
      <w:r>
        <w:rPr>
          <w:rFonts w:hint="eastAsia" w:ascii="仿宋_GB2312" w:hAnsi="仿宋" w:eastAsia="仿宋_GB2312" w:cs="宋体"/>
          <w:color w:val="000000"/>
          <w:kern w:val="0"/>
          <w:sz w:val="30"/>
          <w:szCs w:val="30"/>
        </w:rPr>
        <w:t>证券简称：</w:t>
      </w:r>
      <w:r>
        <w:rPr>
          <w:rFonts w:ascii="仿宋_GB2312" w:hAnsi="仿宋" w:eastAsia="仿宋_GB2312" w:cs="宋体"/>
          <w:color w:val="000000"/>
          <w:kern w:val="0"/>
          <w:sz w:val="30"/>
          <w:szCs w:val="30"/>
        </w:rPr>
        <w:t xml:space="preserve">            </w:t>
      </w:r>
      <w:r>
        <w:rPr>
          <w:rFonts w:hint="eastAsia" w:ascii="仿宋_GB2312" w:hAnsi="仿宋" w:eastAsia="仿宋_GB2312" w:cs="宋体"/>
          <w:color w:val="000000"/>
          <w:kern w:val="0"/>
          <w:sz w:val="30"/>
          <w:szCs w:val="30"/>
        </w:rPr>
        <w:t>公告编号：</w:t>
      </w:r>
    </w:p>
    <w:p w14:paraId="795DF8FD">
      <w:pPr>
        <w:adjustRightInd w:val="0"/>
        <w:snapToGrid w:val="0"/>
        <w:spacing w:line="560" w:lineRule="exact"/>
        <w:jc w:val="center"/>
        <w:rPr>
          <w:rFonts w:ascii="仿宋_GB2312" w:hAnsi="宋体" w:eastAsia="仿宋_GB2312"/>
          <w:sz w:val="30"/>
          <w:szCs w:val="30"/>
        </w:rPr>
      </w:pPr>
    </w:p>
    <w:p w14:paraId="2525F17B">
      <w:pPr>
        <w:adjustRightInd w:val="0"/>
        <w:snapToGrid w:val="0"/>
        <w:spacing w:line="560" w:lineRule="exact"/>
        <w:jc w:val="center"/>
        <w:rPr>
          <w:rFonts w:ascii="仿宋_GB2312" w:hAnsi="宋体" w:eastAsia="仿宋_GB2312"/>
          <w:bCs/>
          <w:sz w:val="30"/>
          <w:szCs w:val="30"/>
        </w:rPr>
      </w:pPr>
      <w:r>
        <w:rPr>
          <w:rFonts w:hint="eastAsia" w:ascii="仿宋_GB2312" w:hAnsi="宋体" w:eastAsia="仿宋_GB2312"/>
          <w:bCs/>
          <w:sz w:val="30"/>
          <w:szCs w:val="30"/>
        </w:rPr>
        <w:t>XXXX股份有限公司股权激励计划限制性股票回购注销实施公告</w:t>
      </w:r>
    </w:p>
    <w:p w14:paraId="3BADC0FE">
      <w:pPr>
        <w:adjustRightInd w:val="0"/>
        <w:snapToGrid w:val="0"/>
        <w:spacing w:line="560" w:lineRule="exact"/>
        <w:jc w:val="center"/>
        <w:rPr>
          <w:rFonts w:ascii="仿宋_GB2312" w:hAnsi="宋体" w:eastAsia="仿宋_GB2312"/>
          <w:b/>
          <w:sz w:val="30"/>
          <w:szCs w:val="30"/>
        </w:rPr>
      </w:pPr>
    </w:p>
    <w:p w14:paraId="13D1AACA">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本公司董事会及全体董事保证本公告内容不存在任何虚假记载、误导性陈述或者重大遗漏，并对其内容的真实性、准确性和完整性承担法律责任。</w:t>
      </w:r>
    </w:p>
    <w:p w14:paraId="6D91CB0A">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14:paraId="0D273FAA">
      <w:pPr>
        <w:adjustRightInd w:val="0"/>
        <w:snapToGrid w:val="0"/>
        <w:spacing w:line="560" w:lineRule="exact"/>
        <w:jc w:val="center"/>
        <w:rPr>
          <w:rFonts w:ascii="仿宋_GB2312" w:hAnsi="宋体" w:eastAsia="仿宋_GB2312"/>
          <w:b/>
          <w:sz w:val="30"/>
          <w:szCs w:val="30"/>
        </w:rPr>
      </w:pPr>
    </w:p>
    <w:p w14:paraId="35C20824">
      <w:pPr>
        <w:adjustRightInd w:val="0"/>
        <w:snapToGrid w:val="0"/>
        <w:spacing w:line="560" w:lineRule="exact"/>
        <w:rPr>
          <w:rFonts w:ascii="仿宋_GB2312" w:hAnsi="宋体" w:eastAsia="仿宋_GB2312"/>
          <w:b/>
          <w:bCs/>
          <w:sz w:val="30"/>
          <w:szCs w:val="30"/>
        </w:rPr>
      </w:pPr>
      <w:r>
        <w:rPr>
          <w:rFonts w:ascii="仿宋_GB2312" w:hAnsi="宋体" w:eastAsia="仿宋_GB2312"/>
          <w:sz w:val="30"/>
          <w:szCs w:val="30"/>
        </w:rPr>
        <w:t xml:space="preserve">    </w:t>
      </w:r>
      <w:r>
        <w:rPr>
          <w:rFonts w:hint="eastAsia" w:ascii="仿宋_GB2312" w:hAnsi="宋体" w:eastAsia="仿宋_GB2312"/>
          <w:b/>
          <w:bCs/>
          <w:sz w:val="30"/>
          <w:szCs w:val="30"/>
        </w:rPr>
        <w:t>重要内容提示：</w:t>
      </w:r>
    </w:p>
    <w:p w14:paraId="6FBF2D6F">
      <w:pPr>
        <w:pStyle w:val="16"/>
        <w:widowControl/>
        <w:numPr>
          <w:ilvl w:val="0"/>
          <w:numId w:val="1"/>
        </w:numPr>
        <w:adjustRightInd w:val="0"/>
        <w:snapToGrid w:val="0"/>
        <w:spacing w:line="560" w:lineRule="exact"/>
        <w:ind w:firstLine="600"/>
        <w:rPr>
          <w:rFonts w:ascii="仿宋_GB2312" w:hAnsi="宋体" w:eastAsia="仿宋_GB2312"/>
          <w:sz w:val="30"/>
          <w:szCs w:val="30"/>
        </w:rPr>
      </w:pPr>
      <w:r>
        <w:rPr>
          <w:rFonts w:hint="eastAsia" w:ascii="仿宋_GB2312" w:hAnsi="Times New Roman" w:eastAsia="仿宋_GB2312"/>
          <w:sz w:val="30"/>
          <w:szCs w:val="30"/>
        </w:rPr>
        <w:t>回购注销原因：回购股权激励限制性股票并注销/其他（自行填写）</w:t>
      </w:r>
    </w:p>
    <w:p w14:paraId="143EEBCB">
      <w:pPr>
        <w:pStyle w:val="16"/>
        <w:widowControl/>
        <w:numPr>
          <w:ilvl w:val="0"/>
          <w:numId w:val="1"/>
        </w:numPr>
        <w:adjustRightInd w:val="0"/>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本次注销股份的有关情况</w:t>
      </w:r>
    </w:p>
    <w:tbl>
      <w:tblPr>
        <w:tblStyle w:val="11"/>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55"/>
        <w:gridCol w:w="2265"/>
        <w:gridCol w:w="3260"/>
      </w:tblGrid>
      <w:tr w14:paraId="6EAE9D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5" w:type="dxa"/>
            <w:vAlign w:val="center"/>
          </w:tcPr>
          <w:p w14:paraId="4CE896F3">
            <w:pPr>
              <w:snapToGrid w:val="0"/>
              <w:spacing w:line="5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回购股份数量</w:t>
            </w:r>
          </w:p>
        </w:tc>
        <w:tc>
          <w:tcPr>
            <w:tcW w:w="2265" w:type="dxa"/>
            <w:vAlign w:val="center"/>
          </w:tcPr>
          <w:p w14:paraId="11F3B7B4">
            <w:pPr>
              <w:snapToGrid w:val="0"/>
              <w:spacing w:line="5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注销股份数量</w:t>
            </w:r>
          </w:p>
        </w:tc>
        <w:tc>
          <w:tcPr>
            <w:tcW w:w="3260" w:type="dxa"/>
            <w:vAlign w:val="center"/>
          </w:tcPr>
          <w:p w14:paraId="4DDB3C8C">
            <w:pPr>
              <w:snapToGrid w:val="0"/>
              <w:spacing w:line="560" w:lineRule="exact"/>
              <w:jc w:val="center"/>
              <w:rPr>
                <w:rFonts w:ascii="仿宋_GB2312" w:hAnsi="宋体" w:eastAsia="仿宋_GB2312" w:cs="Times New Roman"/>
                <w:kern w:val="0"/>
                <w:sz w:val="24"/>
              </w:rPr>
            </w:pPr>
            <w:r>
              <w:rPr>
                <w:rFonts w:hint="eastAsia" w:ascii="仿宋_GB2312" w:hAnsi="宋体" w:eastAsia="仿宋_GB2312" w:cs="Times New Roman"/>
                <w:kern w:val="0"/>
                <w:sz w:val="24"/>
              </w:rPr>
              <w:t>注销日期</w:t>
            </w:r>
          </w:p>
        </w:tc>
      </w:tr>
      <w:tr w14:paraId="55F171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5" w:type="dxa"/>
          </w:tcPr>
          <w:p w14:paraId="3BE1EA01">
            <w:pPr>
              <w:snapToGrid w:val="0"/>
              <w:spacing w:line="560" w:lineRule="exact"/>
              <w:jc w:val="center"/>
              <w:rPr>
                <w:rFonts w:ascii="仿宋_GB2312" w:hAnsi="宋体" w:eastAsia="仿宋_GB2312" w:cs="Times New Roman"/>
                <w:kern w:val="0"/>
                <w:sz w:val="24"/>
              </w:rPr>
            </w:pPr>
          </w:p>
        </w:tc>
        <w:tc>
          <w:tcPr>
            <w:tcW w:w="2265" w:type="dxa"/>
          </w:tcPr>
          <w:p w14:paraId="64DAEAF9">
            <w:pPr>
              <w:snapToGrid w:val="0"/>
              <w:spacing w:line="560" w:lineRule="exact"/>
              <w:jc w:val="center"/>
              <w:rPr>
                <w:rFonts w:ascii="仿宋_GB2312" w:hAnsi="宋体" w:eastAsia="仿宋_GB2312" w:cs="Times New Roman"/>
                <w:kern w:val="0"/>
                <w:sz w:val="24"/>
              </w:rPr>
            </w:pPr>
          </w:p>
        </w:tc>
        <w:tc>
          <w:tcPr>
            <w:tcW w:w="3260" w:type="dxa"/>
          </w:tcPr>
          <w:p w14:paraId="3D753EA7">
            <w:pPr>
              <w:snapToGrid w:val="0"/>
              <w:spacing w:line="560" w:lineRule="exact"/>
              <w:jc w:val="center"/>
              <w:rPr>
                <w:rFonts w:ascii="仿宋_GB2312" w:hAnsi="宋体" w:eastAsia="仿宋_GB2312" w:cs="Times New Roman"/>
                <w:kern w:val="0"/>
                <w:sz w:val="24"/>
              </w:rPr>
            </w:pPr>
          </w:p>
        </w:tc>
      </w:tr>
    </w:tbl>
    <w:p w14:paraId="2A9FC7C3">
      <w:pPr>
        <w:adjustRightInd w:val="0"/>
        <w:snapToGrid w:val="0"/>
        <w:spacing w:line="560" w:lineRule="exact"/>
        <w:ind w:left="480"/>
        <w:rPr>
          <w:rFonts w:ascii="仿宋_GB2312" w:hAnsi="宋体" w:eastAsia="仿宋_GB2312"/>
          <w:sz w:val="30"/>
          <w:szCs w:val="30"/>
        </w:rPr>
      </w:pPr>
    </w:p>
    <w:p w14:paraId="4EBF3AC3">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一、本次限制性股票回购注销的决策与信息披露</w:t>
      </w:r>
    </w:p>
    <w:p w14:paraId="193E2A27">
      <w:pPr>
        <w:spacing w:line="560" w:lineRule="exact"/>
        <w:ind w:firstLine="600" w:firstLineChars="200"/>
        <w:rPr>
          <w:rFonts w:ascii="仿宋_GB2312" w:eastAsia="仿宋_GB2312" w:hAnsiTheme="majorEastAsia"/>
          <w:kern w:val="0"/>
          <w:sz w:val="30"/>
          <w:szCs w:val="30"/>
        </w:rPr>
      </w:pPr>
      <w:r>
        <w:rPr>
          <w:rFonts w:hint="eastAsia" w:ascii="仿宋_GB2312" w:eastAsia="仿宋_GB2312" w:hAnsiTheme="majorEastAsia"/>
          <w:kern w:val="0"/>
          <w:sz w:val="30"/>
          <w:szCs w:val="30"/>
        </w:rPr>
        <w:t>说明本次股权激励限制性股票回购注销事项的决策程序及相</w:t>
      </w:r>
      <w:r>
        <w:rPr>
          <w:rFonts w:ascii="仿宋_GB2312" w:eastAsia="仿宋_GB2312" w:hAnsiTheme="majorEastAsia"/>
          <w:kern w:val="0"/>
          <w:sz w:val="30"/>
          <w:szCs w:val="30"/>
        </w:rPr>
        <w:t>应</w:t>
      </w:r>
      <w:r>
        <w:rPr>
          <w:rFonts w:hint="eastAsia" w:ascii="仿宋_GB2312" w:eastAsia="仿宋_GB2312" w:hAnsiTheme="majorEastAsia"/>
          <w:kern w:val="0"/>
          <w:sz w:val="30"/>
          <w:szCs w:val="30"/>
        </w:rPr>
        <w:t>的信息披露日期。说明公司已根据法律规定就本次股份回购注销事项履行通知债权人程序，并披露债权人要求提前清偿或提供担保的情况及公司相</w:t>
      </w:r>
      <w:r>
        <w:rPr>
          <w:rFonts w:ascii="仿宋_GB2312" w:eastAsia="仿宋_GB2312" w:hAnsiTheme="majorEastAsia"/>
          <w:kern w:val="0"/>
          <w:sz w:val="30"/>
          <w:szCs w:val="30"/>
        </w:rPr>
        <w:t>应</w:t>
      </w:r>
      <w:r>
        <w:rPr>
          <w:rFonts w:hint="eastAsia" w:ascii="仿宋_GB2312" w:eastAsia="仿宋_GB2312" w:hAnsiTheme="majorEastAsia"/>
          <w:kern w:val="0"/>
          <w:sz w:val="30"/>
          <w:szCs w:val="30"/>
        </w:rPr>
        <w:t>处理情况。</w:t>
      </w:r>
    </w:p>
    <w:p w14:paraId="00E3CF72">
      <w:pPr>
        <w:spacing w:line="560" w:lineRule="exact"/>
        <w:ind w:firstLine="600" w:firstLineChars="200"/>
        <w:rPr>
          <w:rFonts w:ascii="仿宋_GB2312" w:eastAsia="仿宋_GB2312" w:hAnsiTheme="majorEastAsia"/>
          <w:kern w:val="0"/>
          <w:sz w:val="30"/>
          <w:szCs w:val="30"/>
        </w:rPr>
      </w:pPr>
    </w:p>
    <w:p w14:paraId="3E9A0183">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二、本次限制性股票回购注销情况</w:t>
      </w:r>
    </w:p>
    <w:p w14:paraId="3538C1CD">
      <w:pPr>
        <w:adjustRightIn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（一）本次回购注销限制性股票的原因及依据</w:t>
      </w:r>
    </w:p>
    <w:p w14:paraId="5D6FB827">
      <w:pPr>
        <w:adjustRightIn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披露本次回购注销限制性股票的原因及依据；说明根据</w:t>
      </w:r>
      <w:r>
        <w:rPr>
          <w:rFonts w:hint="eastAsia" w:ascii="仿宋_GB2312" w:eastAsia="仿宋_GB2312" w:cs="华文中宋" w:hAnsiTheme="minorEastAsia"/>
          <w:kern w:val="0"/>
          <w:sz w:val="30"/>
          <w:szCs w:val="30"/>
        </w:rPr>
        <w:t>《上市公司股权激励管理办法》</w:t>
      </w:r>
      <w:r>
        <w:rPr>
          <w:rFonts w:hint="eastAsia" w:ascii="仿宋_GB2312" w:eastAsia="仿宋_GB2312"/>
          <w:kern w:val="0"/>
          <w:sz w:val="30"/>
          <w:szCs w:val="30"/>
        </w:rPr>
        <w:t>等相关法律规定，以及公司股权激励计划、限制性股票授予协议，公司有权单方面回购注销本次股权激励授予的限制性股票。</w:t>
      </w:r>
    </w:p>
    <w:p w14:paraId="21F8927A">
      <w:pPr>
        <w:adjustRightIn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（二）本次回购注销的相关人员、数量</w:t>
      </w:r>
    </w:p>
    <w:p w14:paraId="581811C9">
      <w:pPr>
        <w:adjustRightIn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本次回购注销限制性股票涉及***（职务、姓名）等</w:t>
      </w:r>
      <w:r>
        <w:rPr>
          <w:rFonts w:hint="eastAsia" w:ascii="仿宋_GB2312" w:eastAsia="仿宋_GB2312"/>
          <w:kern w:val="0"/>
          <w:sz w:val="30"/>
          <w:szCs w:val="30"/>
          <w:u w:val="single"/>
        </w:rPr>
        <w:t xml:space="preserve">    </w:t>
      </w:r>
      <w:bookmarkStart w:id="2" w:name="_GoBack"/>
      <w:bookmarkEnd w:id="2"/>
      <w:r>
        <w:rPr>
          <w:rFonts w:hint="eastAsia" w:ascii="仿宋_GB2312" w:eastAsia="仿宋_GB2312"/>
          <w:kern w:val="0"/>
          <w:sz w:val="30"/>
          <w:szCs w:val="30"/>
        </w:rPr>
        <w:t>人，合计拟回购注销限制性股票</w:t>
      </w:r>
      <w:r>
        <w:rPr>
          <w:rFonts w:hint="eastAsia" w:ascii="仿宋_GB2312" w:eastAsia="仿宋_GB2312"/>
          <w:kern w:val="0"/>
          <w:sz w:val="30"/>
          <w:szCs w:val="30"/>
          <w:u w:val="single"/>
        </w:rPr>
        <w:t xml:space="preserve">    </w:t>
      </w:r>
      <w:r>
        <w:rPr>
          <w:rFonts w:hint="eastAsia" w:ascii="仿宋_GB2312" w:eastAsia="仿宋_GB2312"/>
          <w:kern w:val="0"/>
          <w:sz w:val="30"/>
          <w:szCs w:val="30"/>
        </w:rPr>
        <w:t>股；本次回购注销完成后，剩余股权激励限制性股票</w:t>
      </w:r>
      <w:r>
        <w:rPr>
          <w:rFonts w:hint="eastAsia" w:ascii="仿宋_GB2312" w:eastAsia="仿宋_GB2312"/>
          <w:kern w:val="0"/>
          <w:sz w:val="30"/>
          <w:szCs w:val="30"/>
          <w:u w:val="single"/>
        </w:rPr>
        <w:t xml:space="preserve">    </w:t>
      </w:r>
      <w:r>
        <w:rPr>
          <w:rFonts w:hint="eastAsia" w:ascii="仿宋_GB2312" w:eastAsia="仿宋_GB2312"/>
          <w:kern w:val="0"/>
          <w:sz w:val="30"/>
          <w:szCs w:val="30"/>
        </w:rPr>
        <w:t>股。</w:t>
      </w:r>
    </w:p>
    <w:p w14:paraId="2E6F2017">
      <w:pPr>
        <w:adjustRightIn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（三）回购注销安排</w:t>
      </w:r>
    </w:p>
    <w:p w14:paraId="782EE48C">
      <w:pPr>
        <w:adjustRightIn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说明本次回购股份专用账户开立情况。</w:t>
      </w:r>
    </w:p>
    <w:p w14:paraId="3A02D907">
      <w:pPr>
        <w:adjustRightIn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预计本次限制性股票于 ****年**月**日完成注销。</w:t>
      </w:r>
    </w:p>
    <w:p w14:paraId="1A4CB949">
      <w:pPr>
        <w:adjustRightInd w:val="0"/>
        <w:spacing w:line="560" w:lineRule="exact"/>
        <w:ind w:firstLine="600" w:firstLineChars="200"/>
        <w:rPr>
          <w:rFonts w:ascii="仿宋_GB2312" w:eastAsia="仿宋_GB2312"/>
          <w:kern w:val="0"/>
          <w:sz w:val="30"/>
          <w:szCs w:val="30"/>
        </w:rPr>
      </w:pPr>
    </w:p>
    <w:p w14:paraId="0C6CF3E6">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三、回购注销限制性股票后公司股份结构变动情况</w:t>
      </w:r>
    </w:p>
    <w:p w14:paraId="4AD571E1">
      <w:pPr>
        <w:widowControl/>
        <w:spacing w:line="560" w:lineRule="exact"/>
        <w:ind w:firstLine="465"/>
        <w:rPr>
          <w:rFonts w:ascii="仿宋_GB2312" w:eastAsia="仿宋_GB2312"/>
          <w:kern w:val="0"/>
          <w:sz w:val="30"/>
          <w:szCs w:val="30"/>
        </w:rPr>
      </w:pPr>
      <w:r>
        <w:rPr>
          <w:rFonts w:hint="eastAsia" w:ascii="仿宋_GB2312" w:eastAsia="仿宋_GB2312"/>
          <w:kern w:val="0"/>
          <w:sz w:val="30"/>
          <w:szCs w:val="30"/>
        </w:rPr>
        <w:t>公司本次回购注销限制性股票后，公司股本结构变动情况如下：</w:t>
      </w:r>
    </w:p>
    <w:p w14:paraId="797EAED5">
      <w:pPr>
        <w:widowControl/>
        <w:spacing w:line="560" w:lineRule="exact"/>
        <w:ind w:firstLine="465"/>
        <w:rPr>
          <w:rFonts w:ascii="仿宋_GB2312" w:eastAsia="仿宋_GB2312"/>
          <w:kern w:val="0"/>
          <w:sz w:val="30"/>
          <w:szCs w:val="30"/>
        </w:rPr>
      </w:pPr>
    </w:p>
    <w:tbl>
      <w:tblPr>
        <w:tblStyle w:val="10"/>
        <w:tblW w:w="4804"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3"/>
        <w:gridCol w:w="1489"/>
        <w:gridCol w:w="2126"/>
        <w:gridCol w:w="1560"/>
      </w:tblGrid>
      <w:tr w14:paraId="129C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839" w:type="pct"/>
            <w:noWrap/>
            <w:vAlign w:val="center"/>
          </w:tcPr>
          <w:p w14:paraId="0C062961">
            <w:pPr>
              <w:widowControl/>
              <w:adjustRightInd w:val="0"/>
              <w:snapToGrid w:val="0"/>
              <w:spacing w:line="560" w:lineRule="exact"/>
              <w:rPr>
                <w:rFonts w:ascii="仿宋_GB2312" w:hAnsi="宋体" w:eastAsia="仿宋_GB2312"/>
                <w:sz w:val="24"/>
              </w:rPr>
            </w:pPr>
          </w:p>
        </w:tc>
        <w:tc>
          <w:tcPr>
            <w:tcW w:w="909" w:type="pct"/>
            <w:noWrap/>
            <w:vAlign w:val="center"/>
          </w:tcPr>
          <w:p w14:paraId="636E156D">
            <w:pPr>
              <w:snapToGrid w:val="0"/>
              <w:spacing w:line="560" w:lineRule="exact"/>
              <w:jc w:val="center"/>
              <w:rPr>
                <w:rFonts w:ascii="仿宋_GB2312" w:hAnsi="宋体" w:eastAsia="仿宋_GB2312"/>
                <w:b/>
                <w:kern w:val="0"/>
                <w:sz w:val="24"/>
              </w:rPr>
            </w:pPr>
            <w:r>
              <w:rPr>
                <w:rFonts w:hint="eastAsia" w:ascii="仿宋_GB2312" w:hAnsi="宋体" w:eastAsia="仿宋_GB2312"/>
                <w:b/>
                <w:kern w:val="0"/>
                <w:sz w:val="24"/>
              </w:rPr>
              <w:t>变动前</w:t>
            </w:r>
          </w:p>
        </w:tc>
        <w:tc>
          <w:tcPr>
            <w:tcW w:w="1298" w:type="pct"/>
            <w:vAlign w:val="center"/>
          </w:tcPr>
          <w:p w14:paraId="1138D05D">
            <w:pPr>
              <w:snapToGrid w:val="0"/>
              <w:spacing w:line="560" w:lineRule="exact"/>
              <w:jc w:val="center"/>
              <w:rPr>
                <w:rFonts w:ascii="仿宋_GB2312" w:hAnsi="宋体" w:eastAsia="仿宋_GB2312"/>
                <w:b/>
                <w:kern w:val="0"/>
                <w:sz w:val="24"/>
              </w:rPr>
            </w:pPr>
            <w:r>
              <w:rPr>
                <w:rFonts w:hint="eastAsia" w:ascii="仿宋_GB2312" w:hAnsi="宋体" w:eastAsia="仿宋_GB2312"/>
                <w:b/>
                <w:kern w:val="0"/>
                <w:sz w:val="24"/>
              </w:rPr>
              <w:t>变动数</w:t>
            </w:r>
          </w:p>
        </w:tc>
        <w:tc>
          <w:tcPr>
            <w:tcW w:w="952" w:type="pct"/>
            <w:noWrap/>
            <w:vAlign w:val="center"/>
          </w:tcPr>
          <w:p w14:paraId="4B9E4A7D">
            <w:pPr>
              <w:snapToGrid w:val="0"/>
              <w:spacing w:line="560" w:lineRule="exact"/>
              <w:jc w:val="center"/>
              <w:rPr>
                <w:rFonts w:ascii="仿宋_GB2312" w:hAnsi="宋体" w:eastAsia="仿宋_GB2312"/>
                <w:b/>
                <w:kern w:val="0"/>
                <w:sz w:val="24"/>
              </w:rPr>
            </w:pPr>
            <w:r>
              <w:rPr>
                <w:rFonts w:hint="eastAsia" w:ascii="仿宋_GB2312" w:hAnsi="宋体" w:eastAsia="仿宋_GB2312"/>
                <w:b/>
                <w:kern w:val="0"/>
                <w:sz w:val="24"/>
              </w:rPr>
              <w:t>变动后</w:t>
            </w:r>
          </w:p>
        </w:tc>
      </w:tr>
      <w:tr w14:paraId="28DC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39" w:type="pct"/>
          </w:tcPr>
          <w:p w14:paraId="18247D96">
            <w:pPr>
              <w:spacing w:line="560" w:lineRule="exact"/>
              <w:rPr>
                <w:rFonts w:ascii="仿宋_GB2312" w:hAnsi="宋体" w:eastAsia="仿宋_GB2312"/>
                <w:sz w:val="24"/>
              </w:rPr>
            </w:pPr>
            <w:r>
              <w:rPr>
                <w:rFonts w:hint="eastAsia" w:ascii="仿宋_GB2312" w:hAnsi="宋体" w:eastAsia="仿宋_GB2312"/>
                <w:sz w:val="24"/>
              </w:rPr>
              <w:t>有限售条件的流通股</w:t>
            </w:r>
          </w:p>
        </w:tc>
        <w:tc>
          <w:tcPr>
            <w:tcW w:w="909" w:type="pct"/>
            <w:noWrap/>
            <w:vAlign w:val="center"/>
          </w:tcPr>
          <w:p w14:paraId="4AF2B2C4">
            <w:pPr>
              <w:widowControl/>
              <w:adjustRightInd w:val="0"/>
              <w:snapToGrid w:val="0"/>
              <w:spacing w:line="560" w:lineRule="exact"/>
              <w:jc w:val="right"/>
              <w:rPr>
                <w:rFonts w:ascii="仿宋_GB2312" w:hAnsi="宋体" w:eastAsia="仿宋_GB2312"/>
                <w:sz w:val="24"/>
              </w:rPr>
            </w:pPr>
          </w:p>
        </w:tc>
        <w:tc>
          <w:tcPr>
            <w:tcW w:w="1298" w:type="pct"/>
          </w:tcPr>
          <w:p w14:paraId="5BC0E9C9">
            <w:pPr>
              <w:widowControl/>
              <w:adjustRightInd w:val="0"/>
              <w:snapToGrid w:val="0"/>
              <w:spacing w:line="560" w:lineRule="exact"/>
              <w:jc w:val="right"/>
              <w:rPr>
                <w:rFonts w:ascii="仿宋_GB2312" w:hAnsi="宋体" w:eastAsia="仿宋_GB2312"/>
                <w:sz w:val="24"/>
              </w:rPr>
            </w:pPr>
          </w:p>
        </w:tc>
        <w:tc>
          <w:tcPr>
            <w:tcW w:w="952" w:type="pct"/>
            <w:noWrap/>
            <w:vAlign w:val="center"/>
          </w:tcPr>
          <w:p w14:paraId="12D5A308">
            <w:pPr>
              <w:widowControl/>
              <w:adjustRightInd w:val="0"/>
              <w:snapToGrid w:val="0"/>
              <w:spacing w:line="560" w:lineRule="exact"/>
              <w:jc w:val="right"/>
              <w:rPr>
                <w:rFonts w:ascii="仿宋_GB2312" w:hAnsi="宋体" w:eastAsia="仿宋_GB2312"/>
                <w:sz w:val="24"/>
              </w:rPr>
            </w:pPr>
          </w:p>
        </w:tc>
      </w:tr>
      <w:tr w14:paraId="12D5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39" w:type="pct"/>
          </w:tcPr>
          <w:p w14:paraId="21377511">
            <w:pPr>
              <w:pStyle w:val="4"/>
              <w:spacing w:line="560" w:lineRule="exact"/>
              <w:rPr>
                <w:rFonts w:ascii="仿宋_GB2312" w:hAnsi="宋体" w:eastAsia="仿宋_GB2312"/>
                <w:sz w:val="24"/>
                <w:szCs w:val="24"/>
              </w:rPr>
            </w:pPr>
            <w:r>
              <w:rPr>
                <w:rFonts w:hint="eastAsia" w:ascii="仿宋_GB2312" w:hAnsi="宋体" w:eastAsia="仿宋_GB2312"/>
                <w:sz w:val="24"/>
                <w:szCs w:val="24"/>
              </w:rPr>
              <w:t>无限售条件的流通股</w:t>
            </w:r>
          </w:p>
        </w:tc>
        <w:tc>
          <w:tcPr>
            <w:tcW w:w="909" w:type="pct"/>
            <w:noWrap/>
            <w:vAlign w:val="center"/>
          </w:tcPr>
          <w:p w14:paraId="6792CEE3">
            <w:pPr>
              <w:widowControl/>
              <w:adjustRightInd w:val="0"/>
              <w:snapToGrid w:val="0"/>
              <w:spacing w:line="560" w:lineRule="exact"/>
              <w:jc w:val="right"/>
              <w:rPr>
                <w:rFonts w:ascii="仿宋_GB2312" w:hAnsi="宋体" w:eastAsia="仿宋_GB2312"/>
                <w:sz w:val="24"/>
              </w:rPr>
            </w:pPr>
          </w:p>
        </w:tc>
        <w:tc>
          <w:tcPr>
            <w:tcW w:w="1298" w:type="pct"/>
          </w:tcPr>
          <w:p w14:paraId="0617BFC6">
            <w:pPr>
              <w:widowControl/>
              <w:adjustRightInd w:val="0"/>
              <w:snapToGrid w:val="0"/>
              <w:spacing w:line="560" w:lineRule="exact"/>
              <w:jc w:val="right"/>
              <w:rPr>
                <w:rFonts w:ascii="仿宋_GB2312" w:hAnsi="宋体" w:eastAsia="仿宋_GB2312"/>
                <w:sz w:val="24"/>
              </w:rPr>
            </w:pPr>
          </w:p>
        </w:tc>
        <w:tc>
          <w:tcPr>
            <w:tcW w:w="952" w:type="pct"/>
            <w:noWrap/>
            <w:vAlign w:val="center"/>
          </w:tcPr>
          <w:p w14:paraId="5824B238">
            <w:pPr>
              <w:widowControl/>
              <w:adjustRightInd w:val="0"/>
              <w:snapToGrid w:val="0"/>
              <w:spacing w:line="560" w:lineRule="exact"/>
              <w:jc w:val="right"/>
              <w:rPr>
                <w:rFonts w:ascii="仿宋_GB2312" w:hAnsi="宋体" w:eastAsia="仿宋_GB2312"/>
                <w:sz w:val="24"/>
              </w:rPr>
            </w:pPr>
          </w:p>
        </w:tc>
      </w:tr>
      <w:tr w14:paraId="2BE4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39" w:type="pct"/>
          </w:tcPr>
          <w:p w14:paraId="3666A026">
            <w:pPr>
              <w:spacing w:line="560" w:lineRule="exact"/>
              <w:rPr>
                <w:rFonts w:ascii="仿宋_GB2312" w:hAnsi="宋体" w:eastAsia="仿宋_GB2312"/>
                <w:sz w:val="24"/>
              </w:rPr>
            </w:pPr>
            <w:r>
              <w:rPr>
                <w:rFonts w:ascii="仿宋_GB2312" w:hAnsi="宋体" w:eastAsia="仿宋_GB2312"/>
                <w:sz w:val="24"/>
              </w:rPr>
              <w:t>H股</w:t>
            </w:r>
          </w:p>
        </w:tc>
        <w:tc>
          <w:tcPr>
            <w:tcW w:w="909" w:type="pct"/>
            <w:noWrap/>
            <w:vAlign w:val="center"/>
          </w:tcPr>
          <w:p w14:paraId="1A1A9BD6">
            <w:pPr>
              <w:widowControl/>
              <w:adjustRightInd w:val="0"/>
              <w:snapToGrid w:val="0"/>
              <w:spacing w:line="560" w:lineRule="exact"/>
              <w:jc w:val="right"/>
              <w:rPr>
                <w:rFonts w:ascii="仿宋_GB2312" w:hAnsi="宋体" w:eastAsia="仿宋_GB2312"/>
                <w:sz w:val="24"/>
              </w:rPr>
            </w:pPr>
          </w:p>
        </w:tc>
        <w:tc>
          <w:tcPr>
            <w:tcW w:w="1298" w:type="pct"/>
          </w:tcPr>
          <w:p w14:paraId="09D925E8">
            <w:pPr>
              <w:widowControl/>
              <w:adjustRightInd w:val="0"/>
              <w:snapToGrid w:val="0"/>
              <w:spacing w:line="560" w:lineRule="exact"/>
              <w:jc w:val="right"/>
              <w:rPr>
                <w:rFonts w:ascii="仿宋_GB2312" w:hAnsi="宋体" w:eastAsia="仿宋_GB2312"/>
                <w:sz w:val="24"/>
              </w:rPr>
            </w:pPr>
          </w:p>
        </w:tc>
        <w:tc>
          <w:tcPr>
            <w:tcW w:w="952" w:type="pct"/>
            <w:noWrap/>
            <w:vAlign w:val="center"/>
          </w:tcPr>
          <w:p w14:paraId="6A8FDB7E">
            <w:pPr>
              <w:widowControl/>
              <w:adjustRightInd w:val="0"/>
              <w:snapToGrid w:val="0"/>
              <w:spacing w:line="560" w:lineRule="exact"/>
              <w:jc w:val="right"/>
              <w:rPr>
                <w:rFonts w:ascii="仿宋_GB2312" w:hAnsi="宋体" w:eastAsia="仿宋_GB2312"/>
                <w:sz w:val="24"/>
              </w:rPr>
            </w:pPr>
          </w:p>
        </w:tc>
      </w:tr>
      <w:tr w14:paraId="5AB5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839" w:type="pct"/>
          </w:tcPr>
          <w:p w14:paraId="73B8508B">
            <w:pPr>
              <w:spacing w:line="560" w:lineRule="exact"/>
              <w:rPr>
                <w:rFonts w:ascii="仿宋_GB2312" w:hAnsi="宋体" w:eastAsia="仿宋_GB2312"/>
                <w:sz w:val="24"/>
              </w:rPr>
            </w:pPr>
            <w:r>
              <w:rPr>
                <w:rFonts w:hint="eastAsia" w:ascii="仿宋_GB2312" w:hAnsi="宋体" w:eastAsia="仿宋_GB2312"/>
                <w:sz w:val="24"/>
              </w:rPr>
              <w:t>其他境外上市股份</w:t>
            </w:r>
          </w:p>
        </w:tc>
        <w:tc>
          <w:tcPr>
            <w:tcW w:w="909" w:type="pct"/>
            <w:noWrap/>
            <w:vAlign w:val="center"/>
          </w:tcPr>
          <w:p w14:paraId="00F6E381">
            <w:pPr>
              <w:widowControl/>
              <w:adjustRightInd w:val="0"/>
              <w:snapToGrid w:val="0"/>
              <w:spacing w:line="560" w:lineRule="exact"/>
              <w:jc w:val="right"/>
              <w:rPr>
                <w:rFonts w:ascii="仿宋_GB2312" w:hAnsi="宋体" w:eastAsia="仿宋_GB2312"/>
                <w:sz w:val="24"/>
              </w:rPr>
            </w:pPr>
          </w:p>
        </w:tc>
        <w:tc>
          <w:tcPr>
            <w:tcW w:w="1298" w:type="pct"/>
          </w:tcPr>
          <w:p w14:paraId="1A827AD9">
            <w:pPr>
              <w:widowControl/>
              <w:adjustRightInd w:val="0"/>
              <w:snapToGrid w:val="0"/>
              <w:spacing w:line="560" w:lineRule="exact"/>
              <w:jc w:val="right"/>
              <w:rPr>
                <w:rFonts w:ascii="仿宋_GB2312" w:hAnsi="宋体" w:eastAsia="仿宋_GB2312"/>
                <w:sz w:val="24"/>
              </w:rPr>
            </w:pPr>
          </w:p>
        </w:tc>
        <w:tc>
          <w:tcPr>
            <w:tcW w:w="952" w:type="pct"/>
            <w:noWrap/>
            <w:vAlign w:val="center"/>
          </w:tcPr>
          <w:p w14:paraId="1AAF860A">
            <w:pPr>
              <w:widowControl/>
              <w:adjustRightInd w:val="0"/>
              <w:snapToGrid w:val="0"/>
              <w:spacing w:line="560" w:lineRule="exact"/>
              <w:jc w:val="right"/>
              <w:rPr>
                <w:rFonts w:ascii="仿宋_GB2312" w:hAnsi="宋体" w:eastAsia="仿宋_GB2312"/>
                <w:sz w:val="24"/>
              </w:rPr>
            </w:pPr>
          </w:p>
        </w:tc>
      </w:tr>
      <w:tr w14:paraId="766E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39" w:type="pct"/>
          </w:tcPr>
          <w:p w14:paraId="12C12049">
            <w:pPr>
              <w:spacing w:line="560" w:lineRule="exact"/>
              <w:jc w:val="center"/>
              <w:rPr>
                <w:rFonts w:ascii="仿宋_GB2312" w:hAnsi="宋体" w:eastAsia="仿宋_GB2312"/>
                <w:sz w:val="24"/>
              </w:rPr>
            </w:pPr>
            <w:r>
              <w:rPr>
                <w:rFonts w:hint="eastAsia" w:ascii="仿宋_GB2312" w:hAnsi="宋体" w:eastAsia="仿宋_GB2312"/>
                <w:sz w:val="24"/>
              </w:rPr>
              <w:t>股份合计</w:t>
            </w:r>
          </w:p>
        </w:tc>
        <w:tc>
          <w:tcPr>
            <w:tcW w:w="909" w:type="pct"/>
            <w:noWrap/>
            <w:vAlign w:val="center"/>
          </w:tcPr>
          <w:p w14:paraId="160049C5">
            <w:pPr>
              <w:widowControl/>
              <w:adjustRightInd w:val="0"/>
              <w:snapToGrid w:val="0"/>
              <w:spacing w:line="560" w:lineRule="exact"/>
              <w:jc w:val="right"/>
              <w:rPr>
                <w:rFonts w:ascii="仿宋_GB2312" w:hAnsi="宋体" w:eastAsia="仿宋_GB2312"/>
                <w:sz w:val="24"/>
              </w:rPr>
            </w:pPr>
          </w:p>
        </w:tc>
        <w:tc>
          <w:tcPr>
            <w:tcW w:w="1298" w:type="pct"/>
          </w:tcPr>
          <w:p w14:paraId="241AB55A">
            <w:pPr>
              <w:widowControl/>
              <w:adjustRightInd w:val="0"/>
              <w:snapToGrid w:val="0"/>
              <w:spacing w:line="560" w:lineRule="exact"/>
              <w:jc w:val="right"/>
              <w:rPr>
                <w:rFonts w:ascii="仿宋_GB2312" w:hAnsi="宋体" w:eastAsia="仿宋_GB2312"/>
                <w:sz w:val="24"/>
              </w:rPr>
            </w:pPr>
          </w:p>
        </w:tc>
        <w:tc>
          <w:tcPr>
            <w:tcW w:w="952" w:type="pct"/>
            <w:noWrap/>
            <w:vAlign w:val="center"/>
          </w:tcPr>
          <w:p w14:paraId="2FAC0CAC">
            <w:pPr>
              <w:widowControl/>
              <w:adjustRightInd w:val="0"/>
              <w:snapToGrid w:val="0"/>
              <w:spacing w:line="560" w:lineRule="exact"/>
              <w:jc w:val="right"/>
              <w:rPr>
                <w:rFonts w:ascii="仿宋_GB2312" w:hAnsi="宋体" w:eastAsia="仿宋_GB2312"/>
                <w:sz w:val="24"/>
              </w:rPr>
            </w:pPr>
          </w:p>
        </w:tc>
      </w:tr>
    </w:tbl>
    <w:p w14:paraId="17A8324C">
      <w:pPr>
        <w:widowControl/>
        <w:spacing w:line="560" w:lineRule="exact"/>
        <w:ind w:firstLine="602" w:firstLineChars="200"/>
        <w:rPr>
          <w:rFonts w:ascii="黑体" w:hAnsi="黑体" w:eastAsia="黑体" w:cs="Times New Roman"/>
          <w:b/>
          <w:sz w:val="30"/>
          <w:szCs w:val="30"/>
        </w:rPr>
      </w:pPr>
    </w:p>
    <w:p w14:paraId="2A9E4BE0">
      <w:pPr>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四、回购注销后公司相关股东持股比例变化（如适用）</w:t>
      </w:r>
    </w:p>
    <w:p w14:paraId="15D1A80B">
      <w:pPr>
        <w:adjustRightInd w:val="0"/>
        <w:snapToGrid w:val="0"/>
        <w:spacing w:line="560" w:lineRule="exact"/>
        <w:ind w:firstLine="600" w:firstLineChars="200"/>
        <w:rPr>
          <w:rFonts w:ascii="仿宋" w:hAnsi="仿宋" w:eastAsia="仿宋_GB2312" w:cs="Times New Roman"/>
          <w:sz w:val="30"/>
          <w:szCs w:val="30"/>
        </w:rPr>
      </w:pPr>
      <w:r>
        <w:rPr>
          <w:rFonts w:hint="eastAsia" w:ascii="Times New Roman" w:hAnsi="Times New Roman" w:eastAsia="仿宋_GB2312"/>
          <w:color w:val="000000"/>
          <w:sz w:val="30"/>
          <w:szCs w:val="30"/>
        </w:rPr>
        <w:t>上市公司回购注销股份可能导致</w:t>
      </w:r>
      <w:r>
        <w:rPr>
          <w:rFonts w:hint="eastAsia" w:ascii="Times New Roman" w:hAnsi="Times New Roman" w:eastAsia="仿宋_GB2312" w:cs="Times New Roman"/>
          <w:color w:val="000000"/>
          <w:sz w:val="30"/>
          <w:szCs w:val="30"/>
        </w:rPr>
        <w:t>股东及其一致行动人拥有权益的股份比例触及或者跨越</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及</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的整数倍，或者导致持股</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以上的股东及其一致行动人拥有权益的股份比例触及</w:t>
      </w: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的整数倍。存在前述情况的，上市公司应当</w:t>
      </w:r>
      <w:r>
        <w:rPr>
          <w:rFonts w:hint="eastAsia" w:ascii="仿宋" w:hAnsi="仿宋" w:eastAsia="仿宋_GB2312" w:cs="Times New Roman"/>
          <w:bCs/>
          <w:sz w:val="30"/>
          <w:szCs w:val="30"/>
        </w:rPr>
        <w:t>列示注销前后，上述股东及其一致行动人的持股</w:t>
      </w:r>
      <w:r>
        <w:rPr>
          <w:rFonts w:hint="eastAsia" w:ascii="仿宋" w:hAnsi="仿宋" w:eastAsia="仿宋_GB2312"/>
          <w:bCs/>
          <w:sz w:val="30"/>
          <w:szCs w:val="30"/>
        </w:rPr>
        <w:t>数量和持股比例</w:t>
      </w:r>
      <w:r>
        <w:rPr>
          <w:rFonts w:hint="eastAsia" w:ascii="仿宋" w:hAnsi="仿宋" w:eastAsia="仿宋_GB2312" w:cs="Times New Roman"/>
          <w:bCs/>
          <w:sz w:val="30"/>
          <w:szCs w:val="30"/>
        </w:rPr>
        <w:t>变动情况。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830"/>
        <w:gridCol w:w="1418"/>
        <w:gridCol w:w="1417"/>
        <w:gridCol w:w="1248"/>
        <w:gridCol w:w="1438"/>
      </w:tblGrid>
      <w:tr w14:paraId="78D2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27287568">
            <w:pPr>
              <w:adjustRightInd w:val="0"/>
              <w:snapToGrid w:val="0"/>
              <w:spacing w:line="360" w:lineRule="auto"/>
              <w:jc w:val="center"/>
              <w:rPr>
                <w:rFonts w:ascii="仿宋_GB2312" w:hAnsi="仿宋" w:eastAsia="仿宋_GB2312"/>
                <w:sz w:val="24"/>
              </w:rPr>
            </w:pPr>
            <w:r>
              <w:rPr>
                <w:rFonts w:hint="eastAsia" w:ascii="仿宋_GB2312" w:hAnsi="仿宋" w:eastAsia="仿宋_GB2312"/>
                <w:szCs w:val="21"/>
              </w:rPr>
              <w:t>股东名称</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562CCE3A">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变动前持股数量（股）</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0FF070CC">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变动前持股比例（%）</w:t>
            </w: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162400E7">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变动后持股数量（股）</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7E4359A2">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变动后持股比例（%）</w:t>
            </w:r>
          </w:p>
        </w:tc>
      </w:tr>
      <w:tr w14:paraId="2274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41638626">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股东A及其一致行动人（合并计算）</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221E30F4">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7B48CF9D">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3351A51C">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5E37EC60">
            <w:pPr>
              <w:adjustRightInd w:val="0"/>
              <w:snapToGrid w:val="0"/>
              <w:spacing w:line="360" w:lineRule="auto"/>
              <w:jc w:val="center"/>
              <w:rPr>
                <w:rFonts w:ascii="仿宋_GB2312" w:hAnsi="楷体" w:eastAsia="仿宋_GB2312" w:cs="楷体"/>
                <w:szCs w:val="20"/>
              </w:rPr>
            </w:pPr>
          </w:p>
        </w:tc>
      </w:tr>
      <w:tr w14:paraId="4083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58C29780">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3C3AF7A5">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3D3B4F3B">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275B5F8E">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776D8B3F">
            <w:pPr>
              <w:adjustRightInd w:val="0"/>
              <w:snapToGrid w:val="0"/>
              <w:spacing w:line="360" w:lineRule="auto"/>
              <w:jc w:val="center"/>
              <w:rPr>
                <w:rFonts w:ascii="仿宋_GB2312" w:hAnsi="楷体" w:eastAsia="仿宋_GB2312" w:cs="楷体"/>
                <w:szCs w:val="20"/>
              </w:rPr>
            </w:pPr>
          </w:p>
        </w:tc>
      </w:tr>
      <w:tr w14:paraId="3365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1F372458">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一致行动人1</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217A1558">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63918E7C">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621409C1">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35C721BB">
            <w:pPr>
              <w:adjustRightInd w:val="0"/>
              <w:snapToGrid w:val="0"/>
              <w:spacing w:line="360" w:lineRule="auto"/>
              <w:jc w:val="center"/>
              <w:rPr>
                <w:rFonts w:ascii="仿宋_GB2312" w:hAnsi="楷体" w:eastAsia="仿宋_GB2312" w:cs="楷体"/>
                <w:szCs w:val="20"/>
              </w:rPr>
            </w:pPr>
          </w:p>
        </w:tc>
      </w:tr>
      <w:tr w14:paraId="6042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65DC0936">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一致行动人2</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455A5002">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34BC2C14">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31F3BC74">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6E918907">
            <w:pPr>
              <w:adjustRightInd w:val="0"/>
              <w:snapToGrid w:val="0"/>
              <w:spacing w:line="360" w:lineRule="auto"/>
              <w:jc w:val="center"/>
              <w:rPr>
                <w:rFonts w:ascii="仿宋_GB2312" w:hAnsi="楷体" w:eastAsia="仿宋_GB2312" w:cs="楷体"/>
                <w:szCs w:val="20"/>
              </w:rPr>
            </w:pPr>
          </w:p>
        </w:tc>
      </w:tr>
      <w:tr w14:paraId="26CA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7A9B6A6A">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股东B</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374E5E58">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548616EE">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372A94CF">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779B95B3">
            <w:pPr>
              <w:adjustRightInd w:val="0"/>
              <w:snapToGrid w:val="0"/>
              <w:spacing w:line="360" w:lineRule="auto"/>
              <w:jc w:val="center"/>
              <w:rPr>
                <w:rFonts w:ascii="仿宋_GB2312" w:hAnsi="楷体" w:eastAsia="仿宋_GB2312" w:cs="楷体"/>
                <w:szCs w:val="20"/>
              </w:rPr>
            </w:pPr>
          </w:p>
        </w:tc>
      </w:tr>
    </w:tbl>
    <w:p w14:paraId="4FE65130">
      <w:pPr>
        <w:widowControl/>
        <w:ind w:firstLine="420" w:firstLineChars="200"/>
        <w:rPr>
          <w:rFonts w:ascii="仿宋_GB2312" w:hAnsi="宋体" w:eastAsia="仿宋_GB2312" w:cs="宋体"/>
          <w:color w:val="000000"/>
          <w:kern w:val="0"/>
          <w:sz w:val="24"/>
        </w:rPr>
      </w:pPr>
      <w:r>
        <w:rPr>
          <w:rFonts w:hint="eastAsia" w:ascii="仿宋_GB2312" w:hAnsi="楷体" w:eastAsia="仿宋_GB2312" w:cs="楷体"/>
          <w:szCs w:val="20"/>
        </w:rPr>
        <w:t>注：</w:t>
      </w:r>
      <w:r>
        <w:rPr>
          <w:rFonts w:hint="eastAsia" w:ascii="仿宋_GB2312" w:hAnsi="楷体" w:eastAsia="仿宋_GB2312" w:cs="楷体"/>
        </w:rPr>
        <w:t>股东如有一致行动人参照股东A进行披露，先合并计算持股列示，后单独列示；股东如无一致行动人参照股东B进行披露</w:t>
      </w:r>
      <w:r>
        <w:rPr>
          <w:rFonts w:hint="eastAsia" w:ascii="仿宋_GB2312" w:hAnsi="宋体" w:eastAsia="仿宋_GB2312" w:cs="宋体"/>
          <w:color w:val="000000"/>
          <w:kern w:val="0"/>
          <w:sz w:val="24"/>
        </w:rPr>
        <w:t>。</w:t>
      </w:r>
    </w:p>
    <w:p w14:paraId="51C576B4">
      <w:pPr>
        <w:widowControl/>
        <w:spacing w:line="560" w:lineRule="exact"/>
        <w:ind w:firstLine="602" w:firstLineChars="200"/>
        <w:rPr>
          <w:rFonts w:ascii="黑体" w:hAnsi="黑体" w:eastAsia="黑体" w:cs="Times New Roman"/>
          <w:b/>
          <w:sz w:val="30"/>
          <w:szCs w:val="30"/>
        </w:rPr>
      </w:pPr>
    </w:p>
    <w:p w14:paraId="1F67B02F">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五、说明及承诺</w:t>
      </w:r>
    </w:p>
    <w:p w14:paraId="67DEB7EA">
      <w:pPr>
        <w:adjustRightInd w:val="0"/>
        <w:spacing w:line="560" w:lineRule="exact"/>
        <w:ind w:firstLine="600" w:firstLineChars="200"/>
        <w:rPr>
          <w:rFonts w:ascii="仿宋_GB2312" w:eastAsia="仿宋_GB2312" w:hAnsiTheme="minorEastAsia"/>
          <w:kern w:val="0"/>
          <w:sz w:val="30"/>
          <w:szCs w:val="30"/>
        </w:rPr>
      </w:pPr>
      <w:r>
        <w:rPr>
          <w:rFonts w:hint="eastAsia" w:ascii="仿宋_GB2312" w:eastAsia="仿宋_GB2312" w:hAnsiTheme="minorEastAsia"/>
          <w:kern w:val="0"/>
          <w:sz w:val="30"/>
          <w:szCs w:val="30"/>
        </w:rPr>
        <w:t>公司董事会说明，本次回购注销限制性股票事项涉及的决策程序、信息披露是否符合</w:t>
      </w:r>
      <w:r>
        <w:rPr>
          <w:rFonts w:hint="eastAsia" w:ascii="仿宋_GB2312" w:eastAsia="仿宋_GB2312" w:cs="华文中宋" w:hAnsiTheme="minorEastAsia"/>
          <w:kern w:val="0"/>
          <w:sz w:val="30"/>
          <w:szCs w:val="30"/>
        </w:rPr>
        <w:t>法律、法规、《上市公司股权激励管理办法》的规定和</w:t>
      </w:r>
      <w:r>
        <w:rPr>
          <w:rFonts w:hint="eastAsia" w:ascii="仿宋_GB2312" w:eastAsia="仿宋_GB2312"/>
          <w:kern w:val="0"/>
          <w:sz w:val="30"/>
          <w:szCs w:val="30"/>
        </w:rPr>
        <w:t>公司股权激励计划、限制性股票授予协议的安排，是否存在</w:t>
      </w:r>
      <w:r>
        <w:rPr>
          <w:rFonts w:hint="eastAsia" w:ascii="仿宋_GB2312" w:eastAsia="仿宋_GB2312" w:hAnsiTheme="minorEastAsia"/>
          <w:kern w:val="0"/>
          <w:sz w:val="30"/>
          <w:szCs w:val="30"/>
        </w:rPr>
        <w:t>损害激励对象合法权益及债权人利益的情形。</w:t>
      </w:r>
    </w:p>
    <w:p w14:paraId="664278BA">
      <w:pPr>
        <w:adjustRightInd w:val="0"/>
        <w:spacing w:line="560" w:lineRule="exact"/>
        <w:ind w:firstLine="600" w:firstLineChars="200"/>
        <w:rPr>
          <w:rFonts w:ascii="仿宋_GB2312" w:eastAsia="仿宋_GB2312" w:hAnsiTheme="minorEastAsia"/>
          <w:kern w:val="0"/>
          <w:sz w:val="30"/>
          <w:szCs w:val="30"/>
        </w:rPr>
      </w:pPr>
      <w:r>
        <w:rPr>
          <w:rFonts w:hint="eastAsia" w:ascii="仿宋_GB2312" w:eastAsia="仿宋_GB2312" w:hAnsiTheme="minorEastAsia"/>
          <w:kern w:val="0"/>
          <w:sz w:val="30"/>
          <w:szCs w:val="30"/>
        </w:rPr>
        <w:t>公司承诺：已核实并保证本次回购注销限制性股票涉及的对象、股份数量、注销日期等信息真实、准确、完整，已充分告知相关激励对象本次回购注销事宜，且相关激励对象未就回购注销事宜表示异议。如因本次回购注销与有关激励对象产生纠纷，公司将自行承担由此产生的相关法律责任。</w:t>
      </w:r>
    </w:p>
    <w:p w14:paraId="1F1E66EB">
      <w:pPr>
        <w:adjustRightInd w:val="0"/>
        <w:spacing w:line="560" w:lineRule="exact"/>
        <w:ind w:firstLine="600" w:firstLineChars="200"/>
        <w:rPr>
          <w:rFonts w:ascii="仿宋_GB2312" w:eastAsia="仿宋_GB2312" w:hAnsiTheme="minorEastAsia"/>
          <w:kern w:val="0"/>
          <w:sz w:val="30"/>
          <w:szCs w:val="30"/>
        </w:rPr>
      </w:pPr>
    </w:p>
    <w:p w14:paraId="6C5EF5B3">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六、法律意见书的结论性意见</w:t>
      </w:r>
    </w:p>
    <w:p w14:paraId="1204B3F0">
      <w:pPr>
        <w:autoSpaceDE w:val="0"/>
        <w:autoSpaceDN w:val="0"/>
        <w:adjustRightInd w:val="0"/>
        <w:spacing w:line="560" w:lineRule="exact"/>
        <w:ind w:firstLine="600" w:firstLineChars="200"/>
        <w:jc w:val="left"/>
        <w:rPr>
          <w:rFonts w:ascii="仿宋_GB2312" w:eastAsia="仿宋_GB2312" w:cs="仿宋_GB2312" w:hAnsiTheme="minorEastAsia"/>
          <w:kern w:val="0"/>
          <w:sz w:val="30"/>
          <w:szCs w:val="30"/>
        </w:rPr>
      </w:pPr>
      <w:r>
        <w:rPr>
          <w:rFonts w:hint="eastAsia" w:ascii="仿宋_GB2312" w:eastAsia="仿宋_GB2312" w:cs="仿宋_GB2312" w:hAnsiTheme="minorEastAsia"/>
          <w:kern w:val="0"/>
          <w:sz w:val="30"/>
          <w:szCs w:val="30"/>
        </w:rPr>
        <w:t>律师事务所</w:t>
      </w:r>
      <w:r>
        <w:rPr>
          <w:rFonts w:ascii="仿宋_GB2312" w:eastAsia="仿宋_GB2312" w:cs="仿宋_GB2312" w:hAnsiTheme="minorEastAsia"/>
          <w:kern w:val="0"/>
          <w:sz w:val="30"/>
          <w:szCs w:val="30"/>
        </w:rPr>
        <w:t>应当</w:t>
      </w:r>
      <w:r>
        <w:rPr>
          <w:rFonts w:hint="eastAsia" w:ascii="仿宋_GB2312" w:eastAsia="仿宋_GB2312" w:cs="仿宋_GB2312" w:hAnsiTheme="minorEastAsia"/>
          <w:kern w:val="0"/>
          <w:sz w:val="30"/>
          <w:szCs w:val="30"/>
        </w:rPr>
        <w:t>就本次回购注销限制性股票是否符合注销条件，涉及的对象、股份数量、注销日期，以及决策程序、信息披露等是否符合法律、法规、</w:t>
      </w:r>
      <w:r>
        <w:rPr>
          <w:rFonts w:hint="eastAsia" w:ascii="仿宋_GB2312" w:eastAsia="仿宋_GB2312" w:cs="华文中宋" w:hAnsiTheme="minorEastAsia"/>
          <w:kern w:val="0"/>
          <w:sz w:val="30"/>
          <w:szCs w:val="30"/>
        </w:rPr>
        <w:t>《上市公司股权激励管理办法》的</w:t>
      </w:r>
      <w:r>
        <w:rPr>
          <w:rFonts w:hint="eastAsia" w:ascii="仿宋_GB2312" w:eastAsia="仿宋_GB2312" w:cs="仿宋_GB2312" w:hAnsiTheme="minorEastAsia"/>
          <w:kern w:val="0"/>
          <w:sz w:val="30"/>
          <w:szCs w:val="30"/>
        </w:rPr>
        <w:t>规定和公司股权激励计划、限制性股票授予协议的安排出具专业意见。</w:t>
      </w:r>
    </w:p>
    <w:p w14:paraId="5977C4D8">
      <w:pPr>
        <w:widowControl/>
        <w:spacing w:line="560" w:lineRule="exact"/>
        <w:ind w:firstLine="465"/>
        <w:rPr>
          <w:rFonts w:ascii="仿宋_GB2312" w:eastAsia="仿宋_GB2312"/>
          <w:kern w:val="0"/>
          <w:sz w:val="30"/>
          <w:szCs w:val="30"/>
        </w:rPr>
      </w:pPr>
    </w:p>
    <w:p w14:paraId="62C77752">
      <w:pPr>
        <w:adjustRightInd w:val="0"/>
        <w:snapToGrid w:val="0"/>
        <w:spacing w:line="560" w:lineRule="exact"/>
        <w:ind w:left="480"/>
        <w:rPr>
          <w:rFonts w:ascii="仿宋_GB2312" w:hAnsi="宋体" w:eastAsia="仿宋_GB2312"/>
          <w:sz w:val="30"/>
          <w:szCs w:val="30"/>
        </w:rPr>
      </w:pPr>
      <w:r>
        <w:rPr>
          <w:rFonts w:hint="eastAsia" w:ascii="仿宋_GB2312" w:eastAsia="仿宋_GB2312"/>
          <w:kern w:val="0"/>
          <w:sz w:val="30"/>
          <w:szCs w:val="30"/>
        </w:rPr>
        <w:t>特此公告。</w:t>
      </w:r>
    </w:p>
    <w:p w14:paraId="1939715D">
      <w:pPr>
        <w:adjustRightInd w:val="0"/>
        <w:snapToGrid w:val="0"/>
        <w:spacing w:line="560" w:lineRule="exact"/>
        <w:ind w:right="120" w:firstLine="600" w:firstLineChars="200"/>
        <w:jc w:val="right"/>
        <w:rPr>
          <w:rFonts w:ascii="仿宋_GB2312" w:hAnsi="宋体" w:eastAsia="仿宋_GB2312"/>
          <w:sz w:val="30"/>
          <w:szCs w:val="30"/>
        </w:rPr>
      </w:pPr>
      <w:r>
        <w:rPr>
          <w:rFonts w:hint="eastAsia" w:ascii="仿宋_GB2312" w:hAnsi="宋体" w:eastAsia="仿宋_GB2312"/>
          <w:sz w:val="30"/>
          <w:szCs w:val="30"/>
        </w:rPr>
        <w:t>XXXX股份有限公司董事会</w:t>
      </w:r>
    </w:p>
    <w:p w14:paraId="4BBEB7D4">
      <w:pPr>
        <w:adjustRightInd w:val="0"/>
        <w:snapToGrid w:val="0"/>
        <w:spacing w:line="560" w:lineRule="exact"/>
        <w:ind w:firstLine="750" w:firstLineChars="250"/>
        <w:jc w:val="right"/>
        <w:rPr>
          <w:rFonts w:ascii="仿宋_GB2312" w:hAnsi="宋体" w:eastAsia="仿宋_GB2312"/>
          <w:sz w:val="30"/>
          <w:szCs w:val="30"/>
        </w:rPr>
      </w:pPr>
      <w:r>
        <w:rPr>
          <w:rFonts w:hint="eastAsia" w:ascii="仿宋_GB2312" w:hAnsi="宋体" w:eastAsia="仿宋_GB2312"/>
          <w:sz w:val="30"/>
          <w:szCs w:val="30"/>
        </w:rPr>
        <w:t>年  月  日</w:t>
      </w:r>
    </w:p>
    <w:p w14:paraId="6E9F1EF2">
      <w:pPr>
        <w:numPr>
          <w:ilvl w:val="0"/>
          <w:numId w:val="2"/>
        </w:numPr>
        <w:adjustRightInd w:val="0"/>
        <w:snapToGrid w:val="0"/>
        <w:spacing w:line="560" w:lineRule="exact"/>
        <w:rPr>
          <w:rFonts w:ascii="仿宋_GB2312" w:hAnsi="宋体" w:eastAsia="仿宋_GB2312"/>
          <w:b/>
          <w:bCs/>
          <w:color w:val="000000"/>
          <w:sz w:val="30"/>
          <w:szCs w:val="30"/>
        </w:rPr>
      </w:pPr>
      <w:r>
        <w:rPr>
          <w:rFonts w:hint="eastAsia" w:ascii="仿宋_GB2312" w:hAnsi="宋体" w:eastAsia="仿宋_GB2312"/>
          <w:b/>
          <w:bCs/>
          <w:color w:val="000000"/>
          <w:sz w:val="30"/>
          <w:szCs w:val="30"/>
        </w:rPr>
        <w:t>上网公告文件</w:t>
      </w:r>
    </w:p>
    <w:p w14:paraId="69732F6F">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法律意见书</w:t>
      </w:r>
    </w:p>
    <w:p w14:paraId="735CB02B">
      <w:pPr>
        <w:widowControl/>
        <w:spacing w:line="560" w:lineRule="exact"/>
        <w:rPr>
          <w:rFonts w:ascii="仿宋_GB2312" w:eastAsia="仿宋_GB2312"/>
          <w:kern w:val="0"/>
          <w:sz w:val="30"/>
          <w:szCs w:val="30"/>
        </w:rPr>
      </w:pPr>
    </w:p>
    <w:bookmarkEnd w:id="0"/>
    <w:bookmarkEnd w:id="1"/>
    <w:p w14:paraId="45DF5263">
      <w:r>
        <w:rPr>
          <w:rFonts w:hint="eastAsia" w:ascii="黑体" w:hAnsi="黑体" w:eastAsia="黑体" w:cs="黑体"/>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9233B"/>
    <w:multiLevelType w:val="multilevel"/>
    <w:tmpl w:val="2939233B"/>
    <w:lvl w:ilvl="0" w:tentative="0">
      <w:start w:val="1"/>
      <w:numFmt w:val="bullet"/>
      <w:lvlText w:val=""/>
      <w:lvlJc w:val="left"/>
      <w:pPr>
        <w:ind w:left="0" w:hanging="480"/>
      </w:pPr>
      <w:rPr>
        <w:rFonts w:hint="default" w:ascii="Wingdings" w:hAnsi="Wingdings"/>
      </w:rPr>
    </w:lvl>
    <w:lvl w:ilvl="1" w:tentative="0">
      <w:start w:val="0"/>
      <w:numFmt w:val="bullet"/>
      <w:lvlText w:val="●"/>
      <w:lvlJc w:val="left"/>
      <w:pPr>
        <w:ind w:left="420" w:hanging="480"/>
      </w:pPr>
      <w:rPr>
        <w:rFonts w:hint="eastAsia" w:ascii="宋体" w:hAnsi="宋体" w:eastAsia="宋体" w:cs="Times New Roman"/>
      </w:rPr>
    </w:lvl>
    <w:lvl w:ilvl="2" w:tentative="0">
      <w:start w:val="1"/>
      <w:numFmt w:val="bullet"/>
      <w:lvlText w:val=""/>
      <w:lvlJc w:val="left"/>
      <w:pPr>
        <w:ind w:left="780" w:hanging="420"/>
      </w:pPr>
      <w:rPr>
        <w:rFonts w:hint="default" w:ascii="Wingdings" w:hAnsi="Wingdings"/>
      </w:rPr>
    </w:lvl>
    <w:lvl w:ilvl="3" w:tentative="0">
      <w:start w:val="1"/>
      <w:numFmt w:val="bullet"/>
      <w:lvlText w:val=""/>
      <w:lvlJc w:val="left"/>
      <w:pPr>
        <w:ind w:left="1200" w:hanging="420"/>
      </w:pPr>
      <w:rPr>
        <w:rFonts w:hint="default" w:ascii="Wingdings" w:hAnsi="Wingdings"/>
      </w:rPr>
    </w:lvl>
    <w:lvl w:ilvl="4" w:tentative="0">
      <w:start w:val="1"/>
      <w:numFmt w:val="bullet"/>
      <w:lvlText w:val=""/>
      <w:lvlJc w:val="left"/>
      <w:pPr>
        <w:ind w:left="1620" w:hanging="420"/>
      </w:pPr>
      <w:rPr>
        <w:rFonts w:hint="default" w:ascii="Wingdings" w:hAnsi="Wingdings"/>
      </w:rPr>
    </w:lvl>
    <w:lvl w:ilvl="5" w:tentative="0">
      <w:start w:val="1"/>
      <w:numFmt w:val="bullet"/>
      <w:lvlText w:val=""/>
      <w:lvlJc w:val="left"/>
      <w:pPr>
        <w:ind w:left="2040" w:hanging="420"/>
      </w:pPr>
      <w:rPr>
        <w:rFonts w:hint="default" w:ascii="Wingdings" w:hAnsi="Wingdings"/>
      </w:rPr>
    </w:lvl>
    <w:lvl w:ilvl="6" w:tentative="0">
      <w:start w:val="1"/>
      <w:numFmt w:val="bullet"/>
      <w:lvlText w:val=""/>
      <w:lvlJc w:val="left"/>
      <w:pPr>
        <w:ind w:left="2460" w:hanging="420"/>
      </w:pPr>
      <w:rPr>
        <w:rFonts w:hint="default" w:ascii="Wingdings" w:hAnsi="Wingdings"/>
      </w:rPr>
    </w:lvl>
    <w:lvl w:ilvl="7" w:tentative="0">
      <w:start w:val="1"/>
      <w:numFmt w:val="bullet"/>
      <w:lvlText w:val=""/>
      <w:lvlJc w:val="left"/>
      <w:pPr>
        <w:ind w:left="2880" w:hanging="420"/>
      </w:pPr>
      <w:rPr>
        <w:rFonts w:hint="default" w:ascii="Wingdings" w:hAnsi="Wingdings"/>
      </w:rPr>
    </w:lvl>
    <w:lvl w:ilvl="8" w:tentative="0">
      <w:start w:val="1"/>
      <w:numFmt w:val="bullet"/>
      <w:lvlText w:val=""/>
      <w:lvlJc w:val="left"/>
      <w:pPr>
        <w:ind w:left="3300" w:hanging="420"/>
      </w:pPr>
      <w:rPr>
        <w:rFonts w:hint="default" w:ascii="Wingdings" w:hAnsi="Wingdings"/>
      </w:rPr>
    </w:lvl>
  </w:abstractNum>
  <w:abstractNum w:abstractNumId="1">
    <w:nsid w:val="684148F5"/>
    <w:multiLevelType w:val="multilevel"/>
    <w:tmpl w:val="684148F5"/>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43399"/>
    <w:rsid w:val="000E46AF"/>
    <w:rsid w:val="00156493"/>
    <w:rsid w:val="00336244"/>
    <w:rsid w:val="00400D80"/>
    <w:rsid w:val="004E02BB"/>
    <w:rsid w:val="00566281"/>
    <w:rsid w:val="00574AE7"/>
    <w:rsid w:val="005A3581"/>
    <w:rsid w:val="00707EF8"/>
    <w:rsid w:val="00733ADC"/>
    <w:rsid w:val="007721D3"/>
    <w:rsid w:val="00785049"/>
    <w:rsid w:val="007D2FA9"/>
    <w:rsid w:val="00885569"/>
    <w:rsid w:val="00917525"/>
    <w:rsid w:val="00992C04"/>
    <w:rsid w:val="009C3C9B"/>
    <w:rsid w:val="00A928E8"/>
    <w:rsid w:val="00B36773"/>
    <w:rsid w:val="00B70E64"/>
    <w:rsid w:val="00BC6C41"/>
    <w:rsid w:val="00C67507"/>
    <w:rsid w:val="00D27629"/>
    <w:rsid w:val="00D7075C"/>
    <w:rsid w:val="00DD4DA9"/>
    <w:rsid w:val="00DF353C"/>
    <w:rsid w:val="00E144BE"/>
    <w:rsid w:val="00E157FB"/>
    <w:rsid w:val="00F25704"/>
    <w:rsid w:val="00F94F8C"/>
    <w:rsid w:val="00FA312D"/>
    <w:rsid w:val="00FD2210"/>
    <w:rsid w:val="02E226C9"/>
    <w:rsid w:val="36AF4603"/>
    <w:rsid w:val="38DE31DB"/>
    <w:rsid w:val="3FD71BE2"/>
    <w:rsid w:val="505828CE"/>
    <w:rsid w:val="513E52AA"/>
    <w:rsid w:val="58234401"/>
    <w:rsid w:val="58E35C71"/>
    <w:rsid w:val="599A6232"/>
    <w:rsid w:val="63343399"/>
    <w:rsid w:val="63825CDF"/>
    <w:rsid w:val="68042AA8"/>
    <w:rsid w:val="6A61676C"/>
    <w:rsid w:val="6D060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qFormat/>
    <w:uiPriority w:val="99"/>
    <w:rPr>
      <w:rFonts w:ascii="Times New Roman" w:hAnsi="Times New Roman" w:eastAsia="宋体" w:cs="Times New Roman"/>
      <w:szCs w:val="21"/>
    </w:rPr>
  </w:style>
  <w:style w:type="paragraph" w:styleId="5">
    <w:name w:val="Balloon Text"/>
    <w:basedOn w:val="1"/>
    <w:link w:val="20"/>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link w:val="18"/>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p0"/>
    <w:basedOn w:val="1"/>
    <w:qFormat/>
    <w:uiPriority w:val="0"/>
    <w:pPr>
      <w:widowControl/>
    </w:pPr>
    <w:rPr>
      <w:rFonts w:ascii="Book Antiqua" w:hAnsi="Book Antiqua" w:cs="宋体"/>
      <w:kern w:val="0"/>
      <w:sz w:val="24"/>
    </w:rPr>
  </w:style>
  <w:style w:type="paragraph" w:customStyle="1" w:styleId="16">
    <w:name w:val="列出段落1"/>
    <w:basedOn w:val="1"/>
    <w:qFormat/>
    <w:uiPriority w:val="34"/>
    <w:pPr>
      <w:ind w:firstLine="420" w:firstLineChars="200"/>
    </w:pPr>
    <w:rPr>
      <w:rFonts w:ascii="Calibri" w:hAnsi="Calibri" w:eastAsia="宋体" w:cs="Times New Roman"/>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页眉 字符"/>
    <w:basedOn w:val="12"/>
    <w:link w:val="7"/>
    <w:qFormat/>
    <w:uiPriority w:val="0"/>
    <w:rPr>
      <w:rFonts w:asciiTheme="minorHAnsi" w:hAnsiTheme="minorHAnsi" w:eastAsiaTheme="minorEastAsia" w:cstheme="minorBidi"/>
      <w:kern w:val="2"/>
      <w:sz w:val="18"/>
      <w:szCs w:val="18"/>
    </w:rPr>
  </w:style>
  <w:style w:type="paragraph" w:customStyle="1" w:styleId="19">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批注框文本 字符"/>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862</Words>
  <Characters>872</Characters>
  <Lines>87</Lines>
  <Paragraphs>61</Paragraphs>
  <TotalTime>0</TotalTime>
  <ScaleCrop>false</ScaleCrop>
  <LinksUpToDate>false</LinksUpToDate>
  <CharactersWithSpaces>1673</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2025-04-02T01:58:00Z</dcterms:created>
  <dc:creator>ylteng</dc:creator>
  <cp:lastModifiedBy>yjqin</cp:lastModifiedBy>
  <dcterms:modified xsi:type="dcterms:W3CDTF">2025-08-25T08:36:16Z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E172A3B1A821460D9F919638DE0CB3B7</vt:lpwstr>
  </property>
</Properties>
</file>