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71882">
      <w:pPr>
        <w:pStyle w:val="2"/>
        <w:spacing w:before="0" w:after="0" w:line="600" w:lineRule="exact"/>
        <w:jc w:val="center"/>
        <w:rPr>
          <w:rFonts w:ascii="黑体" w:hAnsi="黑体" w:eastAsia="黑体"/>
          <w:sz w:val="36"/>
          <w:szCs w:val="36"/>
        </w:rPr>
      </w:pPr>
      <w:bookmarkStart w:id="0" w:name="_Toc359483103"/>
      <w:bookmarkStart w:id="1" w:name="_Toc531799961"/>
      <w:bookmarkStart w:id="2" w:name="_Toc501975074"/>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separate"/>
      </w:r>
      <w:r>
        <w:rPr>
          <w:rFonts w:ascii="黑体" w:hAnsi="黑体" w:eastAsia="黑体"/>
          <w:sz w:val="36"/>
          <w:szCs w:val="36"/>
        </w:rPr>
        <w:fldChar w:fldCharType="end"/>
      </w:r>
      <w:r>
        <w:rPr>
          <w:rFonts w:hint="eastAsia" w:ascii="黑体" w:hAnsi="黑体" w:eastAsia="黑体"/>
          <w:sz w:val="36"/>
          <w:szCs w:val="36"/>
        </w:rPr>
        <w:t>第十六号 科创板上市公司会计差错更正、会计政策或会计估计变更</w:t>
      </w:r>
      <w:bookmarkEnd w:id="0"/>
      <w:bookmarkEnd w:id="1"/>
      <w:bookmarkEnd w:id="2"/>
      <w:r>
        <w:rPr>
          <w:rFonts w:hint="eastAsia" w:ascii="黑体" w:hAnsi="黑体" w:eastAsia="黑体"/>
          <w:sz w:val="36"/>
          <w:szCs w:val="36"/>
        </w:rPr>
        <w:t>公告</w:t>
      </w:r>
    </w:p>
    <w:p w14:paraId="50E9B704">
      <w:pPr>
        <w:spacing w:line="600" w:lineRule="exact"/>
        <w:rPr>
          <w:rFonts w:ascii="宋体" w:hAnsi="宋体"/>
          <w:szCs w:val="21"/>
        </w:rPr>
      </w:pPr>
    </w:p>
    <w:p w14:paraId="484423A8">
      <w:pPr>
        <w:adjustRightInd w:val="0"/>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65902327">
      <w:pPr>
        <w:adjustRightInd w:val="0"/>
        <w:snapToGrid w:val="0"/>
        <w:spacing w:line="600" w:lineRule="exact"/>
        <w:ind w:firstLine="600" w:firstLineChars="200"/>
        <w:rPr>
          <w:rFonts w:ascii="仿宋_GB2312" w:hAnsi="宋体" w:eastAsia="仿宋_GB2312"/>
          <w:bCs/>
          <w:sz w:val="30"/>
          <w:szCs w:val="30"/>
        </w:rPr>
      </w:pPr>
      <w:r>
        <w:rPr>
          <w:rFonts w:ascii="仿宋_GB2312" w:hAnsi="宋体" w:eastAsia="仿宋_GB2312"/>
          <w:bCs/>
          <w:sz w:val="30"/>
          <w:szCs w:val="30"/>
        </w:rPr>
        <w:t>1</w:t>
      </w:r>
      <w:r>
        <w:rPr>
          <w:rFonts w:hint="eastAsia" w:ascii="仿宋_GB2312" w:hAnsi="宋体" w:eastAsia="仿宋_GB2312"/>
          <w:bCs/>
          <w:sz w:val="30"/>
          <w:szCs w:val="30"/>
        </w:rPr>
        <w:t>.科创板上市公司（以下简称上市公司）会计差错更正、会计政策或会计估计变更达到《上海证券交易所科创板股票上市规则》规定的披露标准，适用本公告格式指引。</w:t>
      </w:r>
    </w:p>
    <w:p w14:paraId="3841DFE1">
      <w:pPr>
        <w:adjustRightInd w:val="0"/>
        <w:snapToGrid w:val="0"/>
        <w:spacing w:line="600" w:lineRule="exact"/>
        <w:ind w:firstLine="600" w:firstLineChars="200"/>
        <w:rPr>
          <w:rFonts w:ascii="仿宋_GB2312" w:hAnsi="宋体" w:eastAsia="仿宋_GB2312"/>
          <w:bCs/>
          <w:sz w:val="30"/>
          <w:szCs w:val="30"/>
        </w:rPr>
      </w:pPr>
      <w:r>
        <w:rPr>
          <w:rFonts w:ascii="仿宋_GB2312" w:hAnsi="宋体" w:eastAsia="仿宋_GB2312"/>
          <w:bCs/>
          <w:sz w:val="30"/>
          <w:szCs w:val="30"/>
        </w:rPr>
        <w:t>2</w:t>
      </w:r>
      <w:r>
        <w:rPr>
          <w:rFonts w:hint="eastAsia" w:ascii="仿宋_GB2312" w:hAnsi="宋体" w:eastAsia="仿宋_GB2312"/>
          <w:bCs/>
          <w:sz w:val="30"/>
          <w:szCs w:val="30"/>
        </w:rPr>
        <w:t>. 上市公司依据企业会计准则需要在财务报表附注中进行说明的会计差错更正、会计政策或会计估计变更，适用本公告格式指引。</w:t>
      </w:r>
    </w:p>
    <w:p w14:paraId="13D4C939">
      <w:pPr>
        <w:adjustRightInd w:val="0"/>
        <w:snapToGrid w:val="0"/>
        <w:spacing w:line="600" w:lineRule="exact"/>
        <w:ind w:firstLine="600" w:firstLineChars="200"/>
        <w:rPr>
          <w:rFonts w:ascii="仿宋_GB2312" w:hAnsi="宋体" w:eastAsia="仿宋_GB2312"/>
          <w:bCs/>
          <w:sz w:val="30"/>
          <w:szCs w:val="30"/>
        </w:rPr>
      </w:pPr>
      <w:r>
        <w:rPr>
          <w:rFonts w:ascii="仿宋_GB2312" w:hAnsi="宋体" w:eastAsia="仿宋_GB2312"/>
          <w:bCs/>
          <w:sz w:val="30"/>
          <w:szCs w:val="30"/>
        </w:rPr>
        <w:t>3</w:t>
      </w:r>
      <w:r>
        <w:rPr>
          <w:rFonts w:hint="eastAsia" w:ascii="仿宋_GB2312" w:hAnsi="宋体" w:eastAsia="仿宋_GB2312"/>
          <w:bCs/>
          <w:sz w:val="30"/>
          <w:szCs w:val="30"/>
        </w:rPr>
        <w:t>.上市公司会计差错更正披露除按照本公告格式指引披露外，还应遵守《公开发行证券的公司信息披露编报规则第</w:t>
      </w:r>
      <w:r>
        <w:rPr>
          <w:rFonts w:ascii="仿宋_GB2312" w:hAnsi="宋体" w:eastAsia="仿宋_GB2312"/>
          <w:bCs/>
          <w:sz w:val="30"/>
          <w:szCs w:val="30"/>
        </w:rPr>
        <w:t>19号——财务信息的更正及相关披露》（</w:t>
      </w:r>
      <w:r>
        <w:rPr>
          <w:rFonts w:hint="eastAsia" w:ascii="仿宋_GB2312" w:hAnsi="宋体" w:eastAsia="仿宋_GB2312"/>
          <w:bCs/>
          <w:sz w:val="30"/>
          <w:szCs w:val="30"/>
        </w:rPr>
        <w:t>以下简称《</w:t>
      </w:r>
      <w:r>
        <w:rPr>
          <w:rFonts w:ascii="仿宋_GB2312" w:hAnsi="宋体" w:eastAsia="仿宋_GB2312"/>
          <w:bCs/>
          <w:sz w:val="30"/>
          <w:szCs w:val="30"/>
        </w:rPr>
        <w:t>19号编报规则</w:t>
      </w:r>
      <w:r>
        <w:rPr>
          <w:rFonts w:hint="eastAsia" w:ascii="仿宋_GB2312" w:hAnsi="宋体" w:eastAsia="仿宋_GB2312"/>
          <w:bCs/>
          <w:sz w:val="30"/>
          <w:szCs w:val="30"/>
        </w:rPr>
        <w:t>》</w:t>
      </w:r>
      <w:r>
        <w:rPr>
          <w:rFonts w:ascii="仿宋_GB2312" w:hAnsi="宋体" w:eastAsia="仿宋_GB2312"/>
          <w:bCs/>
          <w:sz w:val="30"/>
          <w:szCs w:val="30"/>
        </w:rPr>
        <w:t>）</w:t>
      </w:r>
      <w:r>
        <w:rPr>
          <w:rFonts w:hint="eastAsia" w:ascii="仿宋_GB2312" w:hAnsi="宋体" w:eastAsia="仿宋_GB2312"/>
          <w:bCs/>
          <w:sz w:val="30"/>
          <w:szCs w:val="30"/>
        </w:rPr>
        <w:t>的相关要求。</w:t>
      </w:r>
    </w:p>
    <w:p w14:paraId="7415BE57">
      <w:pPr>
        <w:adjustRightInd w:val="0"/>
        <w:snapToGrid w:val="0"/>
        <w:spacing w:line="600" w:lineRule="exact"/>
        <w:ind w:firstLine="588" w:firstLineChars="196"/>
        <w:rPr>
          <w:rFonts w:ascii="仿宋_GB2312" w:hAnsi="宋体" w:eastAsia="仿宋_GB2312"/>
          <w:bCs/>
          <w:sz w:val="30"/>
          <w:szCs w:val="30"/>
        </w:rPr>
      </w:pPr>
    </w:p>
    <w:p w14:paraId="329A436F">
      <w:pPr>
        <w:adjustRightInd w:val="0"/>
        <w:snapToGrid w:val="0"/>
        <w:spacing w:line="600" w:lineRule="exact"/>
        <w:ind w:firstLine="252" w:firstLineChars="84"/>
        <w:rPr>
          <w:rFonts w:ascii="仿宋_GB2312" w:hAnsi="宋体" w:eastAsia="仿宋_GB2312"/>
          <w:bCs/>
          <w:sz w:val="30"/>
          <w:szCs w:val="30"/>
        </w:rPr>
      </w:pPr>
      <w:r>
        <w:rPr>
          <w:rFonts w:hint="eastAsia" w:ascii="仿宋_GB2312" w:hAnsi="宋体" w:eastAsia="仿宋_GB2312"/>
          <w:bCs/>
          <w:sz w:val="30"/>
          <w:szCs w:val="30"/>
        </w:rPr>
        <w:t>证券代码：</w:t>
      </w:r>
      <w:r>
        <w:rPr>
          <w:rFonts w:ascii="仿宋_GB2312" w:hAnsi="宋体" w:eastAsia="仿宋_GB2312"/>
          <w:bCs/>
          <w:sz w:val="30"/>
          <w:szCs w:val="30"/>
        </w:rPr>
        <w:t xml:space="preserve">             </w:t>
      </w:r>
      <w:r>
        <w:rPr>
          <w:rFonts w:hint="eastAsia" w:ascii="仿宋_GB2312" w:hAnsi="宋体" w:eastAsia="仿宋_GB2312"/>
          <w:bCs/>
          <w:sz w:val="30"/>
          <w:szCs w:val="30"/>
        </w:rPr>
        <w:t>证券简称：</w:t>
      </w:r>
      <w:r>
        <w:rPr>
          <w:rFonts w:ascii="仿宋_GB2312" w:hAnsi="宋体" w:eastAsia="仿宋_GB2312"/>
          <w:bCs/>
          <w:sz w:val="30"/>
          <w:szCs w:val="30"/>
        </w:rPr>
        <w:t xml:space="preserve">            </w:t>
      </w:r>
      <w:r>
        <w:rPr>
          <w:rFonts w:hint="eastAsia" w:ascii="仿宋_GB2312" w:hAnsi="宋体" w:eastAsia="仿宋_GB2312"/>
          <w:bCs/>
          <w:sz w:val="30"/>
          <w:szCs w:val="30"/>
        </w:rPr>
        <w:t>公告编号：</w:t>
      </w:r>
    </w:p>
    <w:p w14:paraId="44D9C703">
      <w:pPr>
        <w:adjustRightInd w:val="0"/>
        <w:snapToGrid w:val="0"/>
        <w:spacing w:line="600" w:lineRule="exact"/>
        <w:ind w:firstLine="588" w:firstLineChars="196"/>
        <w:rPr>
          <w:rFonts w:ascii="仿宋_GB2312" w:hAnsi="宋体" w:eastAsia="仿宋_GB2312"/>
          <w:bCs/>
          <w:sz w:val="30"/>
          <w:szCs w:val="30"/>
        </w:rPr>
      </w:pPr>
    </w:p>
    <w:p w14:paraId="41014E3F">
      <w:pPr>
        <w:spacing w:line="600" w:lineRule="exact"/>
        <w:jc w:val="center"/>
        <w:rPr>
          <w:rFonts w:ascii="仿宋_GB2312" w:hAnsi="宋体" w:eastAsia="仿宋_GB2312"/>
          <w:bCs/>
          <w:sz w:val="30"/>
          <w:szCs w:val="30"/>
        </w:rPr>
      </w:pPr>
      <w:r>
        <w:rPr>
          <w:rFonts w:ascii="仿宋_GB2312" w:hAnsi="宋体" w:eastAsia="仿宋_GB2312"/>
          <w:bCs/>
          <w:sz w:val="30"/>
          <w:szCs w:val="30"/>
        </w:rPr>
        <w:t>XXXX股份有限公司会计差错、会计政策或会计估计变更公告</w:t>
      </w:r>
    </w:p>
    <w:p w14:paraId="2D5E6EEC">
      <w:pPr>
        <w:adjustRightInd w:val="0"/>
        <w:snapToGrid w:val="0"/>
        <w:spacing w:line="600" w:lineRule="exact"/>
        <w:ind w:firstLine="510"/>
        <w:jc w:val="center"/>
        <w:rPr>
          <w:rFonts w:ascii="仿宋_GB2312" w:hAnsi="宋体" w:eastAsia="仿宋_GB2312"/>
          <w:bCs/>
          <w:sz w:val="30"/>
          <w:szCs w:val="30"/>
        </w:rPr>
      </w:pPr>
    </w:p>
    <w:p w14:paraId="795078C3">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5CF5DB91">
      <w:pPr>
        <w:pBdr>
          <w:top w:val="single" w:color="auto" w:sz="4" w:space="1"/>
          <w:left w:val="single" w:color="auto" w:sz="4" w:space="4"/>
          <w:bottom w:val="single" w:color="auto" w:sz="4" w:space="1"/>
          <w:right w:val="single" w:color="auto" w:sz="4" w:space="4"/>
        </w:pBdr>
        <w:adjustRightInd w:val="0"/>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p w14:paraId="5A570CC3">
      <w:pPr>
        <w:adjustRightInd w:val="0"/>
        <w:snapToGrid w:val="0"/>
        <w:spacing w:line="600" w:lineRule="exact"/>
        <w:ind w:firstLine="600" w:firstLineChars="200"/>
        <w:rPr>
          <w:rFonts w:ascii="仿宋_GB2312" w:hAnsi="宋体" w:eastAsia="仿宋_GB2312"/>
          <w:color w:val="000000"/>
          <w:sz w:val="30"/>
          <w:szCs w:val="30"/>
        </w:rPr>
      </w:pPr>
    </w:p>
    <w:p w14:paraId="5199D816">
      <w:pPr>
        <w:adjustRightInd w:val="0"/>
        <w:snapToGrid w:val="0"/>
        <w:spacing w:line="600" w:lineRule="exact"/>
        <w:ind w:firstLine="602" w:firstLineChars="200"/>
        <w:rPr>
          <w:rFonts w:ascii="仿宋_GB2312" w:hAnsi="宋体" w:eastAsia="仿宋_GB2312"/>
          <w:b/>
          <w:bCs/>
          <w:sz w:val="30"/>
          <w:szCs w:val="30"/>
        </w:rPr>
      </w:pPr>
      <w:r>
        <w:rPr>
          <w:rFonts w:hint="eastAsia" w:ascii="仿宋_GB2312" w:hAnsi="宋体" w:eastAsia="仿宋_GB2312"/>
          <w:b/>
          <w:bCs/>
          <w:sz w:val="30"/>
          <w:szCs w:val="30"/>
        </w:rPr>
        <w:t>重要内容提示：</w:t>
      </w:r>
    </w:p>
    <w:p w14:paraId="2B413D3A">
      <w:pPr>
        <w:numPr>
          <w:ilvl w:val="0"/>
          <w:numId w:val="1"/>
        </w:numPr>
        <w:tabs>
          <w:tab w:val="clear" w:pos="420"/>
        </w:tabs>
        <w:adjustRightInd w:val="0"/>
        <w:snapToGrid w:val="0"/>
        <w:spacing w:line="600" w:lineRule="exact"/>
        <w:ind w:left="0" w:firstLine="600" w:firstLineChars="200"/>
        <w:rPr>
          <w:rFonts w:ascii="仿宋_GB2312" w:hAnsi="宋体" w:eastAsia="仿宋_GB2312"/>
          <w:bCs/>
          <w:sz w:val="30"/>
          <w:szCs w:val="30"/>
        </w:rPr>
      </w:pPr>
      <w:r>
        <w:rPr>
          <w:rFonts w:hint="eastAsia" w:ascii="仿宋_GB2312" w:hAnsi="宋体" w:eastAsia="仿宋_GB2312"/>
          <w:bCs/>
          <w:sz w:val="30"/>
          <w:szCs w:val="30"/>
        </w:rPr>
        <w:t>会计差错更正、会计政策或会计估计变更对上市公司损益、总资产、净资产等的影响。</w:t>
      </w:r>
    </w:p>
    <w:p w14:paraId="387B3B47">
      <w:pPr>
        <w:adjustRightInd w:val="0"/>
        <w:snapToGrid w:val="0"/>
        <w:spacing w:line="600" w:lineRule="exact"/>
        <w:ind w:firstLine="200"/>
        <w:rPr>
          <w:rFonts w:ascii="仿宋_GB2312" w:hAnsi="宋体" w:eastAsia="仿宋_GB2312"/>
          <w:bCs/>
          <w:sz w:val="30"/>
          <w:szCs w:val="30"/>
        </w:rPr>
      </w:pPr>
    </w:p>
    <w:p w14:paraId="43996C9D">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一、概述</w:t>
      </w:r>
    </w:p>
    <w:p w14:paraId="40E7383B">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公司应简单说明本次会计差错、会计政策或会计估计变更的内容。</w:t>
      </w:r>
    </w:p>
    <w:p w14:paraId="47923D6F">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公司应说明董事会审议会计差错、会计政策或会计估计变更的表决情况。董事反对或弃权的，应当披露反对或弃权理由。</w:t>
      </w:r>
    </w:p>
    <w:p w14:paraId="20E885F1">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对于需要提交股东会批准的前述事项，应当在公告中特别载明：上述事项“尚需要提交股东会批准。”</w:t>
      </w:r>
    </w:p>
    <w:p w14:paraId="50DA0CB3">
      <w:pPr>
        <w:widowControl/>
        <w:spacing w:line="600" w:lineRule="exact"/>
        <w:ind w:firstLine="600" w:firstLineChars="200"/>
        <w:rPr>
          <w:rFonts w:ascii="仿宋_GB2312" w:hAnsi="宋体" w:eastAsia="仿宋_GB2312" w:cs="宋体"/>
          <w:color w:val="000000"/>
          <w:kern w:val="0"/>
          <w:sz w:val="30"/>
          <w:szCs w:val="30"/>
        </w:rPr>
      </w:pPr>
    </w:p>
    <w:p w14:paraId="61C2F977">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二、具体情况及对公司的影响</w:t>
      </w:r>
    </w:p>
    <w:p w14:paraId="63732C4A">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（一）重大会计差错</w:t>
      </w:r>
    </w:p>
    <w:p w14:paraId="5CBF14BF">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公司应披露如下内容（包括但不限于）：</w:t>
      </w:r>
    </w:p>
    <w:p w14:paraId="6B30C65E">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更正事项对公司财务状况</w:t>
      </w:r>
      <w:r>
        <w:rPr>
          <w:rFonts w:hint="eastAsia" w:ascii="仿宋_GB2312" w:hAnsi="宋体" w:eastAsia="仿宋_GB2312" w:cs="宋体"/>
          <w:color w:val="000000"/>
          <w:kern w:val="0"/>
          <w:sz w:val="30"/>
          <w:szCs w:val="30"/>
        </w:rPr>
        <w:t>、经营成果和现金流量的影响及更正后的财务指标，包括但不限于各个列报前期财务报表中受影响的项目名称、更正金额、财务指标及相关财务报表附注。</w:t>
      </w:r>
    </w:p>
    <w:p w14:paraId="097B5846">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如果更正事项涉及公司资产重组相关业绩承诺的，还应当说明更正事项对业绩承诺完成情况的影响。</w:t>
      </w:r>
    </w:p>
    <w:p w14:paraId="652EEE85">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.更正后经审计年度财务报表和涉及更正事项的相关财务报表附注，以及会计师事务所出具的审计报告或专项鉴证报告；</w:t>
      </w:r>
    </w:p>
    <w:p w14:paraId="1D2D860C">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如果公司对年度财务报表进行更正，但不能及时披露更正后经审计的财务报表及审计报告或专项鉴证报告，公司应就此更正事项及时刊登“提示性公告”，并应当在该临时公告公布之日起两个月内完成披露。</w:t>
      </w:r>
    </w:p>
    <w:p w14:paraId="49DD82EB">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3.更正后的中期财务报表及涉及更正事项的相关财务报表附注。</w:t>
      </w:r>
    </w:p>
    <w:p w14:paraId="19C0604C">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4.确定前期差错影响数不切实可行而无法进行追溯重述的（例如因火灾导致企业账簿毁坏无法确定影响数的），应说明该事实和原因以及对前期差错开始进行更正的时点、具体更正情况。</w:t>
      </w:r>
    </w:p>
    <w:p w14:paraId="25029C40">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5</w:t>
      </w:r>
      <w:r>
        <w:rPr>
          <w:rFonts w:hint="eastAsia" w:ascii="仿宋_GB2312" w:hAnsi="宋体" w:eastAsia="仿宋_GB2312" w:cs="宋体"/>
          <w:color w:val="000000"/>
          <w:kern w:val="0"/>
          <w:sz w:val="30"/>
          <w:szCs w:val="30"/>
        </w:rPr>
        <w:t>.公司董事会和管理层对更正事项的性质及原因的说明。存在责任人的，公司应披露董事会对有关责任人采取的问责措施及处理结果。如果不存在责任人的，应当说明原因。</w:t>
      </w:r>
    </w:p>
    <w:p w14:paraId="0EB636A0">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（二）会计政策变更</w:t>
      </w:r>
    </w:p>
    <w:p w14:paraId="212B0AE4">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会计政策变更的性质、内容和原因。包括：对会计政策变更的简要阐述、变更的日期、变更前采用的会计政策和变更后所采用的新会计政策及会计政策变更的原因。</w:t>
      </w:r>
    </w:p>
    <w:p w14:paraId="647E34DF">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当期和各个列报前期财务报表中受影响的项目名称和调整金额。包括：采用追溯调整法时，计算出的会计政策变更的累积影响数；当期和各个列报前期财务报表中需要调整的净损益及其影响金额，以及其他需要调整的项目名称和调整金额。</w:t>
      </w:r>
    </w:p>
    <w:p w14:paraId="3BE27878">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无法进行追溯调整的，说明事实和原因以及开始应用变更后的会计政策的时点、具体应用情况。包括：无法进行追溯调整的事实；确定会计政策变更对列报前期影响数不切实可行的原因；在当期期初确定会计政策变更对以前各期累积影响数不切实可行的原因；开始应用新会计政策的时点和具体应用情况。</w:t>
      </w:r>
    </w:p>
    <w:p w14:paraId="32B62054">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（三）会计估计变更</w:t>
      </w:r>
    </w:p>
    <w:p w14:paraId="64FFEE9C">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会计估计变更的内容和原因。包括变更的内容、变更日期以及会计估计变更的原因。</w:t>
      </w:r>
    </w:p>
    <w:p w14:paraId="7012EDF2">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会计估计变更对当期和未来期间的影响数。包括会计估计变更对当期和未来期间损益的影响金额，以及对其他各项目的影响金额。</w:t>
      </w:r>
    </w:p>
    <w:p w14:paraId="5AA9EBA4">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会计估计变更的影响数不能确定的，披露这一事实和原因。</w:t>
      </w:r>
    </w:p>
    <w:p w14:paraId="6C5BA572">
      <w:pPr>
        <w:widowControl/>
        <w:spacing w:line="6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公司需要分析会计估计变更日前三年，假设运用该会计估计对公司利润总额、净资产或总资产的影响。</w:t>
      </w:r>
    </w:p>
    <w:p w14:paraId="79FF18C2">
      <w:pPr>
        <w:widowControl/>
        <w:spacing w:line="600" w:lineRule="exact"/>
        <w:ind w:firstLine="600" w:firstLineChars="200"/>
        <w:rPr>
          <w:rFonts w:ascii="仿宋_GB2312" w:hAnsi="宋体" w:eastAsia="仿宋_GB2312" w:cs="宋体"/>
          <w:color w:val="000000"/>
          <w:kern w:val="0"/>
          <w:sz w:val="30"/>
          <w:szCs w:val="30"/>
        </w:rPr>
      </w:pPr>
    </w:p>
    <w:p w14:paraId="0FFF78CC">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三、会计师事务所的结论性意见</w:t>
      </w:r>
    </w:p>
    <w:p w14:paraId="2E7E944C">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公司应披露会计师事务所对上述事项的结论性意见。会计师事务所的意见应当包括：上述变更、更正的原因；具体的会计处理；会计政策或会计估计变更是趋向稳健还是激进；如涉及追溯调整的，对以往各年度财务状况和经营成果的影响金额；如涉及更换会计师事务所的，是否就相关事项与前任会计师事务所进行了必要的沟通等。</w:t>
      </w:r>
    </w:p>
    <w:p w14:paraId="05A4AEB5">
      <w:pPr>
        <w:spacing w:line="600" w:lineRule="exact"/>
        <w:ind w:firstLine="643" w:firstLineChars="200"/>
        <w:rPr>
          <w:rFonts w:ascii="黑体" w:hAnsi="黑体" w:eastAsia="黑体" w:cs="宋体"/>
          <w:b/>
          <w:color w:val="000000"/>
          <w:kern w:val="0"/>
          <w:sz w:val="32"/>
          <w:szCs w:val="32"/>
        </w:rPr>
      </w:pPr>
    </w:p>
    <w:p w14:paraId="1964C343">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四、审计委员会审议情况</w:t>
      </w:r>
    </w:p>
    <w:p w14:paraId="5CFFB1FA">
      <w:pPr>
        <w:spacing w:line="600" w:lineRule="exact"/>
        <w:ind w:firstLine="643" w:firstLineChars="200"/>
        <w:rPr>
          <w:rFonts w:ascii="黑体" w:hAnsi="黑体" w:eastAsia="黑体" w:cs="宋体"/>
          <w:b/>
          <w:color w:val="000000"/>
          <w:kern w:val="0"/>
          <w:sz w:val="32"/>
          <w:szCs w:val="32"/>
        </w:rPr>
      </w:pPr>
    </w:p>
    <w:p w14:paraId="77A3F150">
      <w:pPr>
        <w:widowControl/>
        <w:spacing w:line="600" w:lineRule="exact"/>
        <w:ind w:firstLine="643" w:firstLineChars="200"/>
        <w:rPr>
          <w:rFonts w:ascii="仿宋_GB2312" w:hAnsi="宋体" w:eastAsia="仿宋_GB2312" w:cs="宋体"/>
          <w:color w:val="000000"/>
          <w:kern w:val="0"/>
          <w:sz w:val="30"/>
          <w:szCs w:val="30"/>
        </w:rPr>
      </w:pPr>
      <w:r>
        <w:rPr>
          <w:rFonts w:hint="eastAsia" w:ascii="黑体" w:hAnsi="黑体" w:eastAsia="黑体" w:cs="宋体"/>
          <w:b/>
          <w:color w:val="000000"/>
          <w:kern w:val="0"/>
          <w:sz w:val="32"/>
          <w:szCs w:val="32"/>
        </w:rPr>
        <w:t>五、上网公告附件（如适用）</w:t>
      </w:r>
    </w:p>
    <w:p w14:paraId="75872DB8">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（一）会计师事务所意见；</w:t>
      </w:r>
    </w:p>
    <w:p w14:paraId="02D33B29">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（二）相关更正后的财务报表（指《</w:t>
      </w:r>
      <w:r>
        <w:rPr>
          <w:rFonts w:ascii="仿宋_GB2312" w:hAnsi="宋体" w:eastAsia="仿宋_GB2312" w:cs="宋体"/>
          <w:color w:val="000000"/>
          <w:kern w:val="0"/>
          <w:sz w:val="30"/>
          <w:szCs w:val="30"/>
        </w:rPr>
        <w:t>19号编报规则</w:t>
      </w:r>
      <w:r>
        <w:rPr>
          <w:rFonts w:hint="eastAsia" w:ascii="仿宋_GB2312" w:hAnsi="宋体" w:eastAsia="仿宋_GB2312" w:cs="宋体"/>
          <w:color w:val="000000"/>
          <w:kern w:val="0"/>
          <w:sz w:val="30"/>
          <w:szCs w:val="30"/>
        </w:rPr>
        <w:t>》</w:t>
      </w:r>
      <w:r>
        <w:rPr>
          <w:rFonts w:ascii="仿宋_GB2312" w:hAnsi="宋体" w:eastAsia="仿宋_GB2312" w:cs="宋体"/>
          <w:color w:val="000000"/>
          <w:kern w:val="0"/>
          <w:sz w:val="30"/>
          <w:szCs w:val="30"/>
        </w:rPr>
        <w:t>规定的财务报表）及附注；</w:t>
      </w:r>
    </w:p>
    <w:p w14:paraId="04ACEB08">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（三）审计报告；</w:t>
      </w:r>
    </w:p>
    <w:p w14:paraId="494199E4">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（四）专项鉴证报告。</w:t>
      </w:r>
    </w:p>
    <w:p w14:paraId="2ABDA2B1">
      <w:pPr>
        <w:widowControl/>
        <w:spacing w:line="600" w:lineRule="exact"/>
        <w:ind w:firstLine="600" w:firstLineChars="200"/>
        <w:rPr>
          <w:rFonts w:ascii="仿宋_GB2312" w:hAnsi="宋体" w:eastAsia="仿宋_GB2312" w:cs="宋体"/>
          <w:color w:val="000000"/>
          <w:kern w:val="0"/>
          <w:sz w:val="30"/>
          <w:szCs w:val="30"/>
        </w:rPr>
      </w:pPr>
    </w:p>
    <w:p w14:paraId="7B2DCF74">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特此公告。</w:t>
      </w:r>
    </w:p>
    <w:p w14:paraId="04F09AA5">
      <w:pPr>
        <w:adjustRightInd w:val="0"/>
        <w:snapToGrid w:val="0"/>
        <w:spacing w:line="600" w:lineRule="exact"/>
        <w:ind w:firstLine="600"/>
        <w:rPr>
          <w:rFonts w:ascii="仿宋_GB2312" w:hAnsi="宋体" w:eastAsia="仿宋_GB2312"/>
          <w:bCs/>
          <w:sz w:val="30"/>
          <w:szCs w:val="30"/>
        </w:rPr>
      </w:pPr>
    </w:p>
    <w:p w14:paraId="1A44E06C">
      <w:pPr>
        <w:spacing w:line="600" w:lineRule="exact"/>
        <w:jc w:val="right"/>
        <w:rPr>
          <w:rFonts w:ascii="仿宋_GB2312" w:hAnsi="宋体" w:eastAsia="仿宋_GB2312"/>
          <w:bCs/>
          <w:sz w:val="30"/>
          <w:szCs w:val="30"/>
        </w:rPr>
      </w:pPr>
      <w:r>
        <w:rPr>
          <w:rFonts w:ascii="仿宋_GB2312" w:hAnsi="宋体" w:eastAsia="仿宋_GB2312"/>
          <w:bCs/>
          <w:sz w:val="30"/>
          <w:szCs w:val="30"/>
        </w:rPr>
        <w:t xml:space="preserve">   XXXX股份有限公司董事会</w:t>
      </w:r>
    </w:p>
    <w:p w14:paraId="4798AAA4">
      <w:pPr>
        <w:adjustRightInd w:val="0"/>
        <w:snapToGrid w:val="0"/>
        <w:spacing w:line="600" w:lineRule="exact"/>
        <w:ind w:firstLine="252" w:firstLineChars="84"/>
        <w:jc w:val="right"/>
        <w:rPr>
          <w:rFonts w:ascii="仿宋_GB2312" w:hAnsi="宋体" w:eastAsia="仿宋_GB2312"/>
          <w:bCs/>
          <w:sz w:val="30"/>
          <w:szCs w:val="30"/>
        </w:rPr>
      </w:pPr>
      <w:r>
        <w:rPr>
          <w:rFonts w:hint="eastAsia" w:ascii="仿宋_GB2312" w:hAnsi="宋体" w:eastAsia="仿宋_GB2312"/>
          <w:bCs/>
          <w:sz w:val="30"/>
          <w:szCs w:val="30"/>
        </w:rPr>
        <w:t>年</w:t>
      </w:r>
      <w:r>
        <w:rPr>
          <w:rFonts w:ascii="仿宋_GB2312" w:hAnsi="宋体" w:eastAsia="仿宋_GB2312"/>
          <w:bCs/>
          <w:sz w:val="30"/>
          <w:szCs w:val="30"/>
        </w:rPr>
        <w:t xml:space="preserve">  </w:t>
      </w:r>
      <w:r>
        <w:rPr>
          <w:rFonts w:hint="eastAsia" w:ascii="仿宋_GB2312" w:hAnsi="宋体" w:eastAsia="仿宋_GB2312"/>
          <w:bCs/>
          <w:sz w:val="30"/>
          <w:szCs w:val="30"/>
        </w:rPr>
        <w:t>月</w:t>
      </w:r>
      <w:r>
        <w:rPr>
          <w:rFonts w:ascii="仿宋_GB2312" w:hAnsi="宋体" w:eastAsia="仿宋_GB2312"/>
          <w:bCs/>
          <w:sz w:val="30"/>
          <w:szCs w:val="30"/>
        </w:rPr>
        <w:t xml:space="preserve">  </w:t>
      </w:r>
      <w:r>
        <w:rPr>
          <w:rFonts w:hint="eastAsia" w:ascii="仿宋_GB2312" w:hAnsi="宋体" w:eastAsia="仿宋_GB2312"/>
          <w:bCs/>
          <w:sz w:val="30"/>
          <w:szCs w:val="30"/>
        </w:rPr>
        <w:t>日</w:t>
      </w:r>
    </w:p>
    <w:p w14:paraId="5981ADCC">
      <w:pPr>
        <w:adjustRightInd w:val="0"/>
        <w:snapToGrid w:val="0"/>
        <w:spacing w:line="600" w:lineRule="exact"/>
        <w:ind w:firstLine="252" w:firstLineChars="84"/>
        <w:jc w:val="right"/>
        <w:rPr>
          <w:rFonts w:ascii="仿宋_GB2312" w:hAnsi="宋体" w:eastAsia="仿宋_GB2312"/>
          <w:bCs/>
          <w:sz w:val="30"/>
          <w:szCs w:val="30"/>
        </w:rPr>
      </w:pPr>
      <w:bookmarkStart w:id="3" w:name="_GoBack"/>
      <w:bookmarkEnd w:id="3"/>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1F1AF">
    <w:pPr>
      <w:pStyle w:val="6"/>
      <w:jc w:val="center"/>
    </w:pPr>
    <w:r>
      <w:fldChar w:fldCharType="begin"/>
    </w:r>
    <w:r>
      <w:instrText xml:space="preserve"> PAGE   \* MERGEFORMAT </w:instrText>
    </w:r>
    <w:r>
      <w:fldChar w:fldCharType="separate"/>
    </w:r>
    <w:r>
      <w:rPr>
        <w:lang w:val="zh-CN"/>
      </w:rPr>
      <w:t>5</w:t>
    </w:r>
    <w:r>
      <w:fldChar w:fldCharType="end"/>
    </w:r>
  </w:p>
  <w:p w14:paraId="673F4F2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D0067"/>
    <w:multiLevelType w:val="singleLevel"/>
    <w:tmpl w:val="127D0067"/>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97"/>
    <w:rsid w:val="00024459"/>
    <w:rsid w:val="000564B3"/>
    <w:rsid w:val="000573B5"/>
    <w:rsid w:val="0007219D"/>
    <w:rsid w:val="000724A7"/>
    <w:rsid w:val="00075A96"/>
    <w:rsid w:val="000A0C0C"/>
    <w:rsid w:val="000A3D0E"/>
    <w:rsid w:val="000B031B"/>
    <w:rsid w:val="00132047"/>
    <w:rsid w:val="00142176"/>
    <w:rsid w:val="001628B3"/>
    <w:rsid w:val="00164648"/>
    <w:rsid w:val="00183E45"/>
    <w:rsid w:val="001E3B52"/>
    <w:rsid w:val="001F2D19"/>
    <w:rsid w:val="0020719F"/>
    <w:rsid w:val="00230B66"/>
    <w:rsid w:val="00231BB8"/>
    <w:rsid w:val="00232DBA"/>
    <w:rsid w:val="00245C5F"/>
    <w:rsid w:val="002B386E"/>
    <w:rsid w:val="002C6D5F"/>
    <w:rsid w:val="00305540"/>
    <w:rsid w:val="00351765"/>
    <w:rsid w:val="003603AD"/>
    <w:rsid w:val="003622E6"/>
    <w:rsid w:val="003714FD"/>
    <w:rsid w:val="003C4C71"/>
    <w:rsid w:val="00430BE4"/>
    <w:rsid w:val="004331BF"/>
    <w:rsid w:val="0044175E"/>
    <w:rsid w:val="004477E3"/>
    <w:rsid w:val="004559A3"/>
    <w:rsid w:val="00480027"/>
    <w:rsid w:val="00483677"/>
    <w:rsid w:val="00487E0A"/>
    <w:rsid w:val="004910B7"/>
    <w:rsid w:val="00495E1E"/>
    <w:rsid w:val="004A085F"/>
    <w:rsid w:val="004E2C63"/>
    <w:rsid w:val="005007B6"/>
    <w:rsid w:val="005018AB"/>
    <w:rsid w:val="0050292F"/>
    <w:rsid w:val="00570FB3"/>
    <w:rsid w:val="0058745E"/>
    <w:rsid w:val="00594BB4"/>
    <w:rsid w:val="005A09B1"/>
    <w:rsid w:val="005A77CF"/>
    <w:rsid w:val="005E5E72"/>
    <w:rsid w:val="005E6AA3"/>
    <w:rsid w:val="00617DB1"/>
    <w:rsid w:val="00623B1B"/>
    <w:rsid w:val="00667BF2"/>
    <w:rsid w:val="00675277"/>
    <w:rsid w:val="006942A5"/>
    <w:rsid w:val="0071493F"/>
    <w:rsid w:val="00743DA7"/>
    <w:rsid w:val="00751E65"/>
    <w:rsid w:val="007658AF"/>
    <w:rsid w:val="0082068C"/>
    <w:rsid w:val="008320EC"/>
    <w:rsid w:val="00872DE2"/>
    <w:rsid w:val="008800E6"/>
    <w:rsid w:val="00881CC4"/>
    <w:rsid w:val="00883008"/>
    <w:rsid w:val="00892940"/>
    <w:rsid w:val="008A0DF0"/>
    <w:rsid w:val="008A381D"/>
    <w:rsid w:val="008C6B9A"/>
    <w:rsid w:val="008D36D4"/>
    <w:rsid w:val="008F432A"/>
    <w:rsid w:val="00924D74"/>
    <w:rsid w:val="0095246E"/>
    <w:rsid w:val="00972C97"/>
    <w:rsid w:val="009E6463"/>
    <w:rsid w:val="009F7708"/>
    <w:rsid w:val="00A514E5"/>
    <w:rsid w:val="00A63518"/>
    <w:rsid w:val="00A715EB"/>
    <w:rsid w:val="00A92DEF"/>
    <w:rsid w:val="00AD6D42"/>
    <w:rsid w:val="00AE48D6"/>
    <w:rsid w:val="00AF2C7A"/>
    <w:rsid w:val="00B01094"/>
    <w:rsid w:val="00B03F65"/>
    <w:rsid w:val="00B144E1"/>
    <w:rsid w:val="00B24D74"/>
    <w:rsid w:val="00B45508"/>
    <w:rsid w:val="00B67266"/>
    <w:rsid w:val="00B87CB8"/>
    <w:rsid w:val="00BA1BFF"/>
    <w:rsid w:val="00BA43AD"/>
    <w:rsid w:val="00BB2AB8"/>
    <w:rsid w:val="00BD4AFF"/>
    <w:rsid w:val="00BD7E7A"/>
    <w:rsid w:val="00BE32F7"/>
    <w:rsid w:val="00BF533C"/>
    <w:rsid w:val="00C03DD6"/>
    <w:rsid w:val="00C1409A"/>
    <w:rsid w:val="00C20FBA"/>
    <w:rsid w:val="00C421E7"/>
    <w:rsid w:val="00C42266"/>
    <w:rsid w:val="00CC531D"/>
    <w:rsid w:val="00CF028C"/>
    <w:rsid w:val="00CF31B6"/>
    <w:rsid w:val="00CF4F88"/>
    <w:rsid w:val="00CF7EBF"/>
    <w:rsid w:val="00D01726"/>
    <w:rsid w:val="00D029F7"/>
    <w:rsid w:val="00D04B10"/>
    <w:rsid w:val="00D06000"/>
    <w:rsid w:val="00D11EBF"/>
    <w:rsid w:val="00D17993"/>
    <w:rsid w:val="00D35A5E"/>
    <w:rsid w:val="00D7541F"/>
    <w:rsid w:val="00DD7884"/>
    <w:rsid w:val="00E65503"/>
    <w:rsid w:val="00E902FB"/>
    <w:rsid w:val="00EB7D50"/>
    <w:rsid w:val="00EE3BE7"/>
    <w:rsid w:val="00EF4CFE"/>
    <w:rsid w:val="00F0383D"/>
    <w:rsid w:val="00F237B1"/>
    <w:rsid w:val="00F3706D"/>
    <w:rsid w:val="00F6572C"/>
    <w:rsid w:val="00F82822"/>
    <w:rsid w:val="00FA6D10"/>
    <w:rsid w:val="00FB46B3"/>
    <w:rsid w:val="00FB6C56"/>
    <w:rsid w:val="00FD3098"/>
    <w:rsid w:val="00FE2473"/>
    <w:rsid w:val="02194A24"/>
    <w:rsid w:val="23EE2856"/>
    <w:rsid w:val="2FA25274"/>
    <w:rsid w:val="44E717F7"/>
    <w:rsid w:val="4FBF6DE2"/>
    <w:rsid w:val="50C62BB7"/>
    <w:rsid w:val="540934AA"/>
    <w:rsid w:val="554327BA"/>
    <w:rsid w:val="63322876"/>
    <w:rsid w:val="7D69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14"/>
    <w:unhideWhenUsed/>
    <w:uiPriority w:val="99"/>
    <w:rPr>
      <w:rFonts w:ascii="宋体"/>
      <w:sz w:val="18"/>
      <w:szCs w:val="18"/>
    </w:rPr>
  </w:style>
  <w:style w:type="paragraph" w:styleId="4">
    <w:name w:val="annotation text"/>
    <w:basedOn w:val="1"/>
    <w:link w:val="15"/>
    <w:unhideWhenUsed/>
    <w:uiPriority w:val="99"/>
    <w:pPr>
      <w:jc w:val="left"/>
    </w:pPr>
  </w:style>
  <w:style w:type="paragraph" w:styleId="5">
    <w:name w:val="Balloon Text"/>
    <w:basedOn w:val="1"/>
    <w:link w:val="16"/>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10"/>
    <w:pPr>
      <w:spacing w:before="240" w:after="60"/>
      <w:jc w:val="center"/>
      <w:outlineLvl w:val="0"/>
    </w:pPr>
    <w:rPr>
      <w:rFonts w:ascii="Cambria" w:hAnsi="Cambria"/>
      <w:b/>
      <w:bCs/>
      <w:sz w:val="30"/>
      <w:szCs w:val="32"/>
    </w:rPr>
  </w:style>
  <w:style w:type="paragraph" w:styleId="9">
    <w:name w:val="annotation subject"/>
    <w:basedOn w:val="4"/>
    <w:next w:val="4"/>
    <w:link w:val="20"/>
    <w:unhideWhenUsed/>
    <w:uiPriority w:val="99"/>
    <w:rPr>
      <w:b/>
      <w:bCs/>
    </w:rPr>
  </w:style>
  <w:style w:type="character" w:styleId="12">
    <w:name w:val="annotation reference"/>
    <w:unhideWhenUsed/>
    <w:uiPriority w:val="99"/>
    <w:rPr>
      <w:sz w:val="21"/>
      <w:szCs w:val="21"/>
    </w:rPr>
  </w:style>
  <w:style w:type="character" w:customStyle="1" w:styleId="13">
    <w:name w:val="标题 1 字符"/>
    <w:link w:val="2"/>
    <w:qFormat/>
    <w:uiPriority w:val="9"/>
    <w:rPr>
      <w:rFonts w:ascii="Times New Roman" w:hAnsi="Times New Roman"/>
      <w:b/>
      <w:bCs/>
      <w:kern w:val="44"/>
      <w:sz w:val="44"/>
      <w:szCs w:val="44"/>
    </w:rPr>
  </w:style>
  <w:style w:type="character" w:customStyle="1" w:styleId="14">
    <w:name w:val="文档结构图 字符"/>
    <w:link w:val="3"/>
    <w:semiHidden/>
    <w:qFormat/>
    <w:uiPriority w:val="99"/>
    <w:rPr>
      <w:rFonts w:ascii="宋体" w:hAnsi="Times New Roman"/>
      <w:kern w:val="2"/>
      <w:sz w:val="18"/>
      <w:szCs w:val="18"/>
    </w:rPr>
  </w:style>
  <w:style w:type="character" w:customStyle="1" w:styleId="15">
    <w:name w:val="批注文字 字符"/>
    <w:link w:val="4"/>
    <w:semiHidden/>
    <w:qFormat/>
    <w:uiPriority w:val="99"/>
    <w:rPr>
      <w:rFonts w:ascii="Times New Roman" w:hAnsi="Times New Roman" w:eastAsia="宋体" w:cs="Times New Roman"/>
      <w:szCs w:val="24"/>
    </w:rPr>
  </w:style>
  <w:style w:type="character" w:customStyle="1" w:styleId="16">
    <w:name w:val="批注框文本 字符"/>
    <w:link w:val="5"/>
    <w:semiHidden/>
    <w:uiPriority w:val="99"/>
    <w:rPr>
      <w:rFonts w:ascii="Times New Roman" w:hAnsi="Times New Roman" w:eastAsia="宋体" w:cs="Times New Roman"/>
      <w:sz w:val="18"/>
      <w:szCs w:val="18"/>
    </w:rPr>
  </w:style>
  <w:style w:type="character" w:customStyle="1" w:styleId="17">
    <w:name w:val="页脚 字符"/>
    <w:link w:val="6"/>
    <w:uiPriority w:val="99"/>
    <w:rPr>
      <w:rFonts w:ascii="Times New Roman" w:hAnsi="Times New Roman" w:eastAsia="宋体" w:cs="Times New Roman"/>
      <w:sz w:val="18"/>
      <w:szCs w:val="18"/>
    </w:rPr>
  </w:style>
  <w:style w:type="character" w:customStyle="1" w:styleId="18">
    <w:name w:val="页眉 字符"/>
    <w:link w:val="7"/>
    <w:qFormat/>
    <w:uiPriority w:val="99"/>
    <w:rPr>
      <w:rFonts w:ascii="Times New Roman" w:hAnsi="Times New Roman" w:eastAsia="宋体" w:cs="Times New Roman"/>
      <w:sz w:val="18"/>
      <w:szCs w:val="18"/>
    </w:rPr>
  </w:style>
  <w:style w:type="character" w:customStyle="1" w:styleId="19">
    <w:name w:val="标题 字符"/>
    <w:link w:val="8"/>
    <w:uiPriority w:val="10"/>
    <w:rPr>
      <w:rFonts w:ascii="Cambria" w:hAnsi="Cambria" w:eastAsia="宋体" w:cs="Times New Roman"/>
      <w:b/>
      <w:bCs/>
      <w:sz w:val="30"/>
      <w:szCs w:val="32"/>
    </w:rPr>
  </w:style>
  <w:style w:type="character" w:customStyle="1" w:styleId="20">
    <w:name w:val="批注主题 字符"/>
    <w:link w:val="9"/>
    <w:semiHidden/>
    <w:uiPriority w:val="99"/>
    <w:rPr>
      <w:rFonts w:ascii="Times New Roman" w:hAnsi="Times New Roman" w:eastAsia="宋体" w:cs="Times New Roman"/>
      <w:b/>
      <w:bCs/>
      <w:szCs w:val="24"/>
    </w:rPr>
  </w:style>
  <w:style w:type="paragraph" w:styleId="21">
    <w:name w:val="List Paragraph"/>
    <w:basedOn w:val="1"/>
    <w:qFormat/>
    <w:uiPriority w:val="0"/>
    <w:pPr>
      <w:ind w:firstLine="420" w:firstLineChars="200"/>
    </w:pPr>
  </w:style>
  <w:style w:type="paragraph" w:customStyle="1" w:styleId="22">
    <w:name w:val="_Style 21"/>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1008</Words>
  <Characters>1019</Characters>
  <Lines>59</Lines>
  <Paragraphs>50</Paragraphs>
  <TotalTime>12</TotalTime>
  <ScaleCrop>false</ScaleCrop>
  <LinksUpToDate>false</LinksUpToDate>
  <CharactersWithSpaces>1977</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2023-06-27T03:05:00Z</dcterms:created>
  <dc:creator>shytan</dc:creator>
  <cp:lastModifiedBy>yjqin</cp:lastModifiedBy>
  <dcterms:modified xsi:type="dcterms:W3CDTF">2025-08-21T11:59:14Z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C1E4F81AB2604E3E8755C40D77DD279E_13</vt:lpwstr>
  </property>
</Properties>
</file>