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A78DF">
      <w:pPr>
        <w:pStyle w:val="2"/>
        <w:spacing w:before="0" w:after="0" w:line="600" w:lineRule="exact"/>
        <w:jc w:val="center"/>
        <w:rPr>
          <w:rFonts w:ascii="黑体" w:hAnsi="黑体" w:eastAsia="黑体"/>
          <w:sz w:val="36"/>
          <w:szCs w:val="36"/>
        </w:rPr>
      </w:pPr>
      <w:r>
        <w:rPr>
          <w:rFonts w:ascii="黑体" w:hAnsi="黑体" w:eastAsia="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sz w:val="36"/>
          <w:szCs w:val="36"/>
        </w:rPr>
        <w:instrText xml:space="preserve">ADDIN CNKISM.UserStyle</w:instrText>
      </w:r>
      <w:r>
        <w:rPr>
          <w:rFonts w:ascii="黑体" w:hAnsi="黑体" w:eastAsia="黑体"/>
          <w:sz w:val="36"/>
          <w:szCs w:val="36"/>
        </w:rPr>
        <w:fldChar w:fldCharType="end"/>
      </w:r>
      <w:r>
        <w:rPr>
          <w:rFonts w:hint="eastAsia" w:ascii="黑体" w:hAnsi="黑体" w:eastAsia="黑体"/>
          <w:sz w:val="36"/>
          <w:szCs w:val="36"/>
        </w:rPr>
        <w:t>第二十三号</w:t>
      </w:r>
      <w:r>
        <w:rPr>
          <w:rFonts w:ascii="黑体" w:hAnsi="黑体" w:eastAsia="黑体"/>
          <w:sz w:val="36"/>
          <w:szCs w:val="36"/>
        </w:rPr>
        <w:t xml:space="preserve"> </w:t>
      </w:r>
      <w:r>
        <w:rPr>
          <w:rFonts w:hint="eastAsia" w:ascii="黑体" w:hAnsi="黑体" w:eastAsia="黑体"/>
          <w:sz w:val="36"/>
          <w:szCs w:val="36"/>
        </w:rPr>
        <w:t>科创板上市公司回购股份方案、进展公告</w:t>
      </w:r>
    </w:p>
    <w:p w14:paraId="2A98149D">
      <w:pPr>
        <w:autoSpaceDE w:val="0"/>
        <w:autoSpaceDN w:val="0"/>
        <w:adjustRightInd w:val="0"/>
        <w:snapToGrid w:val="0"/>
        <w:spacing w:line="600" w:lineRule="exact"/>
        <w:ind w:firstLine="482" w:firstLineChars="200"/>
        <w:rPr>
          <w:rFonts w:ascii="宋体" w:hAnsi="宋体"/>
          <w:b/>
          <w:sz w:val="24"/>
        </w:rPr>
      </w:pPr>
    </w:p>
    <w:p w14:paraId="419F33D9">
      <w:pPr>
        <w:adjustRightInd w:val="0"/>
        <w:snapToGrid w:val="0"/>
        <w:spacing w:line="600" w:lineRule="exact"/>
        <w:rPr>
          <w:rFonts w:ascii="仿宋_GB2312" w:hAnsi="宋体" w:eastAsia="仿宋_GB2312"/>
          <w:b/>
          <w:sz w:val="30"/>
          <w:szCs w:val="30"/>
        </w:rPr>
      </w:pPr>
      <w:r>
        <w:rPr>
          <w:rFonts w:hint="eastAsia" w:ascii="仿宋_GB2312" w:hAnsi="宋体" w:eastAsia="仿宋_GB2312"/>
          <w:b/>
          <w:sz w:val="30"/>
          <w:szCs w:val="30"/>
        </w:rPr>
        <w:t>适用情形：</w:t>
      </w:r>
    </w:p>
    <w:p w14:paraId="1B644F13">
      <w:pPr>
        <w:adjustRightInd w:val="0"/>
        <w:snapToGrid w:val="0"/>
        <w:spacing w:line="600" w:lineRule="exact"/>
        <w:ind w:firstLine="588" w:firstLineChars="196"/>
        <w:rPr>
          <w:rFonts w:ascii="仿宋_GB2312" w:hAnsi="宋体" w:eastAsia="仿宋_GB2312"/>
          <w:bCs/>
          <w:sz w:val="30"/>
          <w:szCs w:val="30"/>
        </w:rPr>
      </w:pPr>
      <w:r>
        <w:rPr>
          <w:rFonts w:hint="eastAsia" w:ascii="仿宋_GB2312" w:hAnsi="宋体" w:eastAsia="仿宋_GB2312"/>
          <w:bCs/>
          <w:sz w:val="30"/>
          <w:szCs w:val="30"/>
        </w:rPr>
        <w:t>1.科创板上市公司（以下简称上市公司）拟以</w:t>
      </w:r>
      <w:bookmarkStart w:id="0" w:name="OLE_LINK19"/>
      <w:bookmarkStart w:id="1" w:name="OLE_LINK18"/>
      <w:r>
        <w:rPr>
          <w:rFonts w:hint="eastAsia" w:ascii="仿宋_GB2312" w:hAnsi="宋体" w:eastAsia="仿宋_GB2312"/>
          <w:bCs/>
          <w:sz w:val="30"/>
          <w:szCs w:val="30"/>
        </w:rPr>
        <w:t>集中竞价交易方式</w:t>
      </w:r>
      <w:bookmarkEnd w:id="0"/>
      <w:bookmarkEnd w:id="1"/>
      <w:r>
        <w:rPr>
          <w:rFonts w:hint="eastAsia" w:ascii="仿宋_GB2312" w:hAnsi="宋体" w:eastAsia="仿宋_GB2312"/>
          <w:bCs/>
          <w:sz w:val="30"/>
          <w:szCs w:val="30"/>
        </w:rPr>
        <w:t>回购股份，编制披露回购股份方案/进展公告的，适用本公告格式指引。</w:t>
      </w:r>
    </w:p>
    <w:p w14:paraId="459707C2">
      <w:pPr>
        <w:adjustRightInd w:val="0"/>
        <w:snapToGrid w:val="0"/>
        <w:spacing w:line="600" w:lineRule="exact"/>
        <w:ind w:firstLine="588" w:firstLineChars="196"/>
        <w:rPr>
          <w:rFonts w:ascii="仿宋_GB2312" w:hAnsi="宋体" w:eastAsia="仿宋_GB2312"/>
          <w:bCs/>
          <w:sz w:val="30"/>
          <w:szCs w:val="30"/>
        </w:rPr>
      </w:pPr>
      <w:r>
        <w:rPr>
          <w:rFonts w:hint="eastAsia" w:ascii="仿宋_GB2312" w:hAnsi="宋体" w:eastAsia="仿宋_GB2312"/>
          <w:bCs/>
          <w:sz w:val="30"/>
          <w:szCs w:val="30"/>
        </w:rPr>
        <w:t>2.上市公司拟以要约方式回购股份，编制披露回购股份方案/进展公告的，参照适用本公告格式指引。</w:t>
      </w:r>
    </w:p>
    <w:p w14:paraId="3CA32255">
      <w:pPr>
        <w:adjustRightInd w:val="0"/>
        <w:snapToGrid w:val="0"/>
        <w:spacing w:line="600" w:lineRule="exact"/>
        <w:ind w:firstLine="600"/>
        <w:rPr>
          <w:rFonts w:ascii="仿宋_GB2312" w:hAnsi="宋体" w:eastAsia="仿宋_GB2312"/>
          <w:bCs/>
          <w:sz w:val="30"/>
          <w:szCs w:val="30"/>
        </w:rPr>
      </w:pPr>
      <w:r>
        <w:rPr>
          <w:rFonts w:hint="eastAsia" w:ascii="仿宋_GB2312" w:hAnsi="宋体" w:eastAsia="仿宋_GB2312"/>
          <w:bCs/>
          <w:sz w:val="30"/>
          <w:szCs w:val="30"/>
        </w:rPr>
        <w:t>3.在本所上市的公司同时有股票在境外证券交易所上市的，仅回购境外上市股票的，不适用本公告格式指引，但应遵守本所和境外证券交易所同步信息披露的相关规定。</w:t>
      </w:r>
    </w:p>
    <w:p w14:paraId="54354278">
      <w:pPr>
        <w:adjustRightInd w:val="0"/>
        <w:snapToGrid w:val="0"/>
        <w:spacing w:line="600" w:lineRule="exact"/>
        <w:ind w:firstLine="600"/>
        <w:rPr>
          <w:rFonts w:ascii="仿宋_GB2312" w:hAnsi="宋体" w:eastAsia="仿宋_GB2312"/>
          <w:bCs/>
          <w:sz w:val="30"/>
          <w:szCs w:val="30"/>
        </w:rPr>
      </w:pPr>
      <w:r>
        <w:rPr>
          <w:rFonts w:hint="eastAsia" w:ascii="仿宋_GB2312" w:hAnsi="宋体" w:eastAsia="仿宋_GB2312"/>
          <w:bCs/>
          <w:sz w:val="30"/>
          <w:szCs w:val="30"/>
        </w:rPr>
        <w:t>4.上市公司应当遵守中国证监会和本所相关规定，并参照本公告格式指引编制回购报告书。</w:t>
      </w:r>
    </w:p>
    <w:p w14:paraId="55656F66">
      <w:pPr>
        <w:adjustRightInd w:val="0"/>
        <w:snapToGrid w:val="0"/>
        <w:spacing w:line="600" w:lineRule="exact"/>
        <w:rPr>
          <w:rFonts w:ascii="仿宋_GB2312" w:hAnsi="宋体" w:eastAsia="仿宋_GB2312"/>
          <w:bCs/>
          <w:sz w:val="30"/>
          <w:szCs w:val="30"/>
        </w:rPr>
      </w:pPr>
    </w:p>
    <w:p w14:paraId="6976A036">
      <w:pPr>
        <w:adjustRightInd w:val="0"/>
        <w:snapToGrid w:val="0"/>
        <w:spacing w:line="60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0FC70890">
      <w:pPr>
        <w:adjustRightInd w:val="0"/>
        <w:snapToGrid w:val="0"/>
        <w:spacing w:line="600" w:lineRule="exact"/>
        <w:jc w:val="center"/>
        <w:rPr>
          <w:rFonts w:ascii="仿宋_GB2312" w:hAnsi="宋体" w:eastAsia="仿宋_GB2312"/>
          <w:sz w:val="30"/>
          <w:szCs w:val="30"/>
        </w:rPr>
      </w:pPr>
    </w:p>
    <w:p w14:paraId="45F256BD">
      <w:pPr>
        <w:adjustRightInd w:val="0"/>
        <w:snapToGrid w:val="0"/>
        <w:spacing w:line="600" w:lineRule="exact"/>
        <w:jc w:val="center"/>
        <w:rPr>
          <w:rFonts w:ascii="仿宋_GB2312" w:hAnsi="宋体" w:eastAsia="仿宋_GB2312"/>
          <w:sz w:val="30"/>
          <w:szCs w:val="30"/>
        </w:rPr>
      </w:pPr>
      <w:r>
        <w:rPr>
          <w:rFonts w:hint="eastAsia" w:ascii="仿宋_GB2312" w:hAnsi="宋体" w:eastAsia="仿宋_GB2312"/>
          <w:sz w:val="30"/>
          <w:szCs w:val="30"/>
        </w:rPr>
        <w:t>XXXX股份有限公司关于以集中竞价交易方式回购股份方案/进展公告</w:t>
      </w:r>
    </w:p>
    <w:p w14:paraId="72CA5D5C">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本公司董事会及全体董事保证本公告内容不存在任何虚假记载、误导性陈述或者重大遗漏，并对其内容的真实性、准确性和完整性依法承担法律责任。</w:t>
      </w:r>
    </w:p>
    <w:p w14:paraId="103389F9">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如有董事对临时公告内容的真实性、准确性和完整性无法保证或存在异议的，公司应当在公告中作特别提示。</w:t>
      </w:r>
    </w:p>
    <w:p w14:paraId="2165E139">
      <w:pPr>
        <w:adjustRightInd w:val="0"/>
        <w:snapToGrid w:val="0"/>
        <w:spacing w:line="600" w:lineRule="exact"/>
        <w:ind w:firstLine="602" w:firstLineChars="200"/>
        <w:rPr>
          <w:rFonts w:ascii="仿宋_GB2312" w:hAnsi="宋体" w:eastAsia="仿宋_GB2312"/>
          <w:b/>
          <w:bCs/>
          <w:sz w:val="30"/>
          <w:szCs w:val="30"/>
        </w:rPr>
      </w:pPr>
    </w:p>
    <w:p w14:paraId="1E692650">
      <w:pPr>
        <w:adjustRightInd w:val="0"/>
        <w:snapToGrid w:val="0"/>
        <w:spacing w:line="600" w:lineRule="exact"/>
        <w:ind w:firstLine="602" w:firstLineChars="200"/>
        <w:rPr>
          <w:rFonts w:ascii="仿宋_GB2312" w:hAnsi="宋体" w:eastAsia="仿宋_GB2312"/>
          <w:b/>
          <w:bCs/>
          <w:sz w:val="30"/>
          <w:szCs w:val="30"/>
        </w:rPr>
      </w:pPr>
      <w:r>
        <w:rPr>
          <w:rFonts w:hint="eastAsia" w:ascii="仿宋_GB2312" w:hAnsi="宋体" w:eastAsia="仿宋_GB2312"/>
          <w:b/>
          <w:bCs/>
          <w:sz w:val="30"/>
          <w:szCs w:val="30"/>
        </w:rPr>
        <w:t>重要内容提示：</w:t>
      </w:r>
    </w:p>
    <w:p w14:paraId="30F1EF82">
      <w:pPr>
        <w:numPr>
          <w:ilvl w:val="0"/>
          <w:numId w:val="1"/>
        </w:numPr>
        <w:adjustRightInd w:val="0"/>
        <w:snapToGrid w:val="0"/>
        <w:spacing w:line="600" w:lineRule="exact"/>
        <w:ind w:left="0" w:firstLine="600" w:firstLineChars="200"/>
        <w:rPr>
          <w:rFonts w:ascii="仿宋_GB2312" w:hAnsi="宋体" w:eastAsia="仿宋_GB2312"/>
          <w:bCs/>
          <w:sz w:val="30"/>
          <w:szCs w:val="30"/>
        </w:rPr>
      </w:pPr>
      <w:r>
        <w:rPr>
          <w:rFonts w:hint="eastAsia" w:ascii="仿宋_GB2312" w:hAnsi="宋体" w:eastAsia="仿宋_GB2312"/>
          <w:bCs/>
          <w:sz w:val="30"/>
          <w:szCs w:val="30"/>
        </w:rPr>
        <w:t xml:space="preserve"> 拟回购股份的用途、数量或资金总额、回购期限、回购价格或价格区间</w:t>
      </w:r>
    </w:p>
    <w:p w14:paraId="126BCF40">
      <w:pPr>
        <w:numPr>
          <w:ilvl w:val="0"/>
          <w:numId w:val="1"/>
        </w:numPr>
        <w:adjustRightInd w:val="0"/>
        <w:snapToGrid w:val="0"/>
        <w:spacing w:line="600" w:lineRule="exact"/>
        <w:ind w:left="0" w:firstLine="600" w:firstLineChars="200"/>
        <w:rPr>
          <w:rFonts w:ascii="仿宋_GB2312" w:hAnsi="宋体" w:eastAsia="仿宋_GB2312"/>
          <w:bCs/>
          <w:sz w:val="30"/>
          <w:szCs w:val="30"/>
        </w:rPr>
      </w:pPr>
      <w:r>
        <w:rPr>
          <w:rFonts w:hint="eastAsia" w:ascii="仿宋_GB2312" w:hAnsi="宋体" w:eastAsia="仿宋_GB2312"/>
          <w:bCs/>
          <w:sz w:val="30"/>
          <w:szCs w:val="30"/>
        </w:rPr>
        <w:t xml:space="preserve"> 回购资金来源</w:t>
      </w:r>
    </w:p>
    <w:p w14:paraId="7B39E00D">
      <w:pPr>
        <w:numPr>
          <w:ilvl w:val="0"/>
          <w:numId w:val="1"/>
        </w:numPr>
        <w:adjustRightInd w:val="0"/>
        <w:snapToGrid w:val="0"/>
        <w:spacing w:line="600" w:lineRule="exact"/>
        <w:ind w:left="0" w:firstLine="600" w:firstLineChars="200"/>
        <w:rPr>
          <w:rFonts w:ascii="仿宋_GB2312" w:hAnsi="宋体" w:eastAsia="仿宋_GB2312"/>
          <w:bCs/>
          <w:sz w:val="30"/>
          <w:szCs w:val="30"/>
        </w:rPr>
      </w:pPr>
      <w:r>
        <w:rPr>
          <w:rFonts w:hint="eastAsia" w:ascii="仿宋_GB2312" w:hAnsi="宋体" w:eastAsia="仿宋_GB2312"/>
          <w:bCs/>
          <w:sz w:val="30"/>
          <w:szCs w:val="30"/>
        </w:rPr>
        <w:t xml:space="preserve"> 相关股东是否存在减持计划</w:t>
      </w:r>
    </w:p>
    <w:p w14:paraId="4962BB1E">
      <w:pPr>
        <w:numPr>
          <w:ilvl w:val="0"/>
          <w:numId w:val="1"/>
        </w:numPr>
        <w:adjustRightInd w:val="0"/>
        <w:snapToGrid w:val="0"/>
        <w:spacing w:line="600" w:lineRule="exact"/>
        <w:ind w:left="0" w:firstLine="600" w:firstLineChars="200"/>
        <w:rPr>
          <w:rFonts w:ascii="仿宋_GB2312" w:hAnsi="宋体" w:eastAsia="仿宋_GB2312"/>
          <w:bCs/>
          <w:sz w:val="30"/>
          <w:szCs w:val="30"/>
        </w:rPr>
      </w:pPr>
      <w:r>
        <w:rPr>
          <w:rFonts w:hint="eastAsia" w:ascii="仿宋_GB2312" w:hAnsi="宋体" w:eastAsia="仿宋_GB2312"/>
          <w:bCs/>
          <w:sz w:val="30"/>
          <w:szCs w:val="30"/>
        </w:rPr>
        <w:t xml:space="preserve"> 相关风险提示</w:t>
      </w:r>
    </w:p>
    <w:p w14:paraId="2079B5BC">
      <w:pPr>
        <w:numPr>
          <w:ilvl w:val="0"/>
          <w:numId w:val="1"/>
        </w:numPr>
        <w:adjustRightInd w:val="0"/>
        <w:snapToGrid w:val="0"/>
        <w:spacing w:line="600" w:lineRule="exact"/>
        <w:ind w:left="0" w:firstLine="600" w:firstLineChars="200"/>
        <w:rPr>
          <w:rFonts w:ascii="仿宋_GB2312" w:hAnsi="宋体" w:eastAsia="仿宋_GB2312"/>
          <w:bCs/>
          <w:sz w:val="30"/>
          <w:szCs w:val="30"/>
        </w:rPr>
      </w:pPr>
      <w:r>
        <w:rPr>
          <w:rFonts w:hint="eastAsia" w:ascii="仿宋_GB2312" w:hAnsi="宋体" w:eastAsia="仿宋_GB2312"/>
          <w:bCs/>
          <w:sz w:val="30"/>
          <w:szCs w:val="30"/>
        </w:rPr>
        <w:t xml:space="preserve"> 回购方案的实施情况（适用于回购进展公告）</w:t>
      </w:r>
    </w:p>
    <w:p w14:paraId="3F995B7D">
      <w:pPr>
        <w:spacing w:line="600" w:lineRule="exact"/>
        <w:rPr>
          <w:color w:val="000000"/>
          <w:sz w:val="24"/>
        </w:rPr>
      </w:pPr>
    </w:p>
    <w:p w14:paraId="091D9932">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一、回购方案的审议及实施程序</w:t>
      </w:r>
    </w:p>
    <w:p w14:paraId="174AC309">
      <w:pPr>
        <w:widowControl/>
        <w:spacing w:line="600" w:lineRule="exact"/>
        <w:ind w:firstLine="600" w:firstLineChars="200"/>
        <w:rPr>
          <w:rFonts w:ascii="黑体" w:hAnsi="黑体" w:eastAsia="黑体" w:cs="宋体"/>
          <w:b/>
          <w:color w:val="000000"/>
          <w:kern w:val="0"/>
          <w:sz w:val="32"/>
          <w:szCs w:val="32"/>
        </w:rPr>
      </w:pPr>
      <w:r>
        <w:rPr>
          <w:rFonts w:hint="eastAsia" w:ascii="仿宋_GB2312" w:hAnsi="宋体" w:eastAsia="仿宋_GB2312" w:cs="宋体"/>
          <w:color w:val="000000"/>
          <w:kern w:val="0"/>
          <w:sz w:val="30"/>
          <w:szCs w:val="30"/>
        </w:rPr>
        <w:t>（一）XXXX年XX月XX日，公司召开第XX届第XX次董事会会议，审议通过了《关于以集中竞价交易方式回购公司股份的方案》。</w:t>
      </w:r>
      <w:r>
        <w:rPr>
          <w:rFonts w:hint="eastAsia" w:ascii="仿宋_GB2312" w:eastAsia="仿宋_GB2312"/>
          <w:sz w:val="30"/>
          <w:szCs w:val="30"/>
        </w:rPr>
        <w:t>董事反对或弃权的，应当披露反对或弃权理由。</w:t>
      </w:r>
    </w:p>
    <w:p w14:paraId="09AA3327">
      <w:pPr>
        <w:widowControl/>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（二）本次回购股份方案提交股东会审议情况</w:t>
      </w:r>
    </w:p>
    <w:p w14:paraId="42BE28CB">
      <w:pPr>
        <w:widowControl/>
        <w:spacing w:line="600" w:lineRule="exact"/>
        <w:ind w:firstLine="600" w:firstLineChars="200"/>
        <w:rPr>
          <w:rFonts w:ascii="楷体" w:hAnsi="楷体" w:eastAsia="楷体"/>
          <w:sz w:val="24"/>
          <w:u w:val="single"/>
        </w:rPr>
      </w:pPr>
      <w:r>
        <w:rPr>
          <w:rFonts w:hint="eastAsia" w:ascii="仿宋_GB2312" w:hAnsi="宋体" w:eastAsia="仿宋_GB2312"/>
          <w:bCs/>
          <w:sz w:val="30"/>
          <w:szCs w:val="30"/>
        </w:rPr>
        <w:t>本次回购股份方案尚需提交公司股东会审议。</w:t>
      </w:r>
      <w:r>
        <w:rPr>
          <w:rFonts w:hint="eastAsia" w:ascii="楷体" w:hAnsi="楷体" w:eastAsia="楷体"/>
          <w:sz w:val="24"/>
        </w:rPr>
        <w:t>（编制提醒：适用于回购股份方案需要提交股东会审议的情形。）</w:t>
      </w:r>
      <w:r>
        <w:rPr>
          <w:rFonts w:hint="eastAsia" w:ascii="仿宋_GB2312" w:hAnsi="宋体" w:eastAsia="仿宋_GB2312"/>
          <w:bCs/>
          <w:sz w:val="30"/>
          <w:szCs w:val="30"/>
        </w:rPr>
        <w:t>公司将于XXXX年XX月XX日召开XXXX年年度/第</w:t>
      </w:r>
      <w:r>
        <w:rPr>
          <w:rFonts w:ascii="仿宋_GB2312" w:hAnsi="宋体" w:eastAsia="仿宋_GB2312"/>
          <w:bCs/>
          <w:sz w:val="30"/>
          <w:szCs w:val="30"/>
        </w:rPr>
        <w:t>XX次</w:t>
      </w:r>
      <w:r>
        <w:rPr>
          <w:rFonts w:hint="eastAsia" w:ascii="仿宋_GB2312" w:hAnsi="宋体" w:eastAsia="仿宋_GB2312"/>
          <w:bCs/>
          <w:sz w:val="30"/>
          <w:szCs w:val="30"/>
        </w:rPr>
        <w:t>临时股东会审议本次回购股份方案。具体详见同日披露的股东会召开通知。</w:t>
      </w:r>
      <w:r>
        <w:rPr>
          <w:rFonts w:hint="eastAsia" w:ascii="楷体" w:hAnsi="楷体" w:eastAsia="楷体"/>
          <w:sz w:val="24"/>
        </w:rPr>
        <w:t>（编制提醒：适用于公司已发布股东会召开通知的情形。）</w:t>
      </w:r>
      <w:r>
        <w:rPr>
          <w:rFonts w:hint="eastAsia" w:ascii="仿宋_GB2312" w:hAnsi="宋体" w:eastAsia="仿宋_GB2312"/>
          <w:bCs/>
          <w:sz w:val="30"/>
          <w:szCs w:val="30"/>
        </w:rPr>
        <w:t>股东会召开通知将另行发布。</w:t>
      </w:r>
      <w:r>
        <w:rPr>
          <w:rFonts w:hint="eastAsia" w:ascii="楷体" w:hAnsi="楷体" w:eastAsia="楷体"/>
          <w:sz w:val="24"/>
        </w:rPr>
        <w:t>（编制提醒：适用于公司尚未发布股东会召开通知的情形。）</w:t>
      </w:r>
    </w:p>
    <w:p w14:paraId="1592D005">
      <w:pPr>
        <w:widowControl/>
        <w:spacing w:line="600" w:lineRule="exact"/>
        <w:ind w:firstLine="600" w:firstLineChars="200"/>
        <w:rPr>
          <w:rFonts w:ascii="楷体" w:hAnsi="楷体" w:eastAsia="楷体"/>
          <w:sz w:val="24"/>
        </w:rPr>
      </w:pPr>
      <w:r>
        <w:rPr>
          <w:rFonts w:hint="eastAsia" w:ascii="仿宋_GB2312" w:hAnsi="宋体" w:eastAsia="仿宋_GB2312"/>
          <w:bCs/>
          <w:sz w:val="30"/>
          <w:szCs w:val="30"/>
        </w:rPr>
        <w:t>根据公司章程第</w:t>
      </w:r>
      <w:r>
        <w:rPr>
          <w:rFonts w:ascii="仿宋_GB2312" w:hAnsi="宋体" w:eastAsia="仿宋_GB2312"/>
          <w:bCs/>
          <w:sz w:val="30"/>
          <w:szCs w:val="30"/>
        </w:rPr>
        <w:t>XX条</w:t>
      </w:r>
      <w:r>
        <w:rPr>
          <w:rFonts w:hint="eastAsia" w:ascii="仿宋_GB2312" w:hAnsi="宋体" w:eastAsia="仿宋_GB2312"/>
          <w:bCs/>
          <w:sz w:val="30"/>
          <w:szCs w:val="30"/>
        </w:rPr>
        <w:t>授权</w:t>
      </w:r>
      <w:r>
        <w:rPr>
          <w:rFonts w:ascii="仿宋_GB2312" w:hAnsi="宋体" w:eastAsia="仿宋_GB2312"/>
          <w:bCs/>
          <w:sz w:val="30"/>
          <w:szCs w:val="30"/>
        </w:rPr>
        <w:t>/</w:t>
      </w:r>
      <w:r>
        <w:rPr>
          <w:rFonts w:hint="eastAsia" w:ascii="仿宋_GB2312" w:hAnsi="宋体" w:eastAsia="仿宋_GB2312"/>
          <w:bCs/>
          <w:sz w:val="30"/>
          <w:szCs w:val="30"/>
        </w:rPr>
        <w:t>公司于</w:t>
      </w:r>
      <w:r>
        <w:rPr>
          <w:rFonts w:ascii="仿宋_GB2312" w:hAnsi="宋体" w:eastAsia="仿宋_GB2312"/>
          <w:bCs/>
          <w:sz w:val="30"/>
          <w:szCs w:val="30"/>
        </w:rPr>
        <w:t>XX</w:t>
      </w:r>
      <w:r>
        <w:rPr>
          <w:rFonts w:hint="eastAsia" w:ascii="仿宋_GB2312" w:hAnsi="宋体" w:eastAsia="仿宋_GB2312"/>
          <w:bCs/>
          <w:sz w:val="30"/>
          <w:szCs w:val="30"/>
        </w:rPr>
        <w:t>XX</w:t>
      </w:r>
      <w:r>
        <w:rPr>
          <w:rFonts w:ascii="仿宋_GB2312" w:hAnsi="宋体" w:eastAsia="仿宋_GB2312"/>
          <w:bCs/>
          <w:sz w:val="30"/>
          <w:szCs w:val="30"/>
        </w:rPr>
        <w:t>年XX月XX日</w:t>
      </w:r>
      <w:r>
        <w:rPr>
          <w:rFonts w:hint="eastAsia" w:ascii="仿宋_GB2312" w:hAnsi="宋体" w:eastAsia="仿宋_GB2312"/>
          <w:bCs/>
          <w:sz w:val="30"/>
          <w:szCs w:val="30"/>
        </w:rPr>
        <w:t>召开的</w:t>
      </w:r>
      <w:r>
        <w:rPr>
          <w:rFonts w:ascii="仿宋_GB2312" w:hAnsi="宋体" w:eastAsia="仿宋_GB2312"/>
          <w:bCs/>
          <w:sz w:val="30"/>
          <w:szCs w:val="30"/>
        </w:rPr>
        <w:t>XXX</w:t>
      </w:r>
      <w:r>
        <w:rPr>
          <w:rFonts w:hint="eastAsia" w:ascii="仿宋_GB2312" w:hAnsi="宋体" w:eastAsia="仿宋_GB2312"/>
          <w:bCs/>
          <w:sz w:val="30"/>
          <w:szCs w:val="30"/>
        </w:rPr>
        <w:t>X</w:t>
      </w:r>
      <w:r>
        <w:rPr>
          <w:rFonts w:ascii="仿宋_GB2312" w:hAnsi="宋体" w:eastAsia="仿宋_GB2312"/>
          <w:bCs/>
          <w:sz w:val="30"/>
          <w:szCs w:val="30"/>
        </w:rPr>
        <w:t>年</w:t>
      </w:r>
      <w:r>
        <w:rPr>
          <w:rFonts w:hint="eastAsia" w:ascii="仿宋_GB2312" w:hAnsi="宋体" w:eastAsia="仿宋_GB2312"/>
          <w:bCs/>
          <w:sz w:val="30"/>
          <w:szCs w:val="30"/>
        </w:rPr>
        <w:t>年度/</w:t>
      </w:r>
      <w:r>
        <w:rPr>
          <w:rFonts w:ascii="仿宋_GB2312" w:hAnsi="宋体" w:eastAsia="仿宋_GB2312"/>
          <w:bCs/>
          <w:sz w:val="30"/>
          <w:szCs w:val="30"/>
        </w:rPr>
        <w:t>第XX次临时股东会</w:t>
      </w:r>
      <w:r>
        <w:rPr>
          <w:rFonts w:hint="eastAsia" w:ascii="仿宋_GB2312" w:hAnsi="宋体" w:eastAsia="仿宋_GB2312"/>
          <w:bCs/>
          <w:sz w:val="30"/>
          <w:szCs w:val="30"/>
        </w:rPr>
        <w:t>授权，本次回购股份方案无需提交公司股东会审议。</w:t>
      </w:r>
      <w:r>
        <w:rPr>
          <w:rFonts w:hint="eastAsia" w:ascii="楷体" w:hAnsi="楷体" w:eastAsia="楷体"/>
          <w:sz w:val="24"/>
        </w:rPr>
        <w:t>（编制提醒：适用于根据公司章程或股东会授权，回购股份方案无需提交股东会审议的情形。）</w:t>
      </w:r>
    </w:p>
    <w:p w14:paraId="36E07FE7">
      <w:pPr>
        <w:widowControl/>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（三）公司为减少注册资本实施本次回购，根据公司法有关规定，尚需</w:t>
      </w:r>
      <w:r>
        <w:rPr>
          <w:rFonts w:ascii="仿宋_GB2312" w:hAnsi="宋体" w:eastAsia="仿宋_GB2312"/>
          <w:bCs/>
          <w:sz w:val="30"/>
          <w:szCs w:val="30"/>
        </w:rPr>
        <w:t>/</w:t>
      </w:r>
      <w:r>
        <w:rPr>
          <w:rFonts w:hint="eastAsia" w:ascii="仿宋_GB2312" w:hAnsi="宋体" w:eastAsia="仿宋_GB2312"/>
          <w:bCs/>
          <w:sz w:val="30"/>
          <w:szCs w:val="30"/>
        </w:rPr>
        <w:t>已经取得债权人同意的情况</w:t>
      </w:r>
      <w:r>
        <w:rPr>
          <w:rFonts w:ascii="仿宋_GB2312" w:hAnsi="宋体" w:eastAsia="仿宋_GB2312"/>
          <w:bCs/>
          <w:sz w:val="30"/>
          <w:szCs w:val="30"/>
        </w:rPr>
        <w:t>……</w:t>
      </w:r>
    </w:p>
    <w:p w14:paraId="28437301">
      <w:pPr>
        <w:widowControl/>
        <w:spacing w:line="600" w:lineRule="exact"/>
        <w:ind w:firstLine="600" w:firstLineChars="200"/>
        <w:rPr>
          <w:rFonts w:ascii="仿宋_GB2312" w:hAnsi="宋体" w:eastAsia="仿宋_GB2312"/>
          <w:bCs/>
          <w:sz w:val="30"/>
          <w:szCs w:val="30"/>
        </w:rPr>
      </w:pPr>
      <w:r>
        <w:rPr>
          <w:rFonts w:hint="eastAsia" w:ascii="仿宋_GB2312" w:hAnsi="宋体" w:eastAsia="仿宋_GB2312" w:cs="宋体-WinCharSetFFFF-H"/>
          <w:color w:val="000000"/>
          <w:kern w:val="0"/>
          <w:sz w:val="30"/>
          <w:szCs w:val="30"/>
        </w:rPr>
        <w:t>（四）</w:t>
      </w:r>
      <w:r>
        <w:rPr>
          <w:rFonts w:hint="eastAsia" w:ascii="仿宋_GB2312" w:hAnsi="宋体" w:eastAsia="仿宋_GB2312"/>
          <w:bCs/>
          <w:sz w:val="30"/>
          <w:szCs w:val="30"/>
        </w:rPr>
        <w:t>XXXX年XX月XX日，XX向公司董事会提议回购公司股份。提议的内容为</w:t>
      </w:r>
      <w:r>
        <w:rPr>
          <w:rFonts w:ascii="仿宋_GB2312" w:hAnsi="宋体" w:eastAsia="仿宋_GB2312"/>
          <w:bCs/>
          <w:sz w:val="30"/>
          <w:szCs w:val="30"/>
        </w:rPr>
        <w:t>……</w:t>
      </w:r>
    </w:p>
    <w:p w14:paraId="09D5661A">
      <w:pPr>
        <w:widowControl/>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XXXX年XX月XX日，公司召开第XX届董事会第XX次会议审议上述回购股份提议，审议的具体情况为</w:t>
      </w:r>
      <w:r>
        <w:rPr>
          <w:rFonts w:ascii="仿宋_GB2312" w:hAnsi="宋体" w:eastAsia="仿宋_GB2312"/>
          <w:bCs/>
          <w:sz w:val="30"/>
          <w:szCs w:val="30"/>
        </w:rPr>
        <w:t>……</w:t>
      </w:r>
    </w:p>
    <w:p w14:paraId="1B889882">
      <w:pPr>
        <w:widowControl/>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上述提议时间、程序和董事会审议时间、程序等均符合《上市公司自律监管指引第</w:t>
      </w:r>
      <w:r>
        <w:rPr>
          <w:rFonts w:ascii="仿宋_GB2312" w:hAnsi="宋体" w:eastAsia="仿宋_GB2312"/>
          <w:bCs/>
          <w:sz w:val="30"/>
          <w:szCs w:val="30"/>
        </w:rPr>
        <w:t>7</w:t>
      </w:r>
      <w:r>
        <w:rPr>
          <w:rFonts w:hint="eastAsia" w:ascii="仿宋_GB2312" w:hAnsi="宋体" w:eastAsia="仿宋_GB2312"/>
          <w:bCs/>
          <w:sz w:val="30"/>
          <w:szCs w:val="30"/>
        </w:rPr>
        <w:t>号——股份回购》（以下简称《自律监管指引第</w:t>
      </w:r>
      <w:r>
        <w:rPr>
          <w:rFonts w:ascii="仿宋_GB2312" w:hAnsi="宋体" w:eastAsia="仿宋_GB2312"/>
          <w:bCs/>
          <w:sz w:val="30"/>
          <w:szCs w:val="30"/>
        </w:rPr>
        <w:t>7</w:t>
      </w:r>
      <w:r>
        <w:rPr>
          <w:rFonts w:hint="eastAsia" w:ascii="仿宋_GB2312" w:hAnsi="宋体" w:eastAsia="仿宋_GB2312"/>
          <w:bCs/>
          <w:sz w:val="30"/>
          <w:szCs w:val="30"/>
        </w:rPr>
        <w:t>号》）等相关规定。</w:t>
      </w:r>
    </w:p>
    <w:p w14:paraId="3C463CDD">
      <w:pPr>
        <w:widowControl/>
        <w:spacing w:line="600" w:lineRule="exact"/>
        <w:ind w:firstLine="480" w:firstLineChars="200"/>
        <w:rPr>
          <w:rFonts w:ascii="楷体" w:hAnsi="楷体" w:eastAsia="楷体"/>
          <w:sz w:val="24"/>
        </w:rPr>
      </w:pPr>
      <w:r>
        <w:rPr>
          <w:rFonts w:hint="eastAsia" w:ascii="楷体" w:hAnsi="楷体" w:eastAsia="楷体"/>
          <w:sz w:val="24"/>
        </w:rPr>
        <w:t>（编制提醒：</w:t>
      </w:r>
    </w:p>
    <w:p w14:paraId="7DEF2365">
      <w:pPr>
        <w:widowControl/>
        <w:spacing w:line="600" w:lineRule="exact"/>
        <w:ind w:firstLine="480" w:firstLineChars="200"/>
        <w:rPr>
          <w:rFonts w:ascii="楷体" w:hAnsi="楷体" w:eastAsia="楷体"/>
          <w:sz w:val="24"/>
        </w:rPr>
      </w:pPr>
      <w:r>
        <w:rPr>
          <w:rFonts w:ascii="楷体" w:hAnsi="楷体" w:eastAsia="楷体"/>
          <w:sz w:val="24"/>
        </w:rPr>
        <w:t>1.</w:t>
      </w:r>
      <w:r>
        <w:rPr>
          <w:rFonts w:hint="eastAsia" w:ascii="楷体" w:hAnsi="楷体" w:eastAsia="楷体"/>
          <w:sz w:val="24"/>
        </w:rPr>
        <w:t>根据《自律监管指引第</w:t>
      </w:r>
      <w:r>
        <w:rPr>
          <w:rFonts w:ascii="楷体" w:hAnsi="楷体" w:eastAsia="楷体"/>
          <w:sz w:val="24"/>
        </w:rPr>
        <w:t>7</w:t>
      </w:r>
      <w:r>
        <w:rPr>
          <w:rFonts w:hint="eastAsia" w:ascii="楷体" w:hAnsi="楷体" w:eastAsia="楷体"/>
          <w:sz w:val="24"/>
        </w:rPr>
        <w:t>号》第二十八条规定，根据相关法律法规及公司章程等享有提案权的提议人可以向上市公司董事会提议回购股份。提议人的提议应当明确具体，符合公司的实际情况，具有合理性和可行性，并至少包括《自律监管指引第</w:t>
      </w:r>
      <w:r>
        <w:rPr>
          <w:rFonts w:ascii="楷体" w:hAnsi="楷体" w:eastAsia="楷体"/>
          <w:sz w:val="24"/>
        </w:rPr>
        <w:t>7</w:t>
      </w:r>
      <w:r>
        <w:rPr>
          <w:rFonts w:hint="eastAsia" w:ascii="楷体" w:hAnsi="楷体" w:eastAsia="楷体"/>
          <w:sz w:val="24"/>
        </w:rPr>
        <w:t>号》第二十九条第（二）项、第（三）项、第（四）项规定的内容；</w:t>
      </w:r>
    </w:p>
    <w:p w14:paraId="56238A8B">
      <w:pPr>
        <w:widowControl/>
        <w:spacing w:line="600" w:lineRule="exact"/>
        <w:ind w:firstLine="480" w:firstLineChars="200"/>
        <w:rPr>
          <w:rFonts w:ascii="楷体" w:hAnsi="楷体" w:eastAsia="楷体"/>
          <w:sz w:val="24"/>
        </w:rPr>
      </w:pPr>
      <w:r>
        <w:rPr>
          <w:rFonts w:ascii="楷体" w:hAnsi="楷体" w:eastAsia="楷体"/>
          <w:sz w:val="24"/>
        </w:rPr>
        <w:t>2.</w:t>
      </w:r>
      <w:r>
        <w:rPr>
          <w:rFonts w:hint="eastAsia" w:ascii="楷体" w:hAnsi="楷体" w:eastAsia="楷体"/>
          <w:sz w:val="24"/>
        </w:rPr>
        <w:t>提议人拟提议公司进行《自律监管指引第</w:t>
      </w:r>
      <w:r>
        <w:rPr>
          <w:rFonts w:ascii="楷体" w:hAnsi="楷体" w:eastAsia="楷体"/>
          <w:sz w:val="24"/>
        </w:rPr>
        <w:t>7</w:t>
      </w:r>
      <w:r>
        <w:rPr>
          <w:rFonts w:hint="eastAsia" w:ascii="楷体" w:hAnsi="楷体" w:eastAsia="楷体"/>
          <w:sz w:val="24"/>
        </w:rPr>
        <w:t>号》第二条第一款第（四）项规定情形的股份回购的，应当在《自律监管指引第</w:t>
      </w:r>
      <w:r>
        <w:rPr>
          <w:rFonts w:ascii="楷体" w:hAnsi="楷体" w:eastAsia="楷体"/>
          <w:sz w:val="24"/>
        </w:rPr>
        <w:t>7</w:t>
      </w:r>
      <w:r>
        <w:rPr>
          <w:rFonts w:hint="eastAsia" w:ascii="楷体" w:hAnsi="楷体" w:eastAsia="楷体"/>
          <w:sz w:val="24"/>
        </w:rPr>
        <w:t>号》第二条第二款规定的相关事实发生之日起</w:t>
      </w:r>
      <w:r>
        <w:rPr>
          <w:rFonts w:ascii="楷体" w:hAnsi="楷体" w:eastAsia="楷体"/>
          <w:sz w:val="24"/>
        </w:rPr>
        <w:t>10个交易日内向上市公司董事会提出。</w:t>
      </w:r>
      <w:r>
        <w:rPr>
          <w:rFonts w:hint="eastAsia" w:ascii="楷体" w:hAnsi="楷体" w:eastAsia="楷体"/>
          <w:sz w:val="24"/>
        </w:rPr>
        <w:t>上市公司收到符合条件的提议后，应当立即召开董事会审议，并将提议与董事会决议同时公告。）</w:t>
      </w:r>
    </w:p>
    <w:p w14:paraId="4E954405">
      <w:pPr>
        <w:widowControl/>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（五）本次回购股份中</w:t>
      </w:r>
      <w:r>
        <w:rPr>
          <w:rFonts w:hint="eastAsia" w:ascii="仿宋_GB2312" w:hAnsi="微软雅黑" w:eastAsia="仿宋_GB2312"/>
          <w:sz w:val="30"/>
          <w:szCs w:val="30"/>
        </w:rPr>
        <w:t>为维护公司价值及股东权益部分，需要明确具体符合何种回购条件，明确符合《自律监管指引第</w:t>
      </w:r>
      <w:r>
        <w:rPr>
          <w:rFonts w:ascii="仿宋_GB2312" w:hAnsi="微软雅黑" w:eastAsia="仿宋_GB2312"/>
          <w:sz w:val="30"/>
          <w:szCs w:val="30"/>
        </w:rPr>
        <w:t>7</w:t>
      </w:r>
      <w:r>
        <w:rPr>
          <w:rFonts w:hint="eastAsia" w:ascii="仿宋_GB2312" w:hAnsi="微软雅黑" w:eastAsia="仿宋_GB2312"/>
          <w:sz w:val="30"/>
          <w:szCs w:val="30"/>
        </w:rPr>
        <w:t>号》有关董事会召开时间和程序的要求。</w:t>
      </w:r>
    </w:p>
    <w:p w14:paraId="0B7A4508">
      <w:pPr>
        <w:widowControl/>
        <w:spacing w:line="600" w:lineRule="exact"/>
        <w:ind w:firstLine="480" w:firstLineChars="200"/>
        <w:rPr>
          <w:rFonts w:ascii="楷体" w:hAnsi="楷体" w:eastAsia="楷体"/>
          <w:sz w:val="24"/>
        </w:rPr>
      </w:pPr>
      <w:r>
        <w:rPr>
          <w:rFonts w:ascii="楷体" w:hAnsi="楷体" w:eastAsia="楷体"/>
          <w:sz w:val="24"/>
        </w:rPr>
        <w:t>(编制提醒：1.</w:t>
      </w:r>
      <w:r>
        <w:rPr>
          <w:rFonts w:hint="eastAsia" w:ascii="楷体" w:hAnsi="楷体" w:eastAsia="楷体"/>
          <w:sz w:val="24"/>
        </w:rPr>
        <w:t>为维护公司价值及股东权益部分的回购，需符合《自律监管指引第</w:t>
      </w:r>
      <w:r>
        <w:rPr>
          <w:rFonts w:ascii="楷体" w:hAnsi="楷体" w:eastAsia="楷体"/>
          <w:sz w:val="24"/>
        </w:rPr>
        <w:t>7</w:t>
      </w:r>
      <w:r>
        <w:rPr>
          <w:rFonts w:hint="eastAsia" w:ascii="楷体" w:hAnsi="楷体" w:eastAsia="楷体"/>
          <w:sz w:val="24"/>
        </w:rPr>
        <w:t>号》第二条第二款规定的“公司股票收盘价格低于最近一期每股净资产”、“连续20个交易日内公司股票收盘价格跌幅累计达到20%”或者“公司股票收盘价格低于最近一年股票最高收盘价格的50%”等条件。</w:t>
      </w:r>
    </w:p>
    <w:p w14:paraId="52FBFF5D">
      <w:pPr>
        <w:widowControl/>
        <w:spacing w:line="600" w:lineRule="exact"/>
        <w:ind w:firstLine="480" w:firstLineChars="200"/>
        <w:rPr>
          <w:rFonts w:ascii="楷体" w:hAnsi="楷体" w:eastAsia="楷体"/>
          <w:sz w:val="24"/>
        </w:rPr>
      </w:pPr>
      <w:r>
        <w:rPr>
          <w:rFonts w:hint="eastAsia" w:ascii="楷体" w:hAnsi="楷体" w:eastAsia="楷体"/>
          <w:sz w:val="24"/>
        </w:rPr>
        <w:t>2.</w:t>
      </w:r>
      <w:r>
        <w:rPr>
          <w:rFonts w:ascii="楷体" w:hAnsi="楷体" w:eastAsia="楷体"/>
          <w:sz w:val="24"/>
        </w:rPr>
        <w:t>根据《</w:t>
      </w:r>
      <w:r>
        <w:rPr>
          <w:rFonts w:hint="eastAsia" w:ascii="楷体" w:hAnsi="楷体" w:eastAsia="楷体"/>
          <w:sz w:val="24"/>
        </w:rPr>
        <w:t>自律监管指引第</w:t>
      </w:r>
      <w:r>
        <w:rPr>
          <w:rFonts w:ascii="楷体" w:hAnsi="楷体" w:eastAsia="楷体"/>
          <w:sz w:val="24"/>
        </w:rPr>
        <w:t>7</w:t>
      </w:r>
      <w:r>
        <w:rPr>
          <w:rFonts w:hint="eastAsia" w:ascii="楷体" w:hAnsi="楷体" w:eastAsia="楷体"/>
          <w:sz w:val="24"/>
        </w:rPr>
        <w:t>号</w:t>
      </w:r>
      <w:r>
        <w:rPr>
          <w:rFonts w:ascii="楷体" w:hAnsi="楷体" w:eastAsia="楷体"/>
          <w:sz w:val="24"/>
        </w:rPr>
        <w:t>》</w:t>
      </w:r>
      <w:r>
        <w:rPr>
          <w:rFonts w:hint="eastAsia" w:ascii="楷体" w:hAnsi="楷体" w:eastAsia="楷体"/>
          <w:sz w:val="24"/>
        </w:rPr>
        <w:t>第三十二条规定，上市公司进行为维护公司价值及股东权益所必需的股份回购的，应当在《自律监管指引第</w:t>
      </w:r>
      <w:r>
        <w:rPr>
          <w:rFonts w:ascii="楷体" w:hAnsi="楷体" w:eastAsia="楷体"/>
          <w:sz w:val="24"/>
        </w:rPr>
        <w:t>7</w:t>
      </w:r>
      <w:r>
        <w:rPr>
          <w:rFonts w:hint="eastAsia" w:ascii="楷体" w:hAnsi="楷体" w:eastAsia="楷体"/>
          <w:sz w:val="24"/>
        </w:rPr>
        <w:t>号》规定的相关事实发生之日起10个交易日内或者收到该情形回购股份提议之日起</w:t>
      </w:r>
      <w:r>
        <w:rPr>
          <w:rFonts w:ascii="楷体" w:hAnsi="楷体" w:eastAsia="楷体"/>
          <w:sz w:val="24"/>
        </w:rPr>
        <w:t>10个交易日内，召开董事会审议回购股份方案。)</w:t>
      </w:r>
    </w:p>
    <w:p w14:paraId="225DEB06">
      <w:pPr>
        <w:widowControl/>
        <w:spacing w:line="600" w:lineRule="exact"/>
        <w:ind w:firstLine="480" w:firstLineChars="200"/>
        <w:rPr>
          <w:rFonts w:ascii="楷体" w:hAnsi="楷体" w:eastAsia="楷体"/>
          <w:sz w:val="24"/>
        </w:rPr>
      </w:pPr>
    </w:p>
    <w:p w14:paraId="2DEDC6B3">
      <w:pPr>
        <w:widowControl/>
        <w:spacing w:line="600" w:lineRule="exact"/>
        <w:ind w:firstLine="630" w:firstLineChars="196"/>
        <w:jc w:val="left"/>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二、回购方案的主要内容</w:t>
      </w:r>
    </w:p>
    <w:p w14:paraId="23A66C35">
      <w:pPr>
        <w:widowControl/>
        <w:spacing w:line="600" w:lineRule="exact"/>
        <w:ind w:firstLine="588" w:firstLineChars="196"/>
        <w:jc w:val="left"/>
        <w:rPr>
          <w:rFonts w:ascii="黑体" w:hAnsi="黑体" w:eastAsia="黑体" w:cs="宋体"/>
          <w:b/>
          <w:color w:val="000000"/>
          <w:kern w:val="0"/>
          <w:sz w:val="32"/>
          <w:szCs w:val="32"/>
        </w:rPr>
      </w:pPr>
      <w:r>
        <w:rPr>
          <w:rFonts w:hint="eastAsia" w:ascii="仿宋_GB2312" w:hAnsi="宋体" w:eastAsia="仿宋_GB2312" w:cs="宋体"/>
          <w:color w:val="000000"/>
          <w:kern w:val="0"/>
          <w:sz w:val="30"/>
          <w:szCs w:val="30"/>
        </w:rPr>
        <w:t>（一）公司本次回购股份的目的</w:t>
      </w:r>
      <w:r>
        <w:rPr>
          <w:rFonts w:ascii="仿宋_GB2312" w:hAnsi="宋体" w:eastAsia="仿宋_GB2312" w:cs="宋体"/>
          <w:color w:val="000000"/>
          <w:kern w:val="0"/>
          <w:sz w:val="30"/>
          <w:szCs w:val="30"/>
        </w:rPr>
        <w:t>……</w:t>
      </w:r>
    </w:p>
    <w:p w14:paraId="2214A1DB">
      <w:pPr>
        <w:widowControl/>
        <w:spacing w:line="600" w:lineRule="exact"/>
        <w:ind w:firstLine="480" w:firstLineChars="200"/>
        <w:rPr>
          <w:rFonts w:ascii="楷体" w:hAnsi="楷体" w:eastAsia="楷体"/>
          <w:sz w:val="24"/>
        </w:rPr>
      </w:pPr>
      <w:r>
        <w:rPr>
          <w:rFonts w:hint="eastAsia" w:ascii="楷体" w:hAnsi="楷体" w:eastAsia="楷体"/>
          <w:sz w:val="24"/>
        </w:rPr>
        <w:t>（编制提醒：回购目的应当结合公司实际经营、未来发展趋势及股价变化等情况进行说明，符合客观实际。）</w:t>
      </w:r>
    </w:p>
    <w:p w14:paraId="58EBFC74">
      <w:pPr>
        <w:widowControl/>
        <w:spacing w:line="600" w:lineRule="exact"/>
        <w:ind w:firstLine="600" w:firstLineChars="200"/>
        <w:rPr>
          <w:rFonts w:ascii="仿宋_GB2312" w:hAnsi="宋体" w:eastAsia="仿宋_GB2312"/>
          <w:bCs/>
          <w:sz w:val="30"/>
          <w:szCs w:val="30"/>
        </w:rPr>
      </w:pPr>
      <w:r>
        <w:rPr>
          <w:rFonts w:hint="eastAsia" w:ascii="仿宋_GB2312" w:hAnsi="宋体" w:eastAsia="仿宋_GB2312" w:cs="宋体"/>
          <w:color w:val="000000"/>
          <w:kern w:val="0"/>
          <w:sz w:val="30"/>
          <w:szCs w:val="30"/>
        </w:rPr>
        <w:t>（二）拟回购股份的方式：</w:t>
      </w:r>
      <w:r>
        <w:rPr>
          <w:rFonts w:hint="eastAsia" w:ascii="仿宋_GB2312" w:hAnsi="宋体" w:eastAsia="仿宋_GB2312"/>
          <w:bCs/>
          <w:sz w:val="30"/>
          <w:szCs w:val="30"/>
        </w:rPr>
        <w:t>集中竞价交易方式。</w:t>
      </w:r>
    </w:p>
    <w:p w14:paraId="70B31EDA">
      <w:pPr>
        <w:widowControl/>
        <w:tabs>
          <w:tab w:val="left" w:pos="1134"/>
        </w:tabs>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（三）回购</w:t>
      </w:r>
      <w:r>
        <w:rPr>
          <w:rFonts w:hint="eastAsia" w:ascii="仿宋_GB2312" w:hAnsi="宋体" w:eastAsia="仿宋_GB2312" w:cs="宋体"/>
          <w:color w:val="000000"/>
          <w:kern w:val="0"/>
          <w:sz w:val="30"/>
          <w:szCs w:val="30"/>
        </w:rPr>
        <w:t>期限为自董事会或股东会审议通过最终股份回购方案之日起不超过XX个月。</w:t>
      </w:r>
      <w:r>
        <w:rPr>
          <w:rFonts w:hint="eastAsia" w:ascii="仿宋_GB2312" w:eastAsia="仿宋_GB2312" w:cs="宋体"/>
          <w:color w:val="000000"/>
          <w:kern w:val="0"/>
          <w:sz w:val="30"/>
          <w:szCs w:val="30"/>
        </w:rPr>
        <w:t>回购实施期间，</w:t>
      </w:r>
      <w:r>
        <w:rPr>
          <w:rFonts w:hint="eastAsia" w:ascii="仿宋_GB2312" w:hAnsi="宋体" w:eastAsia="仿宋_GB2312" w:cs="宋体"/>
          <w:color w:val="000000"/>
          <w:kern w:val="0"/>
          <w:sz w:val="30"/>
          <w:szCs w:val="30"/>
        </w:rPr>
        <w:t>公司股票如因筹划重大事项连续停牌10个交易日以上的，</w:t>
      </w:r>
      <w:r>
        <w:rPr>
          <w:rFonts w:hint="eastAsia" w:ascii="仿宋_GB2312" w:eastAsia="仿宋_GB2312" w:cs="宋体"/>
          <w:color w:val="000000"/>
          <w:kern w:val="0"/>
          <w:sz w:val="30"/>
          <w:szCs w:val="30"/>
        </w:rPr>
        <w:t>回购方案</w:t>
      </w:r>
      <w:r>
        <w:rPr>
          <w:rFonts w:hint="eastAsia" w:ascii="仿宋_GB2312" w:hAnsi="宋体" w:eastAsia="仿宋_GB2312" w:cs="宋体"/>
          <w:color w:val="000000"/>
          <w:kern w:val="0"/>
          <w:sz w:val="30"/>
          <w:szCs w:val="30"/>
        </w:rPr>
        <w:t>将在股票复牌后顺延实施并及时披露。</w:t>
      </w:r>
    </w:p>
    <w:p w14:paraId="3A72746D">
      <w:pPr>
        <w:widowControl/>
        <w:spacing w:line="600" w:lineRule="exact"/>
        <w:ind w:firstLine="480" w:firstLineChars="200"/>
        <w:rPr>
          <w:rFonts w:ascii="楷体" w:hAnsi="楷体" w:eastAsia="楷体"/>
          <w:sz w:val="24"/>
        </w:rPr>
      </w:pPr>
      <w:r>
        <w:rPr>
          <w:rFonts w:hint="eastAsia" w:ascii="楷体" w:hAnsi="楷体" w:eastAsia="楷体"/>
          <w:sz w:val="24"/>
        </w:rPr>
        <w:t>（编制提醒：</w:t>
      </w:r>
    </w:p>
    <w:p w14:paraId="0C7607BD">
      <w:pPr>
        <w:widowControl/>
        <w:spacing w:line="600" w:lineRule="exact"/>
        <w:ind w:firstLine="480" w:firstLineChars="200"/>
        <w:rPr>
          <w:rFonts w:ascii="楷体" w:hAnsi="楷体" w:eastAsia="楷体"/>
          <w:sz w:val="24"/>
        </w:rPr>
      </w:pPr>
      <w:r>
        <w:rPr>
          <w:rFonts w:ascii="楷体" w:hAnsi="楷体" w:eastAsia="楷体"/>
          <w:sz w:val="24"/>
        </w:rPr>
        <w:t>1.</w:t>
      </w:r>
      <w:r>
        <w:rPr>
          <w:rFonts w:hint="eastAsia" w:ascii="楷体" w:hAnsi="楷体" w:eastAsia="楷体"/>
          <w:sz w:val="24"/>
        </w:rPr>
        <w:t>根据《自律监管指引第</w:t>
      </w:r>
      <w:r>
        <w:rPr>
          <w:rFonts w:ascii="楷体" w:hAnsi="楷体" w:eastAsia="楷体"/>
          <w:sz w:val="24"/>
        </w:rPr>
        <w:t>7</w:t>
      </w:r>
      <w:r>
        <w:rPr>
          <w:rFonts w:hint="eastAsia" w:ascii="楷体" w:hAnsi="楷体" w:eastAsia="楷体"/>
          <w:sz w:val="24"/>
        </w:rPr>
        <w:t>号》第十七条规定，公司应当在回购方案中明确回购的具体实施期限。公司应当结合不得回购股份的期间审慎确定回购期限，确保实施回购有切实可行的时间窗口；</w:t>
      </w:r>
    </w:p>
    <w:p w14:paraId="742C895C">
      <w:pPr>
        <w:widowControl/>
        <w:spacing w:line="600" w:lineRule="exact"/>
        <w:ind w:firstLine="480" w:firstLineChars="200"/>
        <w:rPr>
          <w:rFonts w:ascii="楷体" w:hAnsi="楷体" w:eastAsia="楷体"/>
          <w:sz w:val="24"/>
        </w:rPr>
      </w:pPr>
      <w:r>
        <w:rPr>
          <w:rFonts w:ascii="楷体" w:hAnsi="楷体" w:eastAsia="楷体"/>
          <w:sz w:val="24"/>
        </w:rPr>
        <w:t>2.</w:t>
      </w:r>
      <w:r>
        <w:rPr>
          <w:rFonts w:hint="eastAsia" w:ascii="楷体" w:hAnsi="楷体" w:eastAsia="楷体"/>
          <w:sz w:val="24"/>
        </w:rPr>
        <w:t>为减少注册资本、实施员工持股、股权激励或者转换公司发行的可转债而回购股份的，回购期限自董事会或股东会审议通过最终股份回购方案之日起不超过</w:t>
      </w:r>
      <w:r>
        <w:rPr>
          <w:rFonts w:ascii="楷体" w:hAnsi="楷体" w:eastAsia="楷体"/>
          <w:sz w:val="24"/>
        </w:rPr>
        <w:t>12个月；</w:t>
      </w:r>
    </w:p>
    <w:p w14:paraId="4DB0141E">
      <w:pPr>
        <w:widowControl/>
        <w:spacing w:line="600" w:lineRule="exact"/>
        <w:ind w:firstLine="480" w:firstLineChars="200"/>
        <w:rPr>
          <w:rFonts w:ascii="楷体" w:hAnsi="楷体" w:eastAsia="楷体"/>
          <w:sz w:val="24"/>
        </w:rPr>
      </w:pPr>
      <w:r>
        <w:rPr>
          <w:rFonts w:ascii="楷体" w:hAnsi="楷体" w:eastAsia="楷体"/>
          <w:sz w:val="24"/>
        </w:rPr>
        <w:t>3.</w:t>
      </w:r>
      <w:r>
        <w:rPr>
          <w:rFonts w:hint="eastAsia" w:ascii="楷体" w:hAnsi="楷体" w:eastAsia="楷体"/>
          <w:sz w:val="24"/>
        </w:rPr>
        <w:t>为维护公司价值和股东权益所必需而回购股份的，回购期限自董事会或股东会审议通过最终股份回购方案之日起不超过</w:t>
      </w:r>
      <w:r>
        <w:rPr>
          <w:rFonts w:ascii="楷体" w:hAnsi="楷体" w:eastAsia="楷体"/>
          <w:sz w:val="24"/>
        </w:rPr>
        <w:t>3个月。</w:t>
      </w:r>
      <w:r>
        <w:rPr>
          <w:rFonts w:hint="eastAsia" w:ascii="楷体" w:hAnsi="楷体" w:eastAsia="楷体"/>
          <w:sz w:val="24"/>
        </w:rPr>
        <w:t>）</w:t>
      </w:r>
    </w:p>
    <w:p w14:paraId="16632E68">
      <w:pPr>
        <w:widowControl/>
        <w:spacing w:line="600" w:lineRule="exact"/>
        <w:ind w:firstLine="450" w:firstLineChars="15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hint="eastAsia" w:eastAsia="仿宋_GB2312" w:cs="宋体"/>
          <w:color w:val="000000"/>
          <w:kern w:val="0"/>
          <w:sz w:val="30"/>
          <w:szCs w:val="30"/>
        </w:rPr>
        <w:t>四</w:t>
      </w:r>
      <w:r>
        <w:rPr>
          <w:rFonts w:hint="eastAsia" w:ascii="仿宋_GB2312" w:hAnsi="宋体" w:eastAsia="仿宋_GB2312" w:cs="宋体"/>
          <w:color w:val="000000"/>
          <w:kern w:val="0"/>
          <w:sz w:val="30"/>
          <w:szCs w:val="30"/>
        </w:rPr>
        <w:t>）拟回购股份的用途、数量、</w:t>
      </w:r>
      <w:r>
        <w:rPr>
          <w:rFonts w:hint="eastAsia" w:eastAsia="仿宋_GB2312" w:cs="宋体"/>
          <w:color w:val="000000"/>
          <w:kern w:val="0"/>
          <w:sz w:val="30"/>
          <w:szCs w:val="30"/>
        </w:rPr>
        <w:t>占公司总股本的比例、</w:t>
      </w:r>
      <w:r>
        <w:rPr>
          <w:rFonts w:hint="eastAsia" w:ascii="仿宋_GB2312" w:hAnsi="宋体" w:eastAsia="仿宋_GB2312" w:cs="宋体"/>
          <w:color w:val="000000"/>
          <w:kern w:val="0"/>
          <w:sz w:val="30"/>
          <w:szCs w:val="30"/>
        </w:rPr>
        <w:t>资金总额</w:t>
      </w:r>
    </w:p>
    <w:tbl>
      <w:tblPr>
        <w:tblStyle w:val="9"/>
        <w:tblW w:w="1020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5"/>
        <w:gridCol w:w="1559"/>
        <w:gridCol w:w="1559"/>
        <w:gridCol w:w="1418"/>
        <w:gridCol w:w="2268"/>
        <w:gridCol w:w="1559"/>
      </w:tblGrid>
      <w:tr w14:paraId="0513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906F77B">
            <w:pPr>
              <w:adjustRightInd w:val="0"/>
              <w:snapToGrid w:val="0"/>
              <w:spacing w:line="360" w:lineRule="auto"/>
              <w:jc w:val="center"/>
              <w:rPr>
                <w:rFonts w:ascii="仿宋_GB2312" w:hAnsi="宋体" w:eastAsia="仿宋_GB2312"/>
                <w:b/>
                <w:bCs/>
                <w:szCs w:val="30"/>
              </w:rPr>
            </w:pPr>
            <w:r>
              <w:rPr>
                <w:rFonts w:hint="eastAsia" w:ascii="仿宋_GB2312" w:hAnsi="宋体" w:eastAsia="仿宋_GB2312"/>
                <w:b/>
                <w:bCs/>
                <w:szCs w:val="30"/>
              </w:rPr>
              <w:t>序号</w:t>
            </w:r>
          </w:p>
        </w:tc>
        <w:tc>
          <w:tcPr>
            <w:tcW w:w="2694" w:type="dxa"/>
            <w:gridSpan w:val="2"/>
            <w:vAlign w:val="center"/>
          </w:tcPr>
          <w:p w14:paraId="6456233B">
            <w:pPr>
              <w:adjustRightInd w:val="0"/>
              <w:snapToGrid w:val="0"/>
              <w:spacing w:line="360" w:lineRule="auto"/>
              <w:jc w:val="center"/>
              <w:rPr>
                <w:rFonts w:ascii="仿宋_GB2312" w:hAnsi="宋体" w:eastAsia="仿宋_GB2312"/>
                <w:b/>
                <w:bCs/>
                <w:szCs w:val="30"/>
              </w:rPr>
            </w:pPr>
            <w:r>
              <w:rPr>
                <w:rFonts w:hint="eastAsia" w:ascii="仿宋_GB2312" w:hAnsi="宋体" w:eastAsia="仿宋_GB2312"/>
                <w:b/>
                <w:bCs/>
                <w:szCs w:val="30"/>
              </w:rPr>
              <w:t>回购用途</w:t>
            </w:r>
          </w:p>
        </w:tc>
        <w:tc>
          <w:tcPr>
            <w:tcW w:w="1559" w:type="dxa"/>
            <w:vAlign w:val="center"/>
          </w:tcPr>
          <w:p w14:paraId="7C97D148">
            <w:pPr>
              <w:adjustRightInd w:val="0"/>
              <w:snapToGrid w:val="0"/>
              <w:spacing w:line="360" w:lineRule="auto"/>
              <w:jc w:val="center"/>
              <w:rPr>
                <w:rFonts w:ascii="仿宋_GB2312" w:hAnsi="宋体" w:eastAsia="仿宋_GB2312"/>
                <w:b/>
                <w:bCs/>
                <w:szCs w:val="30"/>
              </w:rPr>
            </w:pPr>
            <w:r>
              <w:rPr>
                <w:rFonts w:hint="eastAsia" w:ascii="仿宋_GB2312" w:hAnsi="宋体" w:eastAsia="仿宋_GB2312"/>
                <w:b/>
                <w:bCs/>
                <w:szCs w:val="30"/>
              </w:rPr>
              <w:t>拟回购数量</w:t>
            </w:r>
          </w:p>
          <w:p w14:paraId="69D28C66">
            <w:pPr>
              <w:adjustRightInd w:val="0"/>
              <w:snapToGrid w:val="0"/>
              <w:spacing w:line="360" w:lineRule="auto"/>
              <w:jc w:val="center"/>
              <w:rPr>
                <w:rFonts w:ascii="仿宋_GB2312" w:hAnsi="宋体" w:eastAsia="仿宋_GB2312"/>
                <w:b/>
                <w:bCs/>
                <w:szCs w:val="30"/>
              </w:rPr>
            </w:pPr>
            <w:r>
              <w:rPr>
                <w:rFonts w:hint="eastAsia" w:ascii="仿宋_GB2312" w:hAnsi="宋体" w:eastAsia="仿宋_GB2312"/>
                <w:b/>
                <w:bCs/>
                <w:szCs w:val="30"/>
              </w:rPr>
              <w:t>（股）</w:t>
            </w:r>
          </w:p>
        </w:tc>
        <w:tc>
          <w:tcPr>
            <w:tcW w:w="1418" w:type="dxa"/>
            <w:vAlign w:val="center"/>
          </w:tcPr>
          <w:p w14:paraId="167DBB43">
            <w:pPr>
              <w:adjustRightInd w:val="0"/>
              <w:snapToGrid w:val="0"/>
              <w:spacing w:line="360" w:lineRule="auto"/>
              <w:jc w:val="center"/>
              <w:rPr>
                <w:rFonts w:ascii="仿宋_GB2312" w:hAnsi="宋体" w:eastAsia="仿宋_GB2312"/>
                <w:b/>
                <w:bCs/>
                <w:szCs w:val="30"/>
              </w:rPr>
            </w:pPr>
            <w:r>
              <w:rPr>
                <w:rFonts w:hint="eastAsia" w:ascii="仿宋_GB2312" w:hAnsi="宋体" w:eastAsia="仿宋_GB2312"/>
                <w:b/>
                <w:bCs/>
                <w:szCs w:val="30"/>
              </w:rPr>
              <w:t>占公司总股本的比例（</w:t>
            </w:r>
            <w:r>
              <w:rPr>
                <w:rFonts w:ascii="仿宋_GB2312" w:hAnsi="宋体" w:eastAsia="仿宋_GB2312"/>
                <w:b/>
                <w:bCs/>
                <w:szCs w:val="30"/>
              </w:rPr>
              <w:t>%）</w:t>
            </w:r>
          </w:p>
        </w:tc>
        <w:tc>
          <w:tcPr>
            <w:tcW w:w="2268" w:type="dxa"/>
            <w:vAlign w:val="center"/>
          </w:tcPr>
          <w:p w14:paraId="482F3183">
            <w:pPr>
              <w:adjustRightInd w:val="0"/>
              <w:snapToGrid w:val="0"/>
              <w:spacing w:line="360" w:lineRule="auto"/>
              <w:jc w:val="center"/>
              <w:rPr>
                <w:rFonts w:ascii="仿宋_GB2312" w:hAnsi="宋体" w:eastAsia="仿宋_GB2312"/>
                <w:b/>
                <w:bCs/>
                <w:szCs w:val="30"/>
              </w:rPr>
            </w:pPr>
            <w:r>
              <w:rPr>
                <w:rFonts w:hint="eastAsia" w:ascii="仿宋_GB2312" w:hAnsi="宋体" w:eastAsia="仿宋_GB2312"/>
                <w:b/>
                <w:bCs/>
                <w:szCs w:val="30"/>
              </w:rPr>
              <w:t>拟回购资金总额</w:t>
            </w:r>
          </w:p>
          <w:p w14:paraId="09416795">
            <w:pPr>
              <w:adjustRightInd w:val="0"/>
              <w:snapToGrid w:val="0"/>
              <w:spacing w:line="360" w:lineRule="auto"/>
              <w:jc w:val="center"/>
              <w:rPr>
                <w:rFonts w:ascii="仿宋_GB2312" w:hAnsi="宋体" w:eastAsia="仿宋_GB2312"/>
                <w:b/>
                <w:bCs/>
                <w:szCs w:val="30"/>
              </w:rPr>
            </w:pPr>
            <w:r>
              <w:rPr>
                <w:rFonts w:hint="eastAsia" w:ascii="仿宋_GB2312" w:hAnsi="宋体" w:eastAsia="仿宋_GB2312"/>
                <w:b/>
                <w:bCs/>
                <w:szCs w:val="30"/>
              </w:rPr>
              <w:t>（万元）</w:t>
            </w:r>
          </w:p>
        </w:tc>
        <w:tc>
          <w:tcPr>
            <w:tcW w:w="1559" w:type="dxa"/>
            <w:vAlign w:val="center"/>
          </w:tcPr>
          <w:p w14:paraId="5975FDC2">
            <w:pPr>
              <w:adjustRightInd w:val="0"/>
              <w:snapToGrid w:val="0"/>
              <w:spacing w:line="360" w:lineRule="auto"/>
              <w:jc w:val="center"/>
              <w:rPr>
                <w:rFonts w:ascii="仿宋_GB2312" w:hAnsi="宋体" w:eastAsia="仿宋_GB2312"/>
                <w:b/>
                <w:bCs/>
                <w:szCs w:val="30"/>
              </w:rPr>
            </w:pPr>
            <w:r>
              <w:rPr>
                <w:rFonts w:hint="eastAsia" w:ascii="仿宋_GB2312" w:hAnsi="宋体" w:eastAsia="仿宋_GB2312"/>
                <w:b/>
                <w:bCs/>
                <w:szCs w:val="30"/>
              </w:rPr>
              <w:t>回购实施期限</w:t>
            </w:r>
          </w:p>
        </w:tc>
      </w:tr>
      <w:tr w14:paraId="7B5B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5A9F94EE">
            <w:pPr>
              <w:adjustRightInd w:val="0"/>
              <w:snapToGrid w:val="0"/>
              <w:spacing w:line="360" w:lineRule="auto"/>
              <w:jc w:val="center"/>
              <w:rPr>
                <w:rFonts w:ascii="仿宋_GB2312" w:hAnsi="宋体" w:eastAsia="仿宋_GB2312"/>
                <w:bCs/>
                <w:szCs w:val="30"/>
              </w:rPr>
            </w:pPr>
            <w:r>
              <w:rPr>
                <w:rFonts w:hint="eastAsia" w:ascii="仿宋_GB2312" w:hAnsi="宋体" w:eastAsia="仿宋_GB2312"/>
                <w:bCs/>
                <w:szCs w:val="30"/>
              </w:rPr>
              <w:t>1</w:t>
            </w:r>
          </w:p>
        </w:tc>
        <w:tc>
          <w:tcPr>
            <w:tcW w:w="2694" w:type="dxa"/>
            <w:gridSpan w:val="2"/>
            <w:vAlign w:val="center"/>
          </w:tcPr>
          <w:p w14:paraId="6F87DFB2">
            <w:pPr>
              <w:adjustRightInd w:val="0"/>
              <w:snapToGrid w:val="0"/>
              <w:spacing w:line="360" w:lineRule="auto"/>
              <w:jc w:val="left"/>
              <w:rPr>
                <w:rFonts w:ascii="仿宋_GB2312" w:hAnsi="宋体" w:eastAsia="仿宋_GB2312"/>
                <w:bCs/>
                <w:szCs w:val="30"/>
              </w:rPr>
            </w:pPr>
            <w:r>
              <w:rPr>
                <w:rFonts w:hint="eastAsia" w:ascii="仿宋_GB2312" w:hAnsi="宋体" w:eastAsia="仿宋_GB2312"/>
                <w:bCs/>
                <w:szCs w:val="30"/>
              </w:rPr>
              <w:t>减少注册资本</w:t>
            </w:r>
          </w:p>
        </w:tc>
        <w:tc>
          <w:tcPr>
            <w:tcW w:w="1559" w:type="dxa"/>
            <w:vAlign w:val="center"/>
          </w:tcPr>
          <w:p w14:paraId="729AE65D">
            <w:pPr>
              <w:adjustRightInd w:val="0"/>
              <w:snapToGrid w:val="0"/>
              <w:spacing w:line="360" w:lineRule="auto"/>
              <w:jc w:val="center"/>
              <w:rPr>
                <w:rFonts w:ascii="仿宋_GB2312" w:hAnsi="宋体" w:eastAsia="仿宋_GB2312"/>
                <w:bCs/>
                <w:szCs w:val="30"/>
              </w:rPr>
            </w:pPr>
          </w:p>
        </w:tc>
        <w:tc>
          <w:tcPr>
            <w:tcW w:w="1418" w:type="dxa"/>
            <w:vAlign w:val="center"/>
          </w:tcPr>
          <w:p w14:paraId="5879EB40">
            <w:pPr>
              <w:adjustRightInd w:val="0"/>
              <w:snapToGrid w:val="0"/>
              <w:spacing w:line="360" w:lineRule="auto"/>
              <w:jc w:val="center"/>
              <w:rPr>
                <w:rFonts w:ascii="仿宋_GB2312" w:hAnsi="宋体" w:eastAsia="仿宋_GB2312"/>
                <w:bCs/>
                <w:szCs w:val="30"/>
              </w:rPr>
            </w:pPr>
          </w:p>
        </w:tc>
        <w:tc>
          <w:tcPr>
            <w:tcW w:w="2268" w:type="dxa"/>
            <w:vAlign w:val="center"/>
          </w:tcPr>
          <w:p w14:paraId="066AFE6B">
            <w:pPr>
              <w:adjustRightInd w:val="0"/>
              <w:snapToGrid w:val="0"/>
              <w:spacing w:line="360" w:lineRule="auto"/>
              <w:jc w:val="center"/>
              <w:rPr>
                <w:rFonts w:ascii="仿宋_GB2312" w:hAnsi="宋体" w:eastAsia="仿宋_GB2312"/>
                <w:bCs/>
                <w:szCs w:val="30"/>
              </w:rPr>
            </w:pPr>
          </w:p>
        </w:tc>
        <w:tc>
          <w:tcPr>
            <w:tcW w:w="1559" w:type="dxa"/>
            <w:vMerge w:val="restart"/>
            <w:vAlign w:val="center"/>
          </w:tcPr>
          <w:p w14:paraId="00D057FE">
            <w:pPr>
              <w:adjustRightInd w:val="0"/>
              <w:snapToGrid w:val="0"/>
              <w:spacing w:line="360" w:lineRule="auto"/>
              <w:jc w:val="center"/>
              <w:rPr>
                <w:rFonts w:ascii="仿宋_GB2312" w:hAnsi="宋体" w:eastAsia="仿宋_GB2312"/>
                <w:bCs/>
                <w:szCs w:val="30"/>
              </w:rPr>
            </w:pPr>
          </w:p>
        </w:tc>
      </w:tr>
      <w:tr w14:paraId="2CF5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71CD6D42">
            <w:pPr>
              <w:adjustRightInd w:val="0"/>
              <w:snapToGrid w:val="0"/>
              <w:spacing w:line="360" w:lineRule="auto"/>
              <w:jc w:val="center"/>
              <w:rPr>
                <w:rFonts w:ascii="仿宋_GB2312" w:hAnsi="宋体" w:eastAsia="仿宋_GB2312"/>
                <w:bCs/>
                <w:szCs w:val="30"/>
              </w:rPr>
            </w:pPr>
            <w:r>
              <w:rPr>
                <w:rFonts w:hint="eastAsia" w:ascii="仿宋_GB2312" w:hAnsi="宋体" w:eastAsia="仿宋_GB2312"/>
                <w:bCs/>
                <w:szCs w:val="30"/>
              </w:rPr>
              <w:t>2</w:t>
            </w:r>
          </w:p>
        </w:tc>
        <w:tc>
          <w:tcPr>
            <w:tcW w:w="2694" w:type="dxa"/>
            <w:gridSpan w:val="2"/>
            <w:vAlign w:val="center"/>
          </w:tcPr>
          <w:p w14:paraId="0A94B390">
            <w:pPr>
              <w:adjustRightInd w:val="0"/>
              <w:snapToGrid w:val="0"/>
              <w:spacing w:line="360" w:lineRule="auto"/>
              <w:jc w:val="left"/>
              <w:rPr>
                <w:rFonts w:ascii="仿宋_GB2312" w:hAnsi="宋体" w:eastAsia="仿宋_GB2312"/>
                <w:bCs/>
                <w:szCs w:val="30"/>
              </w:rPr>
            </w:pPr>
            <w:r>
              <w:rPr>
                <w:rFonts w:hint="eastAsia" w:ascii="仿宋_GB2312" w:hAnsi="宋体" w:eastAsia="仿宋_GB2312"/>
                <w:bCs/>
                <w:szCs w:val="30"/>
              </w:rPr>
              <w:t>用于员工持股计划</w:t>
            </w:r>
          </w:p>
        </w:tc>
        <w:tc>
          <w:tcPr>
            <w:tcW w:w="1559" w:type="dxa"/>
            <w:vAlign w:val="center"/>
          </w:tcPr>
          <w:p w14:paraId="3280804F">
            <w:pPr>
              <w:adjustRightInd w:val="0"/>
              <w:snapToGrid w:val="0"/>
              <w:spacing w:line="360" w:lineRule="auto"/>
              <w:jc w:val="center"/>
              <w:rPr>
                <w:rFonts w:ascii="仿宋_GB2312" w:hAnsi="宋体" w:eastAsia="仿宋_GB2312"/>
                <w:bCs/>
                <w:szCs w:val="30"/>
              </w:rPr>
            </w:pPr>
          </w:p>
        </w:tc>
        <w:tc>
          <w:tcPr>
            <w:tcW w:w="1418" w:type="dxa"/>
            <w:vAlign w:val="center"/>
          </w:tcPr>
          <w:p w14:paraId="072F2244">
            <w:pPr>
              <w:adjustRightInd w:val="0"/>
              <w:snapToGrid w:val="0"/>
              <w:spacing w:line="360" w:lineRule="auto"/>
              <w:jc w:val="center"/>
              <w:rPr>
                <w:rFonts w:ascii="仿宋_GB2312" w:hAnsi="宋体" w:eastAsia="仿宋_GB2312"/>
                <w:bCs/>
                <w:szCs w:val="30"/>
              </w:rPr>
            </w:pPr>
          </w:p>
        </w:tc>
        <w:tc>
          <w:tcPr>
            <w:tcW w:w="2268" w:type="dxa"/>
            <w:vAlign w:val="center"/>
          </w:tcPr>
          <w:p w14:paraId="4970B6E9">
            <w:pPr>
              <w:adjustRightInd w:val="0"/>
              <w:snapToGrid w:val="0"/>
              <w:spacing w:line="360" w:lineRule="auto"/>
              <w:jc w:val="center"/>
              <w:rPr>
                <w:rFonts w:ascii="仿宋_GB2312" w:hAnsi="宋体" w:eastAsia="仿宋_GB2312"/>
                <w:bCs/>
                <w:szCs w:val="30"/>
              </w:rPr>
            </w:pPr>
          </w:p>
        </w:tc>
        <w:tc>
          <w:tcPr>
            <w:tcW w:w="1559" w:type="dxa"/>
            <w:vMerge w:val="continue"/>
            <w:vAlign w:val="center"/>
          </w:tcPr>
          <w:p w14:paraId="6AC4E667">
            <w:pPr>
              <w:adjustRightInd w:val="0"/>
              <w:snapToGrid w:val="0"/>
              <w:spacing w:line="360" w:lineRule="auto"/>
              <w:jc w:val="center"/>
              <w:rPr>
                <w:rFonts w:ascii="仿宋_GB2312" w:hAnsi="宋体" w:eastAsia="仿宋_GB2312"/>
                <w:bCs/>
                <w:szCs w:val="30"/>
              </w:rPr>
            </w:pPr>
          </w:p>
        </w:tc>
      </w:tr>
      <w:tr w14:paraId="5D68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71B2CFF3">
            <w:pPr>
              <w:adjustRightInd w:val="0"/>
              <w:snapToGrid w:val="0"/>
              <w:spacing w:line="360" w:lineRule="auto"/>
              <w:jc w:val="center"/>
              <w:rPr>
                <w:rFonts w:ascii="仿宋_GB2312" w:hAnsi="宋体" w:eastAsia="仿宋_GB2312"/>
                <w:bCs/>
                <w:szCs w:val="30"/>
              </w:rPr>
            </w:pPr>
            <w:r>
              <w:rPr>
                <w:rFonts w:hint="eastAsia" w:ascii="仿宋_GB2312" w:hAnsi="宋体" w:eastAsia="仿宋_GB2312"/>
                <w:bCs/>
                <w:szCs w:val="30"/>
              </w:rPr>
              <w:t>3</w:t>
            </w:r>
          </w:p>
        </w:tc>
        <w:tc>
          <w:tcPr>
            <w:tcW w:w="2694" w:type="dxa"/>
            <w:gridSpan w:val="2"/>
            <w:vAlign w:val="center"/>
          </w:tcPr>
          <w:p w14:paraId="5268EECF">
            <w:pPr>
              <w:adjustRightInd w:val="0"/>
              <w:snapToGrid w:val="0"/>
              <w:spacing w:line="360" w:lineRule="auto"/>
              <w:jc w:val="left"/>
              <w:rPr>
                <w:rFonts w:ascii="仿宋_GB2312" w:hAnsi="宋体" w:eastAsia="仿宋_GB2312"/>
                <w:bCs/>
                <w:szCs w:val="30"/>
              </w:rPr>
            </w:pPr>
            <w:r>
              <w:rPr>
                <w:rFonts w:hint="eastAsia" w:ascii="仿宋_GB2312" w:hAnsi="宋体" w:eastAsia="仿宋_GB2312"/>
                <w:bCs/>
                <w:szCs w:val="30"/>
              </w:rPr>
              <w:t>用于股权激励</w:t>
            </w:r>
          </w:p>
        </w:tc>
        <w:tc>
          <w:tcPr>
            <w:tcW w:w="1559" w:type="dxa"/>
            <w:vAlign w:val="center"/>
          </w:tcPr>
          <w:p w14:paraId="2C6A8ECF">
            <w:pPr>
              <w:adjustRightInd w:val="0"/>
              <w:snapToGrid w:val="0"/>
              <w:spacing w:line="360" w:lineRule="auto"/>
              <w:jc w:val="center"/>
              <w:rPr>
                <w:rFonts w:ascii="仿宋_GB2312" w:hAnsi="宋体" w:eastAsia="仿宋_GB2312"/>
                <w:bCs/>
                <w:szCs w:val="30"/>
              </w:rPr>
            </w:pPr>
          </w:p>
        </w:tc>
        <w:tc>
          <w:tcPr>
            <w:tcW w:w="1418" w:type="dxa"/>
            <w:vAlign w:val="center"/>
          </w:tcPr>
          <w:p w14:paraId="649106B0">
            <w:pPr>
              <w:adjustRightInd w:val="0"/>
              <w:snapToGrid w:val="0"/>
              <w:spacing w:line="360" w:lineRule="auto"/>
              <w:jc w:val="center"/>
              <w:rPr>
                <w:rFonts w:ascii="仿宋_GB2312" w:hAnsi="宋体" w:eastAsia="仿宋_GB2312"/>
                <w:bCs/>
                <w:szCs w:val="30"/>
              </w:rPr>
            </w:pPr>
          </w:p>
        </w:tc>
        <w:tc>
          <w:tcPr>
            <w:tcW w:w="2268" w:type="dxa"/>
            <w:vAlign w:val="center"/>
          </w:tcPr>
          <w:p w14:paraId="3B773B6C">
            <w:pPr>
              <w:adjustRightInd w:val="0"/>
              <w:snapToGrid w:val="0"/>
              <w:spacing w:line="360" w:lineRule="auto"/>
              <w:jc w:val="center"/>
              <w:rPr>
                <w:rFonts w:ascii="仿宋_GB2312" w:hAnsi="宋体" w:eastAsia="仿宋_GB2312"/>
                <w:bCs/>
                <w:szCs w:val="30"/>
              </w:rPr>
            </w:pPr>
          </w:p>
        </w:tc>
        <w:tc>
          <w:tcPr>
            <w:tcW w:w="1559" w:type="dxa"/>
            <w:vMerge w:val="continue"/>
            <w:vAlign w:val="center"/>
          </w:tcPr>
          <w:p w14:paraId="4B53238F">
            <w:pPr>
              <w:adjustRightInd w:val="0"/>
              <w:snapToGrid w:val="0"/>
              <w:spacing w:line="360" w:lineRule="auto"/>
              <w:jc w:val="center"/>
              <w:rPr>
                <w:rFonts w:ascii="仿宋_GB2312" w:hAnsi="宋体" w:eastAsia="仿宋_GB2312"/>
                <w:bCs/>
                <w:szCs w:val="30"/>
              </w:rPr>
            </w:pPr>
          </w:p>
        </w:tc>
      </w:tr>
      <w:tr w14:paraId="0B9A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223E6CD6">
            <w:pPr>
              <w:adjustRightInd w:val="0"/>
              <w:snapToGrid w:val="0"/>
              <w:spacing w:line="360" w:lineRule="auto"/>
              <w:jc w:val="center"/>
              <w:rPr>
                <w:rFonts w:ascii="仿宋_GB2312" w:hAnsi="宋体" w:eastAsia="仿宋_GB2312"/>
                <w:bCs/>
                <w:szCs w:val="30"/>
              </w:rPr>
            </w:pPr>
            <w:r>
              <w:rPr>
                <w:rFonts w:hint="eastAsia" w:ascii="仿宋_GB2312" w:hAnsi="宋体" w:eastAsia="仿宋_GB2312"/>
                <w:bCs/>
                <w:szCs w:val="30"/>
              </w:rPr>
              <w:t>4</w:t>
            </w:r>
          </w:p>
        </w:tc>
        <w:tc>
          <w:tcPr>
            <w:tcW w:w="2694" w:type="dxa"/>
            <w:gridSpan w:val="2"/>
            <w:vAlign w:val="center"/>
          </w:tcPr>
          <w:p w14:paraId="49E1A266">
            <w:pPr>
              <w:adjustRightInd w:val="0"/>
              <w:snapToGrid w:val="0"/>
              <w:spacing w:line="360" w:lineRule="auto"/>
              <w:jc w:val="left"/>
              <w:rPr>
                <w:rFonts w:ascii="仿宋_GB2312" w:hAnsi="宋体" w:eastAsia="仿宋_GB2312"/>
                <w:bCs/>
                <w:szCs w:val="30"/>
              </w:rPr>
            </w:pPr>
            <w:r>
              <w:rPr>
                <w:rFonts w:hint="eastAsia" w:ascii="仿宋_GB2312" w:hAnsi="宋体" w:eastAsia="仿宋_GB2312"/>
                <w:bCs/>
                <w:szCs w:val="30"/>
              </w:rPr>
              <w:t>用于转换公司可转债</w:t>
            </w:r>
          </w:p>
        </w:tc>
        <w:tc>
          <w:tcPr>
            <w:tcW w:w="1559" w:type="dxa"/>
            <w:vAlign w:val="center"/>
          </w:tcPr>
          <w:p w14:paraId="5C68411F">
            <w:pPr>
              <w:adjustRightInd w:val="0"/>
              <w:snapToGrid w:val="0"/>
              <w:spacing w:line="360" w:lineRule="auto"/>
              <w:jc w:val="center"/>
              <w:rPr>
                <w:rFonts w:ascii="仿宋_GB2312" w:hAnsi="宋体" w:eastAsia="仿宋_GB2312"/>
                <w:bCs/>
                <w:szCs w:val="30"/>
              </w:rPr>
            </w:pPr>
          </w:p>
        </w:tc>
        <w:tc>
          <w:tcPr>
            <w:tcW w:w="1418" w:type="dxa"/>
            <w:vAlign w:val="center"/>
          </w:tcPr>
          <w:p w14:paraId="04C91ED9">
            <w:pPr>
              <w:adjustRightInd w:val="0"/>
              <w:snapToGrid w:val="0"/>
              <w:spacing w:line="360" w:lineRule="auto"/>
              <w:jc w:val="center"/>
              <w:rPr>
                <w:rFonts w:ascii="仿宋_GB2312" w:hAnsi="宋体" w:eastAsia="仿宋_GB2312"/>
                <w:bCs/>
                <w:szCs w:val="30"/>
              </w:rPr>
            </w:pPr>
          </w:p>
        </w:tc>
        <w:tc>
          <w:tcPr>
            <w:tcW w:w="2268" w:type="dxa"/>
            <w:vAlign w:val="center"/>
          </w:tcPr>
          <w:p w14:paraId="2507C527">
            <w:pPr>
              <w:adjustRightInd w:val="0"/>
              <w:snapToGrid w:val="0"/>
              <w:spacing w:line="360" w:lineRule="auto"/>
              <w:jc w:val="center"/>
              <w:rPr>
                <w:rFonts w:ascii="仿宋_GB2312" w:hAnsi="宋体" w:eastAsia="仿宋_GB2312"/>
                <w:bCs/>
                <w:szCs w:val="30"/>
              </w:rPr>
            </w:pPr>
          </w:p>
        </w:tc>
        <w:tc>
          <w:tcPr>
            <w:tcW w:w="1559" w:type="dxa"/>
            <w:vMerge w:val="continue"/>
            <w:vAlign w:val="center"/>
          </w:tcPr>
          <w:p w14:paraId="7041D159">
            <w:pPr>
              <w:adjustRightInd w:val="0"/>
              <w:snapToGrid w:val="0"/>
              <w:spacing w:line="360" w:lineRule="auto"/>
              <w:jc w:val="center"/>
              <w:rPr>
                <w:rFonts w:ascii="仿宋_GB2312" w:hAnsi="宋体" w:eastAsia="仿宋_GB2312"/>
                <w:bCs/>
                <w:szCs w:val="30"/>
              </w:rPr>
            </w:pPr>
          </w:p>
        </w:tc>
      </w:tr>
      <w:tr w14:paraId="44B8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restart"/>
            <w:vAlign w:val="center"/>
          </w:tcPr>
          <w:p w14:paraId="36E9BD9C">
            <w:pPr>
              <w:adjustRightInd w:val="0"/>
              <w:snapToGrid w:val="0"/>
              <w:spacing w:line="360" w:lineRule="auto"/>
              <w:jc w:val="center"/>
              <w:rPr>
                <w:rFonts w:ascii="仿宋_GB2312" w:hAnsi="宋体" w:eastAsia="仿宋_GB2312"/>
                <w:bCs/>
                <w:szCs w:val="30"/>
              </w:rPr>
            </w:pPr>
            <w:r>
              <w:rPr>
                <w:rFonts w:hint="eastAsia" w:ascii="仿宋_GB2312" w:hAnsi="宋体" w:eastAsia="仿宋_GB2312"/>
                <w:bCs/>
                <w:szCs w:val="30"/>
              </w:rPr>
              <w:t>5</w:t>
            </w:r>
          </w:p>
        </w:tc>
        <w:tc>
          <w:tcPr>
            <w:tcW w:w="1135" w:type="dxa"/>
            <w:vMerge w:val="restart"/>
            <w:vAlign w:val="center"/>
          </w:tcPr>
          <w:p w14:paraId="44907CB8">
            <w:pPr>
              <w:adjustRightInd w:val="0"/>
              <w:snapToGrid w:val="0"/>
              <w:spacing w:line="360" w:lineRule="auto"/>
              <w:jc w:val="center"/>
              <w:rPr>
                <w:rFonts w:ascii="仿宋_GB2312" w:hAnsi="宋体" w:eastAsia="仿宋_GB2312"/>
                <w:bCs/>
                <w:szCs w:val="30"/>
              </w:rPr>
            </w:pPr>
            <w:r>
              <w:rPr>
                <w:rFonts w:hint="eastAsia" w:ascii="仿宋_GB2312" w:hAnsi="宋体" w:eastAsia="仿宋_GB2312"/>
                <w:bCs/>
                <w:szCs w:val="30"/>
              </w:rPr>
              <w:t>为维护公司价值及股东权益</w:t>
            </w:r>
          </w:p>
        </w:tc>
        <w:tc>
          <w:tcPr>
            <w:tcW w:w="1559" w:type="dxa"/>
            <w:vAlign w:val="center"/>
          </w:tcPr>
          <w:p w14:paraId="4398F3FE">
            <w:pPr>
              <w:adjustRightInd w:val="0"/>
              <w:snapToGrid w:val="0"/>
              <w:spacing w:line="360" w:lineRule="auto"/>
              <w:jc w:val="center"/>
              <w:rPr>
                <w:rFonts w:ascii="仿宋_GB2312" w:hAnsi="宋体" w:eastAsia="仿宋_GB2312"/>
                <w:bCs/>
                <w:szCs w:val="30"/>
              </w:rPr>
            </w:pPr>
            <w:r>
              <w:rPr>
                <w:rFonts w:hint="eastAsia" w:ascii="仿宋_GB2312" w:hAnsi="宋体" w:eastAsia="仿宋_GB2312"/>
                <w:bCs/>
                <w:szCs w:val="30"/>
              </w:rPr>
              <w:t>减少注册资本</w:t>
            </w:r>
          </w:p>
        </w:tc>
        <w:tc>
          <w:tcPr>
            <w:tcW w:w="1559" w:type="dxa"/>
            <w:vAlign w:val="center"/>
          </w:tcPr>
          <w:p w14:paraId="6DC35663">
            <w:pPr>
              <w:adjustRightInd w:val="0"/>
              <w:snapToGrid w:val="0"/>
              <w:spacing w:line="360" w:lineRule="auto"/>
              <w:jc w:val="center"/>
              <w:rPr>
                <w:rFonts w:ascii="仿宋_GB2312" w:hAnsi="宋体" w:eastAsia="仿宋_GB2312"/>
                <w:bCs/>
                <w:szCs w:val="30"/>
              </w:rPr>
            </w:pPr>
          </w:p>
        </w:tc>
        <w:tc>
          <w:tcPr>
            <w:tcW w:w="1418" w:type="dxa"/>
            <w:vAlign w:val="center"/>
          </w:tcPr>
          <w:p w14:paraId="18A160E9">
            <w:pPr>
              <w:adjustRightInd w:val="0"/>
              <w:snapToGrid w:val="0"/>
              <w:spacing w:line="360" w:lineRule="auto"/>
              <w:jc w:val="center"/>
              <w:rPr>
                <w:rFonts w:ascii="仿宋_GB2312" w:hAnsi="宋体" w:eastAsia="仿宋_GB2312"/>
                <w:bCs/>
                <w:szCs w:val="30"/>
              </w:rPr>
            </w:pPr>
          </w:p>
        </w:tc>
        <w:tc>
          <w:tcPr>
            <w:tcW w:w="2268" w:type="dxa"/>
            <w:vAlign w:val="center"/>
          </w:tcPr>
          <w:p w14:paraId="1437577D">
            <w:pPr>
              <w:adjustRightInd w:val="0"/>
              <w:snapToGrid w:val="0"/>
              <w:spacing w:line="360" w:lineRule="auto"/>
              <w:jc w:val="center"/>
              <w:rPr>
                <w:rFonts w:ascii="仿宋_GB2312" w:hAnsi="宋体" w:eastAsia="仿宋_GB2312"/>
                <w:bCs/>
                <w:szCs w:val="30"/>
              </w:rPr>
            </w:pPr>
          </w:p>
        </w:tc>
        <w:tc>
          <w:tcPr>
            <w:tcW w:w="1559" w:type="dxa"/>
            <w:vMerge w:val="restart"/>
            <w:vAlign w:val="center"/>
          </w:tcPr>
          <w:p w14:paraId="55B5175B">
            <w:pPr>
              <w:adjustRightInd w:val="0"/>
              <w:snapToGrid w:val="0"/>
              <w:spacing w:line="360" w:lineRule="auto"/>
              <w:jc w:val="center"/>
              <w:rPr>
                <w:rFonts w:ascii="仿宋_GB2312" w:hAnsi="宋体" w:eastAsia="仿宋_GB2312"/>
                <w:bCs/>
                <w:szCs w:val="30"/>
              </w:rPr>
            </w:pPr>
          </w:p>
        </w:tc>
      </w:tr>
      <w:tr w14:paraId="1EE1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vAlign w:val="center"/>
          </w:tcPr>
          <w:p w14:paraId="5EAC307A">
            <w:pPr>
              <w:adjustRightInd w:val="0"/>
              <w:snapToGrid w:val="0"/>
              <w:spacing w:line="360" w:lineRule="auto"/>
              <w:jc w:val="center"/>
              <w:rPr>
                <w:rFonts w:ascii="仿宋_GB2312" w:hAnsi="宋体" w:eastAsia="仿宋_GB2312"/>
                <w:bCs/>
                <w:szCs w:val="30"/>
              </w:rPr>
            </w:pPr>
          </w:p>
        </w:tc>
        <w:tc>
          <w:tcPr>
            <w:tcW w:w="1135" w:type="dxa"/>
            <w:vMerge w:val="continue"/>
            <w:vAlign w:val="center"/>
          </w:tcPr>
          <w:p w14:paraId="659F595F">
            <w:pPr>
              <w:adjustRightInd w:val="0"/>
              <w:snapToGrid w:val="0"/>
              <w:spacing w:line="360" w:lineRule="auto"/>
              <w:jc w:val="center"/>
              <w:rPr>
                <w:rFonts w:ascii="仿宋_GB2312" w:hAnsi="宋体" w:eastAsia="仿宋_GB2312"/>
                <w:bCs/>
                <w:szCs w:val="30"/>
              </w:rPr>
            </w:pPr>
          </w:p>
        </w:tc>
        <w:tc>
          <w:tcPr>
            <w:tcW w:w="1559" w:type="dxa"/>
            <w:vAlign w:val="center"/>
          </w:tcPr>
          <w:p w14:paraId="44A58D43">
            <w:pPr>
              <w:adjustRightInd w:val="0"/>
              <w:snapToGrid w:val="0"/>
              <w:spacing w:line="360" w:lineRule="auto"/>
              <w:jc w:val="center"/>
              <w:rPr>
                <w:rFonts w:ascii="仿宋_GB2312" w:hAnsi="宋体" w:eastAsia="仿宋_GB2312"/>
                <w:bCs/>
                <w:szCs w:val="30"/>
              </w:rPr>
            </w:pPr>
            <w:r>
              <w:rPr>
                <w:rFonts w:hint="eastAsia" w:ascii="仿宋_GB2312" w:hAnsi="宋体" w:eastAsia="仿宋_GB2312"/>
                <w:bCs/>
                <w:szCs w:val="30"/>
              </w:rPr>
              <w:t>出售</w:t>
            </w:r>
          </w:p>
        </w:tc>
        <w:tc>
          <w:tcPr>
            <w:tcW w:w="1559" w:type="dxa"/>
            <w:vAlign w:val="center"/>
          </w:tcPr>
          <w:p w14:paraId="23BC3D07">
            <w:pPr>
              <w:adjustRightInd w:val="0"/>
              <w:snapToGrid w:val="0"/>
              <w:spacing w:line="360" w:lineRule="auto"/>
              <w:jc w:val="center"/>
              <w:rPr>
                <w:rFonts w:ascii="仿宋_GB2312" w:hAnsi="宋体" w:eastAsia="仿宋_GB2312"/>
                <w:bCs/>
                <w:szCs w:val="30"/>
              </w:rPr>
            </w:pPr>
          </w:p>
        </w:tc>
        <w:tc>
          <w:tcPr>
            <w:tcW w:w="1418" w:type="dxa"/>
            <w:vAlign w:val="center"/>
          </w:tcPr>
          <w:p w14:paraId="562E5282">
            <w:pPr>
              <w:adjustRightInd w:val="0"/>
              <w:snapToGrid w:val="0"/>
              <w:spacing w:line="360" w:lineRule="auto"/>
              <w:jc w:val="center"/>
              <w:rPr>
                <w:rFonts w:ascii="仿宋_GB2312" w:hAnsi="宋体" w:eastAsia="仿宋_GB2312"/>
                <w:bCs/>
                <w:szCs w:val="30"/>
              </w:rPr>
            </w:pPr>
          </w:p>
        </w:tc>
        <w:tc>
          <w:tcPr>
            <w:tcW w:w="2268" w:type="dxa"/>
            <w:vAlign w:val="center"/>
          </w:tcPr>
          <w:p w14:paraId="06889DF1">
            <w:pPr>
              <w:adjustRightInd w:val="0"/>
              <w:snapToGrid w:val="0"/>
              <w:spacing w:line="360" w:lineRule="auto"/>
              <w:jc w:val="center"/>
              <w:rPr>
                <w:rFonts w:ascii="仿宋_GB2312" w:hAnsi="宋体" w:eastAsia="仿宋_GB2312"/>
                <w:bCs/>
                <w:szCs w:val="30"/>
              </w:rPr>
            </w:pPr>
          </w:p>
        </w:tc>
        <w:tc>
          <w:tcPr>
            <w:tcW w:w="1559" w:type="dxa"/>
            <w:vMerge w:val="continue"/>
            <w:vAlign w:val="center"/>
          </w:tcPr>
          <w:p w14:paraId="59862CC7">
            <w:pPr>
              <w:adjustRightInd w:val="0"/>
              <w:snapToGrid w:val="0"/>
              <w:spacing w:line="360" w:lineRule="auto"/>
              <w:jc w:val="center"/>
              <w:rPr>
                <w:rFonts w:ascii="仿宋_GB2312" w:hAnsi="宋体" w:eastAsia="仿宋_GB2312"/>
                <w:bCs/>
                <w:szCs w:val="30"/>
              </w:rPr>
            </w:pPr>
          </w:p>
        </w:tc>
      </w:tr>
      <w:tr w14:paraId="3156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vAlign w:val="center"/>
          </w:tcPr>
          <w:p w14:paraId="606F5DE2">
            <w:pPr>
              <w:adjustRightInd w:val="0"/>
              <w:snapToGrid w:val="0"/>
              <w:spacing w:line="360" w:lineRule="auto"/>
              <w:jc w:val="center"/>
              <w:rPr>
                <w:rFonts w:ascii="仿宋_GB2312" w:hAnsi="宋体" w:eastAsia="仿宋_GB2312"/>
                <w:bCs/>
                <w:szCs w:val="30"/>
              </w:rPr>
            </w:pPr>
          </w:p>
        </w:tc>
        <w:tc>
          <w:tcPr>
            <w:tcW w:w="1135" w:type="dxa"/>
            <w:vMerge w:val="continue"/>
            <w:vAlign w:val="center"/>
          </w:tcPr>
          <w:p w14:paraId="64D64838">
            <w:pPr>
              <w:adjustRightInd w:val="0"/>
              <w:snapToGrid w:val="0"/>
              <w:spacing w:line="360" w:lineRule="auto"/>
              <w:jc w:val="center"/>
              <w:rPr>
                <w:rFonts w:ascii="仿宋_GB2312" w:hAnsi="宋体" w:eastAsia="仿宋_GB2312"/>
                <w:bCs/>
                <w:szCs w:val="30"/>
              </w:rPr>
            </w:pPr>
          </w:p>
        </w:tc>
        <w:tc>
          <w:tcPr>
            <w:tcW w:w="1559" w:type="dxa"/>
            <w:vAlign w:val="center"/>
          </w:tcPr>
          <w:p w14:paraId="66AAE078">
            <w:pPr>
              <w:adjustRightInd w:val="0"/>
              <w:snapToGrid w:val="0"/>
              <w:spacing w:line="360" w:lineRule="auto"/>
              <w:jc w:val="center"/>
              <w:rPr>
                <w:rFonts w:ascii="仿宋_GB2312" w:hAnsi="宋体" w:eastAsia="仿宋_GB2312"/>
                <w:bCs/>
                <w:szCs w:val="30"/>
              </w:rPr>
            </w:pPr>
            <w:r>
              <w:rPr>
                <w:rFonts w:hint="eastAsia" w:ascii="仿宋_GB2312" w:hAnsi="宋体" w:eastAsia="仿宋_GB2312"/>
                <w:bCs/>
                <w:szCs w:val="30"/>
              </w:rPr>
              <w:t>其他用途</w:t>
            </w:r>
          </w:p>
        </w:tc>
        <w:tc>
          <w:tcPr>
            <w:tcW w:w="1559" w:type="dxa"/>
            <w:vAlign w:val="center"/>
          </w:tcPr>
          <w:p w14:paraId="61CF345C">
            <w:pPr>
              <w:adjustRightInd w:val="0"/>
              <w:snapToGrid w:val="0"/>
              <w:spacing w:line="360" w:lineRule="auto"/>
              <w:jc w:val="center"/>
              <w:rPr>
                <w:rFonts w:ascii="仿宋_GB2312" w:hAnsi="宋体" w:eastAsia="仿宋_GB2312"/>
                <w:bCs/>
                <w:szCs w:val="30"/>
              </w:rPr>
            </w:pPr>
          </w:p>
        </w:tc>
        <w:tc>
          <w:tcPr>
            <w:tcW w:w="1418" w:type="dxa"/>
            <w:vAlign w:val="center"/>
          </w:tcPr>
          <w:p w14:paraId="1F3E5BB4">
            <w:pPr>
              <w:adjustRightInd w:val="0"/>
              <w:snapToGrid w:val="0"/>
              <w:spacing w:line="360" w:lineRule="auto"/>
              <w:jc w:val="center"/>
              <w:rPr>
                <w:rFonts w:ascii="仿宋_GB2312" w:hAnsi="宋体" w:eastAsia="仿宋_GB2312"/>
                <w:bCs/>
                <w:szCs w:val="30"/>
              </w:rPr>
            </w:pPr>
          </w:p>
        </w:tc>
        <w:tc>
          <w:tcPr>
            <w:tcW w:w="2268" w:type="dxa"/>
            <w:vAlign w:val="center"/>
          </w:tcPr>
          <w:p w14:paraId="053AB166">
            <w:pPr>
              <w:adjustRightInd w:val="0"/>
              <w:snapToGrid w:val="0"/>
              <w:spacing w:line="360" w:lineRule="auto"/>
              <w:jc w:val="center"/>
              <w:rPr>
                <w:rFonts w:ascii="仿宋_GB2312" w:hAnsi="宋体" w:eastAsia="仿宋_GB2312"/>
                <w:bCs/>
                <w:szCs w:val="30"/>
              </w:rPr>
            </w:pPr>
          </w:p>
        </w:tc>
        <w:tc>
          <w:tcPr>
            <w:tcW w:w="1559" w:type="dxa"/>
            <w:vMerge w:val="continue"/>
            <w:vAlign w:val="center"/>
          </w:tcPr>
          <w:p w14:paraId="3B0C16A7">
            <w:pPr>
              <w:adjustRightInd w:val="0"/>
              <w:snapToGrid w:val="0"/>
              <w:spacing w:line="360" w:lineRule="auto"/>
              <w:jc w:val="center"/>
              <w:rPr>
                <w:rFonts w:ascii="仿宋_GB2312" w:hAnsi="宋体" w:eastAsia="仿宋_GB2312"/>
                <w:bCs/>
                <w:szCs w:val="30"/>
              </w:rPr>
            </w:pPr>
          </w:p>
        </w:tc>
      </w:tr>
      <w:tr w14:paraId="56CD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3" w:type="dxa"/>
            <w:gridSpan w:val="3"/>
            <w:vAlign w:val="center"/>
          </w:tcPr>
          <w:p w14:paraId="2A7F77DA">
            <w:pPr>
              <w:adjustRightInd w:val="0"/>
              <w:snapToGrid w:val="0"/>
              <w:spacing w:line="360" w:lineRule="auto"/>
              <w:jc w:val="center"/>
              <w:rPr>
                <w:rFonts w:ascii="仿宋_GB2312" w:hAnsi="宋体" w:eastAsia="仿宋_GB2312"/>
                <w:bCs/>
                <w:szCs w:val="30"/>
              </w:rPr>
            </w:pPr>
            <w:r>
              <w:rPr>
                <w:rFonts w:hint="eastAsia" w:ascii="仿宋_GB2312" w:hAnsi="宋体" w:eastAsia="仿宋_GB2312"/>
                <w:bCs/>
                <w:szCs w:val="30"/>
              </w:rPr>
              <w:t>合计</w:t>
            </w:r>
          </w:p>
        </w:tc>
        <w:tc>
          <w:tcPr>
            <w:tcW w:w="1559" w:type="dxa"/>
            <w:vAlign w:val="center"/>
          </w:tcPr>
          <w:p w14:paraId="0C8FF9BB">
            <w:pPr>
              <w:adjustRightInd w:val="0"/>
              <w:snapToGrid w:val="0"/>
              <w:spacing w:line="360" w:lineRule="auto"/>
              <w:jc w:val="center"/>
              <w:rPr>
                <w:rFonts w:ascii="仿宋_GB2312" w:hAnsi="宋体" w:eastAsia="仿宋_GB2312"/>
                <w:bCs/>
                <w:szCs w:val="30"/>
              </w:rPr>
            </w:pPr>
          </w:p>
        </w:tc>
        <w:tc>
          <w:tcPr>
            <w:tcW w:w="1418" w:type="dxa"/>
            <w:vAlign w:val="center"/>
          </w:tcPr>
          <w:p w14:paraId="597B4E28">
            <w:pPr>
              <w:adjustRightInd w:val="0"/>
              <w:snapToGrid w:val="0"/>
              <w:spacing w:line="360" w:lineRule="auto"/>
              <w:jc w:val="center"/>
              <w:rPr>
                <w:rFonts w:ascii="仿宋_GB2312" w:hAnsi="宋体" w:eastAsia="仿宋_GB2312"/>
                <w:bCs/>
                <w:szCs w:val="30"/>
              </w:rPr>
            </w:pPr>
          </w:p>
        </w:tc>
        <w:tc>
          <w:tcPr>
            <w:tcW w:w="2268" w:type="dxa"/>
            <w:vAlign w:val="center"/>
          </w:tcPr>
          <w:p w14:paraId="7E327E79">
            <w:pPr>
              <w:adjustRightInd w:val="0"/>
              <w:snapToGrid w:val="0"/>
              <w:spacing w:line="360" w:lineRule="auto"/>
              <w:jc w:val="center"/>
              <w:rPr>
                <w:rFonts w:ascii="仿宋_GB2312" w:hAnsi="宋体" w:eastAsia="仿宋_GB2312"/>
                <w:bCs/>
                <w:szCs w:val="30"/>
              </w:rPr>
            </w:pPr>
          </w:p>
        </w:tc>
        <w:tc>
          <w:tcPr>
            <w:tcW w:w="1559" w:type="dxa"/>
            <w:vAlign w:val="center"/>
          </w:tcPr>
          <w:p w14:paraId="35498272">
            <w:pPr>
              <w:adjustRightInd w:val="0"/>
              <w:snapToGrid w:val="0"/>
              <w:spacing w:line="360" w:lineRule="auto"/>
              <w:jc w:val="center"/>
              <w:rPr>
                <w:rFonts w:ascii="仿宋_GB2312" w:hAnsi="宋体" w:eastAsia="仿宋_GB2312"/>
                <w:bCs/>
                <w:szCs w:val="30"/>
              </w:rPr>
            </w:pPr>
            <w:r>
              <w:rPr>
                <w:rFonts w:hint="eastAsia" w:ascii="仿宋_GB2312" w:hAnsi="宋体" w:eastAsia="仿宋_GB2312"/>
                <w:bCs/>
                <w:szCs w:val="30"/>
              </w:rPr>
              <w:t>/</w:t>
            </w:r>
          </w:p>
        </w:tc>
      </w:tr>
    </w:tbl>
    <w:p w14:paraId="3390E508">
      <w:pPr>
        <w:widowControl/>
        <w:spacing w:line="600" w:lineRule="exact"/>
        <w:ind w:firstLine="480" w:firstLineChars="200"/>
        <w:rPr>
          <w:rFonts w:ascii="楷体" w:hAnsi="楷体" w:eastAsia="楷体"/>
          <w:sz w:val="24"/>
        </w:rPr>
      </w:pPr>
      <w:r>
        <w:rPr>
          <w:rFonts w:hint="eastAsia" w:ascii="楷体" w:hAnsi="楷体" w:eastAsia="楷体"/>
          <w:sz w:val="24"/>
        </w:rPr>
        <w:t>（编制提醒：</w:t>
      </w:r>
    </w:p>
    <w:p w14:paraId="452530E3">
      <w:pPr>
        <w:widowControl/>
        <w:spacing w:line="600" w:lineRule="exact"/>
        <w:ind w:firstLine="480" w:firstLineChars="200"/>
        <w:rPr>
          <w:rFonts w:ascii="楷体" w:hAnsi="楷体" w:eastAsia="楷体"/>
          <w:sz w:val="24"/>
        </w:rPr>
      </w:pPr>
      <w:r>
        <w:rPr>
          <w:rFonts w:ascii="楷体" w:hAnsi="楷体" w:eastAsia="楷体"/>
          <w:sz w:val="24"/>
        </w:rPr>
        <w:t>1.</w:t>
      </w:r>
      <w:r>
        <w:rPr>
          <w:rFonts w:hint="eastAsia" w:ascii="楷体" w:hAnsi="楷体" w:eastAsia="楷体"/>
          <w:sz w:val="24"/>
        </w:rPr>
        <w:t>公司董事会应当充分关注公司的资金状况、债务履行能力和持续经营能力，审慎制定、实施回购股份方案，回购规模和回购资金等应当与公司的实际财务状况相匹配；</w:t>
      </w:r>
    </w:p>
    <w:p w14:paraId="0C76CC76">
      <w:pPr>
        <w:widowControl/>
        <w:spacing w:line="600" w:lineRule="exact"/>
        <w:ind w:firstLine="480" w:firstLineChars="200"/>
        <w:rPr>
          <w:rFonts w:ascii="楷体" w:hAnsi="楷体" w:eastAsia="楷体"/>
          <w:sz w:val="24"/>
        </w:rPr>
      </w:pPr>
      <w:r>
        <w:rPr>
          <w:rFonts w:ascii="楷体" w:hAnsi="楷体" w:eastAsia="楷体"/>
          <w:sz w:val="24"/>
        </w:rPr>
        <w:t>2.公司应当合理安排回购规模和回购资金，并在回购股份方案中明确拟回购股份数量或者资金总额的上下限，且上限不得超出下限的1倍</w:t>
      </w:r>
      <w:r>
        <w:rPr>
          <w:rFonts w:hint="eastAsia" w:ascii="楷体" w:hAnsi="楷体" w:eastAsia="楷体"/>
          <w:sz w:val="24"/>
        </w:rPr>
        <w:t>；</w:t>
      </w:r>
    </w:p>
    <w:p w14:paraId="626B9C7D">
      <w:pPr>
        <w:widowControl/>
        <w:spacing w:line="600" w:lineRule="exact"/>
        <w:ind w:firstLine="480" w:firstLineChars="200"/>
        <w:rPr>
          <w:rFonts w:ascii="楷体" w:hAnsi="楷体" w:eastAsia="楷体"/>
          <w:sz w:val="24"/>
        </w:rPr>
      </w:pPr>
      <w:r>
        <w:rPr>
          <w:rFonts w:ascii="楷体" w:hAnsi="楷体" w:eastAsia="楷体"/>
          <w:sz w:val="24"/>
        </w:rPr>
        <w:t>3.公司回购股份拟用于多种用途的，应当按照前</w:t>
      </w:r>
      <w:r>
        <w:rPr>
          <w:rFonts w:hint="eastAsia" w:ascii="楷体" w:hAnsi="楷体" w:eastAsia="楷体"/>
          <w:sz w:val="24"/>
        </w:rPr>
        <w:t>述</w:t>
      </w:r>
      <w:r>
        <w:rPr>
          <w:rFonts w:ascii="楷体" w:hAnsi="楷体" w:eastAsia="楷体"/>
          <w:sz w:val="24"/>
        </w:rPr>
        <w:t>规定在回购股份方案中明确披露各用途具体对应的拟回购股份数量或者资金总额</w:t>
      </w:r>
      <w:r>
        <w:rPr>
          <w:rFonts w:hint="eastAsia" w:ascii="楷体" w:hAnsi="楷体" w:eastAsia="楷体"/>
          <w:sz w:val="24"/>
        </w:rPr>
        <w:t>；</w:t>
      </w:r>
    </w:p>
    <w:p w14:paraId="48998472">
      <w:pPr>
        <w:widowControl/>
        <w:spacing w:line="600" w:lineRule="exact"/>
        <w:ind w:firstLine="480" w:firstLineChars="200"/>
        <w:rPr>
          <w:rFonts w:ascii="楷体" w:hAnsi="楷体" w:eastAsia="楷体"/>
          <w:sz w:val="24"/>
        </w:rPr>
      </w:pPr>
      <w:r>
        <w:rPr>
          <w:rFonts w:ascii="楷体" w:hAnsi="楷体" w:eastAsia="楷体"/>
          <w:sz w:val="24"/>
        </w:rPr>
        <w:t>4.公司因</w:t>
      </w:r>
      <w:r>
        <w:rPr>
          <w:rFonts w:hint="eastAsia" w:ascii="楷体" w:hAnsi="楷体" w:eastAsia="楷体"/>
          <w:sz w:val="24"/>
        </w:rPr>
        <w:t>《自律监管指引第</w:t>
      </w:r>
      <w:r>
        <w:rPr>
          <w:rFonts w:ascii="楷体" w:hAnsi="楷体" w:eastAsia="楷体"/>
          <w:sz w:val="24"/>
        </w:rPr>
        <w:t>7</w:t>
      </w:r>
      <w:r>
        <w:rPr>
          <w:rFonts w:hint="eastAsia" w:ascii="楷体" w:hAnsi="楷体" w:eastAsia="楷体"/>
          <w:sz w:val="24"/>
        </w:rPr>
        <w:t>号》第二条第一款第（四）项规定的情形回购股份，拟用于减少注册资本或者出售的，应当按照前述规定在回购股份方案中予以明确并披露。未在方案中明确披露用于出售的，已回购股份不得出售。）</w:t>
      </w:r>
    </w:p>
    <w:p w14:paraId="1FC8A37A">
      <w:pPr>
        <w:widowControl/>
        <w:spacing w:line="600" w:lineRule="exact"/>
        <w:ind w:firstLine="600" w:firstLineChars="200"/>
        <w:rPr>
          <w:rFonts w:ascii="仿宋_GB2312" w:hAnsi="宋体" w:eastAsia="仿宋_GB2312" w:cs="宋体"/>
          <w:color w:val="000000"/>
          <w:kern w:val="0"/>
          <w:sz w:val="30"/>
          <w:szCs w:val="30"/>
        </w:rPr>
      </w:pPr>
      <w:r>
        <w:rPr>
          <w:rFonts w:hint="eastAsia" w:eastAsia="仿宋_GB2312" w:cs="宋体"/>
          <w:color w:val="000000"/>
          <w:kern w:val="0"/>
          <w:sz w:val="30"/>
          <w:szCs w:val="30"/>
        </w:rPr>
        <w:t>（五）</w:t>
      </w:r>
      <w:r>
        <w:rPr>
          <w:rFonts w:hint="eastAsia" w:ascii="仿宋_GB2312" w:hAnsi="宋体" w:eastAsia="仿宋_GB2312" w:cs="宋体"/>
          <w:color w:val="000000"/>
          <w:kern w:val="0"/>
          <w:sz w:val="30"/>
          <w:szCs w:val="30"/>
        </w:rPr>
        <w:t>本次回购的价格：XX元/股</w:t>
      </w:r>
    </w:p>
    <w:p w14:paraId="5F888C6B">
      <w:pPr>
        <w:widowControl/>
        <w:spacing w:line="600" w:lineRule="exact"/>
        <w:ind w:firstLine="480" w:firstLineChars="200"/>
        <w:rPr>
          <w:rFonts w:ascii="楷体" w:hAnsi="楷体" w:eastAsia="楷体"/>
          <w:sz w:val="24"/>
        </w:rPr>
      </w:pPr>
      <w:r>
        <w:rPr>
          <w:rFonts w:hint="eastAsia" w:ascii="楷体" w:hAnsi="楷体" w:eastAsia="楷体"/>
          <w:sz w:val="24"/>
        </w:rPr>
        <w:t>（编制提醒：使用价格区间的，请披露为：</w:t>
      </w:r>
      <w:r>
        <w:rPr>
          <w:rFonts w:ascii="楷体" w:hAnsi="楷体" w:eastAsia="楷体"/>
          <w:sz w:val="24"/>
        </w:rPr>
        <w:t>XX元/股—XX元/股</w:t>
      </w:r>
      <w:r>
        <w:rPr>
          <w:rFonts w:hint="eastAsia" w:ascii="楷体" w:hAnsi="楷体" w:eastAsia="楷体"/>
          <w:sz w:val="24"/>
        </w:rPr>
        <w:t>。）</w:t>
      </w:r>
    </w:p>
    <w:p w14:paraId="24F04023">
      <w:pPr>
        <w:widowControl/>
        <w:spacing w:line="600" w:lineRule="exact"/>
        <w:ind w:firstLine="600" w:firstLineChars="200"/>
        <w:rPr>
          <w:rFonts w:ascii="仿宋_GB2312" w:hAnsi="宋体" w:eastAsia="仿宋_GB2312"/>
          <w:bCs/>
          <w:sz w:val="30"/>
          <w:szCs w:val="30"/>
        </w:rPr>
      </w:pPr>
      <w:r>
        <w:rPr>
          <w:rFonts w:hint="eastAsia" w:eastAsia="仿宋_GB2312" w:cs="宋体"/>
          <w:color w:val="000000"/>
          <w:kern w:val="0"/>
          <w:sz w:val="30"/>
          <w:szCs w:val="30"/>
        </w:rPr>
        <w:t>本次回购价格区间上限高于董事会通过回购股份决议前</w:t>
      </w:r>
      <w:r>
        <w:rPr>
          <w:rFonts w:hint="eastAsia" w:ascii="仿宋_GB2312" w:eastAsia="仿宋_GB2312" w:cs="宋体"/>
          <w:color w:val="000000"/>
          <w:kern w:val="0"/>
          <w:sz w:val="30"/>
          <w:szCs w:val="30"/>
        </w:rPr>
        <w:t>30</w:t>
      </w:r>
      <w:r>
        <w:rPr>
          <w:rFonts w:hint="eastAsia" w:eastAsia="仿宋_GB2312" w:cs="宋体"/>
          <w:color w:val="000000"/>
          <w:kern w:val="0"/>
          <w:sz w:val="30"/>
          <w:szCs w:val="30"/>
        </w:rPr>
        <w:t>个交易日</w:t>
      </w:r>
      <w:r>
        <w:rPr>
          <w:rFonts w:hint="eastAsia" w:ascii="仿宋_GB2312" w:hAnsi="微软雅黑" w:eastAsia="仿宋_GB2312"/>
          <w:sz w:val="30"/>
          <w:szCs w:val="30"/>
        </w:rPr>
        <w:t>公司</w:t>
      </w:r>
      <w:r>
        <w:rPr>
          <w:rFonts w:ascii="仿宋_GB2312" w:hAnsi="微软雅黑" w:eastAsia="仿宋_GB2312"/>
          <w:sz w:val="30"/>
          <w:szCs w:val="30"/>
        </w:rPr>
        <w:t>股票</w:t>
      </w:r>
      <w:r>
        <w:rPr>
          <w:rFonts w:hint="eastAsia" w:ascii="仿宋_GB2312" w:hAnsi="微软雅黑" w:eastAsia="仿宋_GB2312"/>
          <w:sz w:val="30"/>
          <w:szCs w:val="30"/>
        </w:rPr>
        <w:t>交易均</w:t>
      </w:r>
      <w:r>
        <w:rPr>
          <w:rFonts w:ascii="仿宋_GB2312" w:hAnsi="微软雅黑" w:eastAsia="仿宋_GB2312"/>
          <w:sz w:val="30"/>
          <w:szCs w:val="30"/>
        </w:rPr>
        <w:t>价的150%</w:t>
      </w:r>
      <w:r>
        <w:rPr>
          <w:rFonts w:hint="eastAsia" w:eastAsia="仿宋_GB2312" w:cs="宋体"/>
          <w:color w:val="000000"/>
          <w:kern w:val="0"/>
          <w:sz w:val="30"/>
          <w:szCs w:val="30"/>
        </w:rPr>
        <w:t>，理由如下</w:t>
      </w:r>
      <w:r>
        <w:rPr>
          <w:rFonts w:ascii="仿宋_GB2312" w:hAnsi="宋体" w:eastAsia="仿宋_GB2312"/>
          <w:bCs/>
          <w:sz w:val="30"/>
          <w:szCs w:val="30"/>
        </w:rPr>
        <w:t>……</w:t>
      </w:r>
      <w:r>
        <w:rPr>
          <w:rFonts w:hint="eastAsia" w:ascii="仿宋_GB2312" w:hAnsi="宋体" w:eastAsia="仿宋_GB2312"/>
          <w:bCs/>
          <w:sz w:val="30"/>
          <w:szCs w:val="30"/>
        </w:rPr>
        <w:t>（如适用）</w:t>
      </w:r>
    </w:p>
    <w:p w14:paraId="52B6BC4E">
      <w:pPr>
        <w:widowControl/>
        <w:spacing w:line="600" w:lineRule="exact"/>
        <w:ind w:firstLine="480" w:firstLineChars="200"/>
        <w:rPr>
          <w:rFonts w:ascii="楷体" w:hAnsi="楷体" w:eastAsia="楷体"/>
          <w:sz w:val="24"/>
        </w:rPr>
      </w:pPr>
      <w:r>
        <w:rPr>
          <w:rFonts w:hint="eastAsia" w:ascii="楷体" w:hAnsi="楷体" w:eastAsia="楷体"/>
          <w:sz w:val="24"/>
        </w:rPr>
        <w:t>（编制提醒：</w:t>
      </w:r>
    </w:p>
    <w:p w14:paraId="347844E9">
      <w:pPr>
        <w:widowControl/>
        <w:spacing w:line="600" w:lineRule="exact"/>
        <w:ind w:firstLine="480" w:firstLineChars="200"/>
        <w:rPr>
          <w:rFonts w:ascii="楷体" w:hAnsi="楷体" w:eastAsia="楷体"/>
          <w:sz w:val="24"/>
        </w:rPr>
      </w:pPr>
      <w:r>
        <w:rPr>
          <w:rFonts w:ascii="楷体" w:hAnsi="楷体" w:eastAsia="楷体"/>
          <w:sz w:val="24"/>
        </w:rPr>
        <w:t>1.</w:t>
      </w:r>
      <w:r>
        <w:rPr>
          <w:rFonts w:hint="eastAsia" w:ascii="楷体" w:hAnsi="楷体" w:eastAsia="楷体"/>
          <w:sz w:val="24"/>
        </w:rPr>
        <w:t>如设置固定价格、价格区间、定价原则或累计跌幅比例等实施前提的，应当根据公司股票近期价格波动及市场整体趋势，予以审慎确定，确保实施回购有切实可行的价格窗口；</w:t>
      </w:r>
    </w:p>
    <w:p w14:paraId="7A6FBB9E">
      <w:pPr>
        <w:widowControl/>
        <w:spacing w:line="600" w:lineRule="exact"/>
        <w:ind w:firstLine="480" w:firstLineChars="200"/>
        <w:rPr>
          <w:rFonts w:ascii="楷体" w:hAnsi="楷体" w:eastAsia="楷体"/>
          <w:sz w:val="24"/>
        </w:rPr>
      </w:pPr>
      <w:r>
        <w:rPr>
          <w:rFonts w:ascii="楷体" w:hAnsi="楷体" w:eastAsia="楷体"/>
          <w:sz w:val="24"/>
        </w:rPr>
        <w:t>2.</w:t>
      </w:r>
      <w:r>
        <w:rPr>
          <w:rFonts w:hint="eastAsia" w:ascii="楷体" w:hAnsi="楷体" w:eastAsia="楷体"/>
          <w:sz w:val="24"/>
        </w:rPr>
        <w:t>交易均价按照董事会通过回购股份决议前</w:t>
      </w:r>
      <w:r>
        <w:rPr>
          <w:rFonts w:ascii="楷体" w:hAnsi="楷体" w:eastAsia="楷体"/>
          <w:sz w:val="24"/>
        </w:rPr>
        <w:t>30个交易日的股票交易总额除以股票交易总量计算。</w:t>
      </w:r>
      <w:r>
        <w:rPr>
          <w:rFonts w:hint="eastAsia" w:ascii="楷体" w:hAnsi="楷体" w:eastAsia="楷体"/>
          <w:sz w:val="24"/>
        </w:rPr>
        <w:t>）</w:t>
      </w:r>
    </w:p>
    <w:p w14:paraId="4558B8CB">
      <w:pPr>
        <w:widowControl/>
        <w:spacing w:line="600" w:lineRule="exact"/>
        <w:ind w:firstLine="600" w:firstLineChars="200"/>
        <w:rPr>
          <w:rFonts w:ascii="仿宋_GB2312" w:hAnsi="微软雅黑" w:eastAsia="仿宋_GB2312"/>
          <w:sz w:val="30"/>
          <w:szCs w:val="30"/>
        </w:rPr>
      </w:pPr>
      <w:r>
        <w:rPr>
          <w:rFonts w:hint="eastAsia" w:ascii="仿宋_GB2312" w:hAnsi="宋体" w:eastAsia="仿宋_GB2312" w:cs="宋体"/>
          <w:color w:val="000000"/>
          <w:kern w:val="0"/>
          <w:sz w:val="30"/>
          <w:szCs w:val="30"/>
        </w:rPr>
        <w:t>（六）本次回购的资金总额和资金来源</w:t>
      </w:r>
      <w:r>
        <w:rPr>
          <w:rFonts w:hint="eastAsia" w:ascii="仿宋_GB2312" w:hAnsi="微软雅黑" w:eastAsia="仿宋_GB2312"/>
          <w:sz w:val="30"/>
          <w:szCs w:val="30"/>
        </w:rPr>
        <w:t>。</w:t>
      </w:r>
    </w:p>
    <w:p w14:paraId="42F2512E">
      <w:pPr>
        <w:widowControl/>
        <w:spacing w:line="600" w:lineRule="exact"/>
        <w:ind w:firstLine="480" w:firstLineChars="200"/>
        <w:rPr>
          <w:rFonts w:ascii="楷体" w:hAnsi="楷体" w:eastAsia="楷体"/>
          <w:sz w:val="24"/>
        </w:rPr>
      </w:pPr>
      <w:r>
        <w:rPr>
          <w:rFonts w:hint="eastAsia" w:ascii="楷体" w:hAnsi="楷体" w:eastAsia="楷体"/>
          <w:sz w:val="24"/>
        </w:rPr>
        <w:t>（编制提醒：回购资金来源必须合法合规，公司应当根据实际情况如实披露回购资金来源。如使用优先股、债券募集的资金、发行普通股取得的超募资金、募投项目节余资金和已依法变更为永久补充流动资金的募集资金等，应当说明使用上述资金所履行的决策程序和信息披露情况；如使用其他合法资金的，应当披露其他合法资金的具体来源；如使用非自有资金的，应当披露具体的融资安排。）</w:t>
      </w:r>
    </w:p>
    <w:p w14:paraId="02BE29ED">
      <w:pPr>
        <w:widowControl/>
        <w:spacing w:line="600" w:lineRule="exact"/>
        <w:ind w:firstLine="600" w:firstLineChars="200"/>
        <w:rPr>
          <w:rFonts w:eastAsia="仿宋_GB2312" w:cs="宋体"/>
          <w:color w:val="000000"/>
          <w:kern w:val="0"/>
          <w:sz w:val="30"/>
          <w:szCs w:val="30"/>
        </w:rPr>
      </w:pPr>
      <w:r>
        <w:rPr>
          <w:rFonts w:hint="eastAsia" w:ascii="仿宋_GB2312" w:hAnsi="宋体" w:eastAsia="仿宋_GB2312" w:cs="宋体"/>
          <w:color w:val="000000"/>
          <w:kern w:val="0"/>
          <w:sz w:val="30"/>
          <w:szCs w:val="30"/>
        </w:rPr>
        <w:t>（七）</w:t>
      </w:r>
      <w:r>
        <w:rPr>
          <w:rFonts w:hint="eastAsia" w:eastAsia="仿宋_GB2312" w:cs="宋体"/>
          <w:color w:val="000000"/>
          <w:kern w:val="0"/>
          <w:sz w:val="30"/>
          <w:szCs w:val="30"/>
        </w:rPr>
        <w:t>预计回购后公司股权结构的变动情况</w:t>
      </w:r>
    </w:p>
    <w:p w14:paraId="49AD0EEA">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p w14:paraId="110D690E">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（八）本次回购股份对公司日常经营、财务、研发、盈利能力、</w:t>
      </w:r>
      <w:r>
        <w:rPr>
          <w:rFonts w:hint="eastAsia" w:ascii="仿宋_GB2312" w:hAnsi="微软雅黑" w:eastAsia="仿宋_GB2312"/>
          <w:sz w:val="30"/>
          <w:szCs w:val="30"/>
        </w:rPr>
        <w:t>债务履行能力、</w:t>
      </w:r>
      <w:r>
        <w:rPr>
          <w:rFonts w:hint="eastAsia" w:ascii="仿宋_GB2312" w:hAnsi="宋体" w:eastAsia="仿宋_GB2312" w:cs="宋体"/>
          <w:color w:val="000000"/>
          <w:kern w:val="0"/>
          <w:sz w:val="30"/>
          <w:szCs w:val="30"/>
        </w:rPr>
        <w:t>未来发展及维持上市地位等可能产生的影响的分析</w:t>
      </w:r>
    </w:p>
    <w:p w14:paraId="32A881EC">
      <w:pPr>
        <w:widowControl/>
        <w:spacing w:line="600" w:lineRule="exact"/>
        <w:ind w:firstLine="600" w:firstLineChars="200"/>
        <w:rPr>
          <w:rFonts w:ascii="楷体" w:hAnsi="楷体" w:eastAsia="楷体"/>
          <w:sz w:val="24"/>
          <w:u w:val="single"/>
        </w:rPr>
      </w:pPr>
      <w:r>
        <w:rPr>
          <w:rFonts w:hint="eastAsia" w:ascii="仿宋_GB2312" w:hAnsi="宋体" w:eastAsia="仿宋_GB2312" w:cs="宋体"/>
          <w:color w:val="000000"/>
          <w:kern w:val="0"/>
          <w:sz w:val="30"/>
          <w:szCs w:val="30"/>
        </w:rPr>
        <w:t>……</w:t>
      </w:r>
    </w:p>
    <w:p w14:paraId="3FBDE711">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（九）上市公司董事、高级管理人员、控股股东、实际控制人、回购提议人在董事会做出回购股份决议前</w:t>
      </w:r>
      <w:r>
        <w:rPr>
          <w:rFonts w:ascii="仿宋_GB2312" w:hAnsi="宋体" w:eastAsia="仿宋_GB2312" w:cs="宋体"/>
          <w:color w:val="000000"/>
          <w:kern w:val="0"/>
          <w:sz w:val="30"/>
          <w:szCs w:val="30"/>
        </w:rPr>
        <w:t>6</w:t>
      </w:r>
      <w:r>
        <w:rPr>
          <w:rFonts w:hint="eastAsia" w:ascii="仿宋_GB2312" w:hAnsi="宋体" w:eastAsia="仿宋_GB2312" w:cs="宋体"/>
          <w:color w:val="000000"/>
          <w:kern w:val="0"/>
          <w:sz w:val="30"/>
          <w:szCs w:val="30"/>
        </w:rPr>
        <w:t>个月内是否买卖本公司股份，是否与本次回购方案存在利益冲突、是否存在内幕交易及市场操纵，及其在回购期间是否存在增减持计划的情况说明：</w:t>
      </w:r>
    </w:p>
    <w:p w14:paraId="6404EE69">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XXXX年XX月XX日，XX买入/卖出公司股份XX万股，占公司总股本XX%。XX买入/卖出公司股份的原因是……，与本次回购方案是/否存在利益冲突，是/否存在内幕交易,是/否存在市场操纵。XX</w:t>
      </w:r>
      <w:r>
        <w:rPr>
          <w:rFonts w:hint="eastAsia" w:ascii="仿宋_GB2312" w:hAnsi="微软雅黑" w:eastAsia="仿宋_GB2312"/>
          <w:sz w:val="30"/>
          <w:szCs w:val="30"/>
        </w:rPr>
        <w:t>在回购期间不存在增减持计划/存在增减持计划的说明……</w:t>
      </w:r>
    </w:p>
    <w:p w14:paraId="09649CD2">
      <w:pPr>
        <w:widowControl/>
        <w:spacing w:line="600" w:lineRule="exact"/>
        <w:ind w:firstLine="480" w:firstLineChars="200"/>
        <w:rPr>
          <w:rFonts w:ascii="楷体" w:hAnsi="楷体" w:eastAsia="楷体"/>
          <w:sz w:val="24"/>
        </w:rPr>
      </w:pPr>
      <w:r>
        <w:rPr>
          <w:rFonts w:hint="eastAsia" w:ascii="楷体" w:hAnsi="楷体" w:eastAsia="楷体"/>
          <w:sz w:val="24"/>
        </w:rPr>
        <w:t>（编制提醒：如选择“是”，公司应当说明具体的利益冲突、内幕交易及市场操纵等情况。）</w:t>
      </w:r>
    </w:p>
    <w:p w14:paraId="125EFF57">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（十）上市公司向董事、高级管理人员、控股股东、实际控制人、回购股份提议人、持股</w:t>
      </w:r>
      <w:r>
        <w:rPr>
          <w:rFonts w:ascii="仿宋_GB2312" w:hAnsi="宋体" w:eastAsia="仿宋_GB2312" w:cs="宋体"/>
          <w:color w:val="000000"/>
          <w:kern w:val="0"/>
          <w:sz w:val="30"/>
          <w:szCs w:val="30"/>
        </w:rPr>
        <w:t>5%以上</w:t>
      </w:r>
      <w:r>
        <w:rPr>
          <w:rFonts w:hint="eastAsia" w:ascii="仿宋_GB2312" w:hAnsi="宋体" w:eastAsia="仿宋_GB2312" w:cs="宋体"/>
          <w:color w:val="000000"/>
          <w:kern w:val="0"/>
          <w:sz w:val="30"/>
          <w:szCs w:val="30"/>
        </w:rPr>
        <w:t>的股东问询未来</w:t>
      </w:r>
      <w:r>
        <w:rPr>
          <w:rFonts w:hint="eastAsia" w:ascii="仿宋_GB2312" w:hAnsi="微软雅黑" w:eastAsia="仿宋_GB2312"/>
          <w:sz w:val="30"/>
          <w:szCs w:val="30"/>
        </w:rPr>
        <w:t>3个月、未来6个月等是否存在</w:t>
      </w:r>
      <w:r>
        <w:rPr>
          <w:rFonts w:hint="eastAsia" w:ascii="仿宋_GB2312" w:hAnsi="宋体" w:eastAsia="仿宋_GB2312" w:cs="宋体"/>
          <w:color w:val="000000"/>
          <w:kern w:val="0"/>
          <w:sz w:val="30"/>
          <w:szCs w:val="30"/>
        </w:rPr>
        <w:t>减持计划的具体情况：</w:t>
      </w:r>
    </w:p>
    <w:p w14:paraId="2D206EDF">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XXXX年XX月XX日，公司向XX、XX、XX……发出问询函，问询未来</w:t>
      </w:r>
      <w:r>
        <w:rPr>
          <w:rFonts w:hint="eastAsia" w:ascii="仿宋_GB2312" w:hAnsi="微软雅黑" w:eastAsia="仿宋_GB2312"/>
          <w:sz w:val="30"/>
          <w:szCs w:val="30"/>
        </w:rPr>
        <w:t>3个月、未来6个月等是否存在</w:t>
      </w:r>
      <w:r>
        <w:rPr>
          <w:rFonts w:hint="eastAsia" w:ascii="仿宋_GB2312" w:hAnsi="宋体" w:eastAsia="仿宋_GB2312" w:cs="宋体"/>
          <w:color w:val="000000"/>
          <w:kern w:val="0"/>
          <w:sz w:val="30"/>
          <w:szCs w:val="30"/>
        </w:rPr>
        <w:t>减持计划。XXXX年XX月XX日，XX、XX、XX……回复其未来</w:t>
      </w:r>
      <w:r>
        <w:rPr>
          <w:rFonts w:hint="eastAsia" w:ascii="仿宋_GB2312" w:hAnsi="微软雅黑" w:eastAsia="仿宋_GB2312"/>
          <w:sz w:val="30"/>
          <w:szCs w:val="30"/>
        </w:rPr>
        <w:t>3个月、未来6个月</w:t>
      </w:r>
      <w:r>
        <w:rPr>
          <w:rFonts w:hint="eastAsia" w:ascii="仿宋_GB2312" w:hAnsi="宋体" w:eastAsia="仿宋_GB2312" w:cs="宋体"/>
          <w:color w:val="000000"/>
          <w:kern w:val="0"/>
          <w:sz w:val="30"/>
          <w:szCs w:val="30"/>
        </w:rPr>
        <w:t>减持公司股份的计划为……</w:t>
      </w:r>
    </w:p>
    <w:p w14:paraId="7725E738">
      <w:pPr>
        <w:widowControl/>
        <w:spacing w:line="600" w:lineRule="exact"/>
        <w:ind w:firstLine="480" w:firstLineChars="200"/>
        <w:rPr>
          <w:rFonts w:ascii="楷体" w:hAnsi="楷体" w:eastAsia="楷体"/>
          <w:sz w:val="24"/>
        </w:rPr>
      </w:pPr>
      <w:r>
        <w:rPr>
          <w:rFonts w:hint="eastAsia" w:ascii="楷体" w:hAnsi="楷体" w:eastAsia="楷体"/>
          <w:sz w:val="24"/>
        </w:rPr>
        <w:t>（编制提醒：公司应当按照不同主体逐个披露公司问询及相关主体的回复情况。）</w:t>
      </w:r>
    </w:p>
    <w:p w14:paraId="2A9339B4">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XX未回复公司问询，其所持公司股份可能在公司回购期间进行减持，敬请投资者注意投资风险。</w:t>
      </w:r>
    </w:p>
    <w:p w14:paraId="6BBBDAE9">
      <w:pPr>
        <w:widowControl/>
        <w:spacing w:line="600" w:lineRule="exact"/>
        <w:ind w:firstLine="480" w:firstLineChars="200"/>
        <w:rPr>
          <w:rFonts w:ascii="楷体" w:hAnsi="楷体" w:eastAsia="楷体"/>
          <w:sz w:val="24"/>
        </w:rPr>
      </w:pPr>
      <w:r>
        <w:rPr>
          <w:rFonts w:hint="eastAsia" w:ascii="楷体" w:hAnsi="楷体" w:eastAsia="楷体"/>
          <w:sz w:val="24"/>
        </w:rPr>
        <w:t>（编制提醒：适用于相关主体未回复问询的情况。）</w:t>
      </w:r>
    </w:p>
    <w:p w14:paraId="2BFD25F9">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（十一）提议人提议回购的相关情况</w:t>
      </w:r>
    </w:p>
    <w:p w14:paraId="0E9D4BFD">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提议人XX系公司……</w:t>
      </w:r>
      <w:r>
        <w:rPr>
          <w:rFonts w:hint="eastAsia" w:ascii="楷体" w:hAnsi="楷体" w:eastAsia="楷体"/>
          <w:sz w:val="24"/>
        </w:rPr>
        <w:t>（编制提醒：此处说明提议人的身份情况及与公司的关系。）</w:t>
      </w:r>
      <w:r>
        <w:rPr>
          <w:rFonts w:hint="eastAsia" w:ascii="仿宋_GB2312" w:hAnsi="宋体" w:eastAsia="仿宋_GB2312" w:cs="宋体"/>
          <w:color w:val="000000"/>
          <w:kern w:val="0"/>
          <w:sz w:val="30"/>
          <w:szCs w:val="30"/>
        </w:rPr>
        <w:t>XXXX年XX月XX日，提议人向公司董事会提议回购股份，其提议回购的原因和目的是……</w:t>
      </w:r>
      <w:r>
        <w:rPr>
          <w:rFonts w:hint="eastAsia" w:ascii="仿宋_GB2312" w:hAnsi="微软雅黑" w:eastAsia="仿宋_GB2312"/>
          <w:sz w:val="30"/>
          <w:szCs w:val="30"/>
        </w:rPr>
        <w:t>提议人在提议前6个月内买卖本公司股份的情况的说明</w:t>
      </w:r>
      <w:r>
        <w:rPr>
          <w:rFonts w:hint="eastAsia" w:ascii="仿宋_GB2312" w:hAnsi="宋体" w:eastAsia="仿宋_GB2312" w:cs="宋体"/>
          <w:color w:val="000000"/>
          <w:kern w:val="0"/>
          <w:sz w:val="30"/>
          <w:szCs w:val="30"/>
        </w:rPr>
        <w:t>……</w:t>
      </w:r>
      <w:r>
        <w:rPr>
          <w:rFonts w:hint="eastAsia" w:ascii="仿宋_GB2312" w:hAnsi="微软雅黑" w:eastAsia="仿宋_GB2312"/>
          <w:sz w:val="30"/>
          <w:szCs w:val="30"/>
        </w:rPr>
        <w:t>提议人在回购期间是否存在增减持计划的说明</w:t>
      </w:r>
      <w:r>
        <w:rPr>
          <w:rFonts w:hint="eastAsia" w:ascii="仿宋_GB2312" w:hAnsi="宋体" w:eastAsia="仿宋_GB2312" w:cs="宋体"/>
          <w:color w:val="000000"/>
          <w:kern w:val="0"/>
          <w:sz w:val="30"/>
          <w:szCs w:val="30"/>
        </w:rPr>
        <w:t>……</w:t>
      </w:r>
      <w:r>
        <w:rPr>
          <w:rFonts w:hint="eastAsia" w:ascii="仿宋_GB2312" w:hAnsi="微软雅黑" w:eastAsia="仿宋_GB2312"/>
          <w:sz w:val="30"/>
          <w:szCs w:val="30"/>
        </w:rPr>
        <w:t>提议人对公司回购股份议案投赞成票的承诺的情况（如适用）</w:t>
      </w:r>
      <w:r>
        <w:rPr>
          <w:rFonts w:hint="eastAsia" w:ascii="仿宋_GB2312" w:hAnsi="宋体" w:eastAsia="仿宋_GB2312" w:cs="宋体"/>
          <w:color w:val="000000"/>
          <w:kern w:val="0"/>
          <w:sz w:val="30"/>
          <w:szCs w:val="30"/>
        </w:rPr>
        <w:t>……</w:t>
      </w:r>
    </w:p>
    <w:p w14:paraId="3A280A09">
      <w:pPr>
        <w:spacing w:line="600" w:lineRule="exact"/>
        <w:ind w:firstLine="567" w:firstLineChars="189"/>
        <w:rPr>
          <w:rFonts w:ascii="仿宋_GB2312" w:hAnsi="微软雅黑" w:eastAsia="仿宋_GB2312"/>
          <w:sz w:val="30"/>
          <w:szCs w:val="30"/>
        </w:rPr>
      </w:pPr>
      <w:r>
        <w:rPr>
          <w:rFonts w:hint="eastAsia" w:ascii="仿宋_GB2312" w:hAnsi="宋体" w:eastAsia="仿宋_GB2312" w:cs="宋体"/>
          <w:color w:val="000000"/>
          <w:kern w:val="0"/>
          <w:sz w:val="30"/>
          <w:szCs w:val="30"/>
        </w:rPr>
        <w:t>（十二）</w:t>
      </w:r>
      <w:r>
        <w:rPr>
          <w:rFonts w:hint="eastAsia" w:ascii="仿宋_GB2312" w:hAnsi="微软雅黑" w:eastAsia="仿宋_GB2312"/>
          <w:sz w:val="30"/>
          <w:szCs w:val="30"/>
        </w:rPr>
        <w:t>回购股份后依法注销或者转让的相关安排</w:t>
      </w:r>
    </w:p>
    <w:p w14:paraId="52DC27EA">
      <w:pPr>
        <w:spacing w:line="600" w:lineRule="exact"/>
        <w:ind w:firstLine="567" w:firstLineChars="189"/>
        <w:rPr>
          <w:rFonts w:ascii="仿宋_GB2312" w:hAnsi="微软雅黑" w:eastAsia="仿宋_GB2312"/>
          <w:sz w:val="30"/>
          <w:szCs w:val="30"/>
        </w:rPr>
      </w:pPr>
      <w:r>
        <w:rPr>
          <w:rFonts w:hint="eastAsia" w:ascii="仿宋_GB2312" w:hAnsi="微软雅黑" w:eastAsia="仿宋_GB2312"/>
          <w:sz w:val="30"/>
          <w:szCs w:val="30"/>
        </w:rPr>
        <w:t>……</w:t>
      </w:r>
    </w:p>
    <w:p w14:paraId="4FCEF585">
      <w:pPr>
        <w:spacing w:line="600" w:lineRule="exact"/>
        <w:ind w:firstLine="567" w:firstLineChars="189"/>
        <w:rPr>
          <w:rFonts w:ascii="仿宋_GB2312" w:hAnsi="微软雅黑" w:eastAsia="仿宋_GB2312"/>
          <w:sz w:val="30"/>
          <w:szCs w:val="30"/>
        </w:rPr>
      </w:pPr>
      <w:r>
        <w:rPr>
          <w:rFonts w:hint="eastAsia" w:ascii="仿宋_GB2312" w:hAnsi="微软雅黑" w:eastAsia="仿宋_GB2312"/>
          <w:sz w:val="30"/>
          <w:szCs w:val="30"/>
        </w:rPr>
        <w:t>（十三）公司防范侵害债权人利益的相关安排</w:t>
      </w:r>
    </w:p>
    <w:p w14:paraId="1794671E">
      <w:pPr>
        <w:spacing w:line="600" w:lineRule="exact"/>
        <w:ind w:firstLine="567" w:firstLineChars="189"/>
        <w:rPr>
          <w:rFonts w:ascii="仿宋_GB2312" w:hAnsi="微软雅黑" w:eastAsia="仿宋_GB2312"/>
          <w:sz w:val="30"/>
          <w:szCs w:val="30"/>
        </w:rPr>
      </w:pPr>
      <w:r>
        <w:rPr>
          <w:rFonts w:hint="eastAsia" w:ascii="仿宋_GB2312" w:hAnsi="微软雅黑" w:eastAsia="仿宋_GB2312"/>
          <w:sz w:val="30"/>
          <w:szCs w:val="30"/>
        </w:rPr>
        <w:t>……</w:t>
      </w:r>
    </w:p>
    <w:p w14:paraId="08D2C255">
      <w:pPr>
        <w:spacing w:line="600" w:lineRule="exact"/>
        <w:ind w:firstLine="588"/>
        <w:rPr>
          <w:rFonts w:ascii="仿宋_GB2312" w:hAnsi="宋体" w:eastAsia="仿宋_GB2312"/>
          <w:bCs/>
          <w:sz w:val="30"/>
          <w:szCs w:val="30"/>
        </w:rPr>
      </w:pPr>
      <w:r>
        <w:rPr>
          <w:rFonts w:hint="eastAsia" w:ascii="仿宋_GB2312" w:hAnsi="微软雅黑" w:eastAsia="仿宋_GB2312"/>
          <w:sz w:val="30"/>
          <w:szCs w:val="30"/>
        </w:rPr>
        <w:t>（十四）</w:t>
      </w:r>
      <w:r>
        <w:rPr>
          <w:rFonts w:hint="eastAsia" w:ascii="仿宋_GB2312" w:hAnsi="宋体" w:eastAsia="仿宋_GB2312"/>
          <w:bCs/>
          <w:sz w:val="30"/>
          <w:szCs w:val="30"/>
        </w:rPr>
        <w:t>股东会</w:t>
      </w:r>
      <w:r>
        <w:rPr>
          <w:rFonts w:hint="eastAsia" w:ascii="仿宋_GB2312" w:hAnsi="微软雅黑" w:eastAsia="仿宋_GB2312"/>
          <w:sz w:val="30"/>
          <w:szCs w:val="30"/>
        </w:rPr>
        <w:t>对董事会办理本次回购股份事宜的具体授权，包括</w:t>
      </w:r>
      <w:r>
        <w:rPr>
          <w:rFonts w:hint="eastAsia" w:ascii="仿宋_GB2312" w:hAnsi="宋体" w:eastAsia="仿宋_GB2312"/>
          <w:bCs/>
          <w:sz w:val="30"/>
          <w:szCs w:val="30"/>
        </w:rPr>
        <w:t>实施股份回购的具体情形和授权期限等内容</w:t>
      </w:r>
      <w:r>
        <w:rPr>
          <w:rFonts w:hint="eastAsia" w:ascii="仿宋_GB2312" w:hAnsi="微软雅黑" w:eastAsia="仿宋_GB2312"/>
          <w:sz w:val="30"/>
          <w:szCs w:val="30"/>
        </w:rPr>
        <w:t>（如适用）</w:t>
      </w:r>
    </w:p>
    <w:p w14:paraId="303EAAFC">
      <w:pPr>
        <w:spacing w:line="600" w:lineRule="exact"/>
        <w:ind w:firstLine="588"/>
        <w:rPr>
          <w:rFonts w:ascii="仿宋_GB2312" w:hAnsi="宋体" w:eastAsia="仿宋_GB2312"/>
          <w:bCs/>
          <w:sz w:val="30"/>
          <w:szCs w:val="30"/>
        </w:rPr>
      </w:pPr>
      <w:r>
        <w:rPr>
          <w:rFonts w:hint="eastAsia" w:ascii="仿宋_GB2312" w:hAnsi="宋体" w:eastAsia="仿宋_GB2312"/>
          <w:bCs/>
          <w:sz w:val="30"/>
          <w:szCs w:val="30"/>
        </w:rPr>
        <w:t>……</w:t>
      </w:r>
    </w:p>
    <w:p w14:paraId="55936CA3">
      <w:pPr>
        <w:spacing w:line="600" w:lineRule="exact"/>
        <w:ind w:firstLine="588"/>
        <w:rPr>
          <w:rFonts w:ascii="仿宋_GB2312" w:hAnsi="微软雅黑" w:eastAsia="仿宋_GB2312"/>
          <w:sz w:val="30"/>
          <w:szCs w:val="30"/>
        </w:rPr>
      </w:pPr>
      <w:r>
        <w:rPr>
          <w:rFonts w:hint="eastAsia" w:ascii="仿宋_GB2312" w:hAnsi="宋体" w:eastAsia="仿宋_GB2312"/>
          <w:bCs/>
          <w:sz w:val="30"/>
          <w:szCs w:val="30"/>
        </w:rPr>
        <w:t>（十五）上市公司因股份回购，可能导致特别表决权比例提高的，应当披露同时采取的将相应数量特别表决权股份转换为普通股份等措施，保证特别表决权比例不高于原有水平。</w:t>
      </w:r>
    </w:p>
    <w:p w14:paraId="2C5EB479">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（十六）本所要求披露的其他事项。</w:t>
      </w:r>
    </w:p>
    <w:p w14:paraId="7E23EC3D">
      <w:pPr>
        <w:widowControl/>
        <w:spacing w:line="600" w:lineRule="exact"/>
        <w:ind w:firstLine="600" w:firstLineChars="200"/>
        <w:rPr>
          <w:rFonts w:ascii="仿宋_GB2312" w:hAnsi="宋体" w:eastAsia="仿宋_GB2312" w:cs="宋体"/>
          <w:color w:val="000000"/>
          <w:kern w:val="0"/>
          <w:sz w:val="30"/>
          <w:szCs w:val="30"/>
        </w:rPr>
      </w:pPr>
    </w:p>
    <w:p w14:paraId="6E7DAE9E">
      <w:pPr>
        <w:widowControl/>
        <w:spacing w:line="600" w:lineRule="exact"/>
        <w:ind w:firstLine="630" w:firstLineChars="196"/>
        <w:jc w:val="left"/>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三、回购方案的不确定性风险</w:t>
      </w:r>
    </w:p>
    <w:p w14:paraId="2FFE9A43">
      <w:pPr>
        <w:widowControl/>
        <w:spacing w:line="600" w:lineRule="exact"/>
        <w:ind w:firstLine="588" w:firstLineChars="196"/>
        <w:jc w:val="left"/>
        <w:rPr>
          <w:rFonts w:ascii="黑体" w:hAnsi="黑体" w:eastAsia="黑体" w:cs="宋体"/>
          <w:b/>
          <w:color w:val="000000"/>
          <w:kern w:val="0"/>
          <w:sz w:val="32"/>
          <w:szCs w:val="32"/>
        </w:rPr>
      </w:pPr>
      <w:r>
        <w:rPr>
          <w:rFonts w:hint="eastAsia" w:ascii="仿宋_GB2312" w:hAnsi="宋体" w:eastAsia="仿宋_GB2312" w:cs="宋体"/>
          <w:color w:val="000000"/>
          <w:kern w:val="0"/>
          <w:sz w:val="30"/>
          <w:szCs w:val="30"/>
        </w:rPr>
        <w:t>因……，回购方案可能面临如下不确定性风险：</w:t>
      </w:r>
    </w:p>
    <w:p w14:paraId="1BCB3EBB">
      <w:pPr>
        <w:spacing w:line="600" w:lineRule="exact"/>
        <w:ind w:firstLine="567" w:firstLineChars="189"/>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（一）公司股东会未审议通过回购股份方案的风险（适用于回购方案需股东会审议的情形）；</w:t>
      </w:r>
    </w:p>
    <w:p w14:paraId="15362AB8">
      <w:pPr>
        <w:spacing w:line="600" w:lineRule="exact"/>
        <w:ind w:firstLine="567" w:firstLineChars="189"/>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（二）未获得债券持有人会议同意免于公司提前清偿或追加担保，或者公司无法满足其他债权人清偿债务或提供担保进而导致回购方案难以实施的风险（适用于回购注销的情形）；</w:t>
      </w:r>
    </w:p>
    <w:p w14:paraId="2480A06F">
      <w:pPr>
        <w:spacing w:line="600" w:lineRule="exact"/>
        <w:ind w:firstLine="567" w:firstLineChars="189"/>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（三）公司股票价格持续超出回购方案披露的价格区间，导致回购方案无法实施的风险；</w:t>
      </w:r>
    </w:p>
    <w:p w14:paraId="3DDAFB39">
      <w:pPr>
        <w:spacing w:line="600" w:lineRule="exact"/>
        <w:ind w:firstLine="567" w:firstLineChars="189"/>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（四）回购股份所需资金未能到位，导致回购方案无法实施的风险；</w:t>
      </w:r>
    </w:p>
    <w:p w14:paraId="7B7C4F32">
      <w:pPr>
        <w:spacing w:line="600" w:lineRule="exact"/>
        <w:ind w:firstLine="567" w:firstLineChars="189"/>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（五）因公司生产经营、财务状况、外部客观情况发生重大变化等原因，可能根据规则变更或终止回购方案的风险。</w:t>
      </w:r>
    </w:p>
    <w:p w14:paraId="0BDA2D66">
      <w:pPr>
        <w:spacing w:line="600" w:lineRule="exact"/>
        <w:ind w:firstLine="567" w:firstLineChars="189"/>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（六）其他风险。</w:t>
      </w:r>
    </w:p>
    <w:p w14:paraId="6C4FE739">
      <w:pPr>
        <w:spacing w:line="600" w:lineRule="exact"/>
        <w:ind w:firstLine="567" w:firstLineChars="189"/>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针对上述风险，公司拟采取如下应对措施……</w:t>
      </w:r>
    </w:p>
    <w:p w14:paraId="70D8CACA">
      <w:pPr>
        <w:widowControl/>
        <w:spacing w:line="600" w:lineRule="exact"/>
        <w:ind w:firstLine="480" w:firstLineChars="200"/>
        <w:rPr>
          <w:rFonts w:ascii="楷体" w:hAnsi="楷体" w:eastAsia="楷体"/>
          <w:sz w:val="24"/>
        </w:rPr>
      </w:pPr>
      <w:bookmarkStart w:id="2" w:name="OLE_LINK24"/>
      <w:bookmarkStart w:id="3" w:name="OLE_LINK25"/>
      <w:r>
        <w:rPr>
          <w:rFonts w:hint="eastAsia" w:ascii="楷体" w:hAnsi="楷体" w:eastAsia="楷体"/>
          <w:sz w:val="24"/>
        </w:rPr>
        <w:t>（编制提醒：回购方案应当详细披露可能面临的不确定性风险及拟采取的应对措施。回购方案实施过程中出现上述风险情形之一的，公司应当及时公告。）</w:t>
      </w:r>
    </w:p>
    <w:p w14:paraId="3D884A75">
      <w:pPr>
        <w:widowControl/>
        <w:spacing w:line="600" w:lineRule="exact"/>
        <w:ind w:firstLine="480" w:firstLineChars="200"/>
        <w:rPr>
          <w:rFonts w:ascii="楷体" w:hAnsi="楷体" w:eastAsia="楷体"/>
          <w:sz w:val="24"/>
        </w:rPr>
      </w:pPr>
    </w:p>
    <w:p w14:paraId="39029511">
      <w:pPr>
        <w:widowControl/>
        <w:spacing w:line="600" w:lineRule="exact"/>
        <w:ind w:firstLine="630" w:firstLineChars="196"/>
        <w:jc w:val="left"/>
        <w:rPr>
          <w:rFonts w:ascii="仿宋_GB2312" w:hAnsi="宋体" w:eastAsia="仿宋_GB2312" w:cs="宋体"/>
          <w:color w:val="000000"/>
          <w:kern w:val="0"/>
          <w:sz w:val="30"/>
          <w:szCs w:val="30"/>
        </w:rPr>
      </w:pPr>
      <w:r>
        <w:rPr>
          <w:rFonts w:hint="eastAsia" w:ascii="黑体" w:hAnsi="黑体" w:eastAsia="黑体" w:cs="宋体"/>
          <w:b/>
          <w:color w:val="000000"/>
          <w:kern w:val="0"/>
          <w:sz w:val="32"/>
          <w:szCs w:val="32"/>
        </w:rPr>
        <w:t>四、公司实施回购方案的进展</w:t>
      </w:r>
      <w:bookmarkEnd w:id="2"/>
      <w:bookmarkEnd w:id="3"/>
    </w:p>
    <w:p w14:paraId="0EE0130A">
      <w:pPr>
        <w:widowControl/>
        <w:spacing w:line="600" w:lineRule="exact"/>
        <w:ind w:firstLine="480" w:firstLineChars="200"/>
        <w:rPr>
          <w:rFonts w:ascii="楷体" w:hAnsi="楷体" w:eastAsia="楷体"/>
          <w:sz w:val="24"/>
        </w:rPr>
      </w:pPr>
      <w:r>
        <w:rPr>
          <w:rFonts w:hint="eastAsia" w:ascii="楷体" w:hAnsi="楷体" w:eastAsia="楷体"/>
          <w:sz w:val="24"/>
        </w:rPr>
        <w:t>（编制提醒：1.上市公司应当在董事会或者股东会审议通过最终回购股份方案后，按照中国证监会和本所的有关规定及时披露回购报告书。</w:t>
      </w:r>
    </w:p>
    <w:p w14:paraId="68EA7596">
      <w:pPr>
        <w:widowControl/>
        <w:spacing w:line="600" w:lineRule="exact"/>
        <w:ind w:firstLine="480" w:firstLineChars="200"/>
        <w:rPr>
          <w:rFonts w:ascii="楷体" w:hAnsi="楷体" w:eastAsia="楷体"/>
          <w:sz w:val="24"/>
        </w:rPr>
      </w:pPr>
      <w:r>
        <w:rPr>
          <w:rFonts w:hint="eastAsia" w:ascii="楷体" w:hAnsi="楷体" w:eastAsia="楷体"/>
          <w:sz w:val="24"/>
        </w:rPr>
        <w:t>2.上市公司直接编制回购报告书，按规定履行决策程序并披露的，可以不编制和披露回购股份方案。回购报告书应当至少包括本公告格式指引要求披露的回购方案内容。）</w:t>
      </w:r>
    </w:p>
    <w:p w14:paraId="63866548">
      <w:pPr>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（一）XXXX年XX月XX日，公司</w:t>
      </w:r>
      <w:r>
        <w:rPr>
          <w:rFonts w:hint="eastAsia" w:ascii="仿宋_GB2312" w:hAnsi="宋体" w:eastAsia="仿宋_GB2312"/>
          <w:bCs/>
          <w:sz w:val="30"/>
          <w:szCs w:val="30"/>
        </w:rPr>
        <w:t>XXXX年第</w:t>
      </w:r>
      <w:r>
        <w:rPr>
          <w:rFonts w:ascii="仿宋_GB2312" w:hAnsi="宋体" w:eastAsia="仿宋_GB2312"/>
          <w:bCs/>
          <w:sz w:val="30"/>
          <w:szCs w:val="30"/>
        </w:rPr>
        <w:t>XX次</w:t>
      </w:r>
      <w:r>
        <w:rPr>
          <w:rFonts w:hint="eastAsia" w:ascii="仿宋_GB2312" w:hAnsi="宋体" w:eastAsia="仿宋_GB2312" w:cs="宋体"/>
          <w:color w:val="000000"/>
          <w:kern w:val="0"/>
          <w:sz w:val="30"/>
          <w:szCs w:val="30"/>
        </w:rPr>
        <w:t>股东会/</w:t>
      </w:r>
      <w:r>
        <w:rPr>
          <w:rFonts w:hint="eastAsia" w:ascii="仿宋_GB2312" w:hAnsi="微软雅黑" w:eastAsia="仿宋_GB2312"/>
          <w:sz w:val="30"/>
          <w:szCs w:val="30"/>
        </w:rPr>
        <w:t>第XX届</w:t>
      </w:r>
      <w:r>
        <w:rPr>
          <w:rFonts w:hint="eastAsia" w:ascii="仿宋_GB2312" w:hAnsi="宋体" w:eastAsia="仿宋_GB2312" w:cs="宋体"/>
          <w:color w:val="000000"/>
          <w:kern w:val="0"/>
          <w:sz w:val="30"/>
          <w:szCs w:val="30"/>
        </w:rPr>
        <w:t>董事会</w:t>
      </w:r>
      <w:r>
        <w:rPr>
          <w:rFonts w:hint="eastAsia" w:ascii="仿宋_GB2312" w:hAnsi="微软雅黑" w:eastAsia="仿宋_GB2312"/>
          <w:sz w:val="30"/>
          <w:szCs w:val="30"/>
        </w:rPr>
        <w:t>第XX次会议</w:t>
      </w:r>
      <w:r>
        <w:rPr>
          <w:rFonts w:hint="eastAsia" w:ascii="仿宋_GB2312" w:hAnsi="宋体" w:eastAsia="仿宋_GB2312" w:cs="宋体"/>
          <w:color w:val="000000"/>
          <w:kern w:val="0"/>
          <w:sz w:val="30"/>
          <w:szCs w:val="30"/>
        </w:rPr>
        <w:t>审议通过了回购方案，拟回购公司股份XX万股/XX万元，回购期限从XXXX年XX月XX日至XXXX年XX月XX日。</w:t>
      </w:r>
    </w:p>
    <w:p w14:paraId="0F4D064D">
      <w:pPr>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XXXX年XX月XX日，公司通过集中竞价交易方式首次回购股份XX万股，已回购股份占公司总股本的比例为XX%，购买的最高价为XX元/股、最低价为XX元/股，已支付的总金额为XX万元。</w:t>
      </w:r>
    </w:p>
    <w:p w14:paraId="46BE95B8">
      <w:pPr>
        <w:widowControl/>
        <w:spacing w:line="600" w:lineRule="exact"/>
        <w:ind w:firstLine="480" w:firstLineChars="200"/>
        <w:rPr>
          <w:rFonts w:ascii="楷体" w:hAnsi="楷体" w:eastAsia="楷体"/>
          <w:sz w:val="24"/>
        </w:rPr>
      </w:pPr>
      <w:r>
        <w:rPr>
          <w:rFonts w:hint="eastAsia" w:ascii="楷体" w:hAnsi="楷体" w:eastAsia="楷体"/>
          <w:sz w:val="24"/>
        </w:rPr>
        <w:t>（编制提醒：适用于首次回购事实发生的进展公告。）</w:t>
      </w:r>
    </w:p>
    <w:p w14:paraId="4849D06C">
      <w:pPr>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截至XXXX年XX月XX日，公司通过集中竞价交易方式已累计回购股份XX万股，占公司总股本的比例为XX%，与上次披露数相比增加XX%，购买的最高价为XX元/股、最低价为XX元/股，已支付的总金额为XX万元。</w:t>
      </w:r>
    </w:p>
    <w:p w14:paraId="2C07A822">
      <w:pPr>
        <w:widowControl/>
        <w:spacing w:line="600" w:lineRule="exact"/>
        <w:ind w:firstLine="480" w:firstLineChars="200"/>
        <w:rPr>
          <w:rFonts w:ascii="楷体" w:hAnsi="楷体" w:eastAsia="楷体"/>
          <w:sz w:val="24"/>
        </w:rPr>
      </w:pPr>
      <w:r>
        <w:rPr>
          <w:rFonts w:hint="eastAsia" w:ascii="楷体" w:hAnsi="楷体" w:eastAsia="楷体"/>
          <w:sz w:val="24"/>
        </w:rPr>
        <w:t>（编制提醒：适用于回购股份占公司总股本的比例每增加</w:t>
      </w:r>
      <w:r>
        <w:rPr>
          <w:rFonts w:ascii="楷体" w:hAnsi="楷体" w:eastAsia="楷体"/>
          <w:sz w:val="24"/>
        </w:rPr>
        <w:t>1%</w:t>
      </w:r>
      <w:r>
        <w:rPr>
          <w:rFonts w:hint="eastAsia" w:ascii="楷体" w:hAnsi="楷体" w:eastAsia="楷体"/>
          <w:sz w:val="24"/>
        </w:rPr>
        <w:t>的进展公告。）</w:t>
      </w:r>
    </w:p>
    <w:p w14:paraId="646ACDE9">
      <w:pPr>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XXXX年XX月，公司通过集中竞价交易方式已累计回购股份XX万股，占公司总股本的比例为XX%，购买的最高价为XX元/股、最低价为XX元/股，支付的金额为XX万元。截至XXXX年XX月月底，公司已累计回购股份XX万股，占公司总股本的比例为XX%，购买的最高价为XX元/股、最低价为XX元/股，已支付的总金额为XX万元。</w:t>
      </w:r>
    </w:p>
    <w:p w14:paraId="31370339">
      <w:pPr>
        <w:widowControl/>
        <w:spacing w:line="600" w:lineRule="exact"/>
        <w:ind w:firstLine="480" w:firstLineChars="200"/>
        <w:rPr>
          <w:rFonts w:hint="eastAsia" w:ascii="楷体" w:hAnsi="楷体" w:eastAsia="楷体"/>
          <w:sz w:val="24"/>
        </w:rPr>
      </w:pPr>
      <w:r>
        <w:rPr>
          <w:rFonts w:hint="eastAsia" w:ascii="楷体" w:hAnsi="楷体" w:eastAsia="楷体"/>
          <w:sz w:val="24"/>
        </w:rPr>
        <w:t>（编制提醒：</w:t>
      </w:r>
      <w:r>
        <w:rPr>
          <w:rFonts w:hint="eastAsia" w:ascii="楷体" w:hAnsi="楷体" w:eastAsia="楷体"/>
          <w:sz w:val="24"/>
          <w:lang w:val="en-US" w:eastAsia="zh-CN"/>
        </w:rPr>
        <w:t>1.</w:t>
      </w:r>
      <w:r>
        <w:rPr>
          <w:rFonts w:hint="eastAsia" w:ascii="楷体" w:hAnsi="楷体" w:eastAsia="楷体"/>
          <w:sz w:val="24"/>
        </w:rPr>
        <w:t>适用于每月回购进展公告。</w:t>
      </w:r>
    </w:p>
    <w:p w14:paraId="6424CC42">
      <w:pPr>
        <w:widowControl/>
        <w:spacing w:line="600" w:lineRule="exact"/>
        <w:ind w:firstLine="480" w:firstLineChars="200"/>
        <w:rPr>
          <w:rFonts w:ascii="楷体" w:hAnsi="楷体" w:eastAsia="楷体"/>
          <w:sz w:val="24"/>
        </w:rPr>
      </w:pPr>
      <w:r>
        <w:rPr>
          <w:rFonts w:hint="eastAsia" w:ascii="楷体" w:hAnsi="楷体" w:eastAsia="楷体"/>
          <w:sz w:val="24"/>
          <w:lang w:val="en-US" w:eastAsia="zh-CN"/>
        </w:rPr>
        <w:t>2</w:t>
      </w:r>
      <w:r>
        <w:rPr>
          <w:rFonts w:ascii="楷体" w:hAnsi="楷体" w:eastAsia="楷体"/>
          <w:sz w:val="24"/>
        </w:rPr>
        <w:t>.上市公司实施回购期间，应当在首次回购事实发生的次</w:t>
      </w:r>
      <w:r>
        <w:rPr>
          <w:rFonts w:hint="eastAsia" w:ascii="楷体" w:hAnsi="楷体" w:eastAsia="楷体"/>
          <w:sz w:val="24"/>
        </w:rPr>
        <w:t>一交易</w:t>
      </w:r>
      <w:r>
        <w:rPr>
          <w:rFonts w:ascii="楷体" w:hAnsi="楷体" w:eastAsia="楷体"/>
          <w:sz w:val="24"/>
        </w:rPr>
        <w:t>日、</w:t>
      </w:r>
      <w:r>
        <w:rPr>
          <w:rFonts w:hint="eastAsia" w:ascii="楷体" w:hAnsi="楷体" w:eastAsia="楷体"/>
          <w:sz w:val="24"/>
        </w:rPr>
        <w:t>每个月的前</w:t>
      </w:r>
      <w:r>
        <w:rPr>
          <w:rFonts w:ascii="楷体" w:hAnsi="楷体" w:eastAsia="楷体"/>
          <w:sz w:val="24"/>
        </w:rPr>
        <w:t>3个交易日内</w:t>
      </w:r>
      <w:r>
        <w:rPr>
          <w:rFonts w:hint="eastAsia" w:ascii="楷体" w:hAnsi="楷体" w:eastAsia="楷体"/>
          <w:sz w:val="24"/>
        </w:rPr>
        <w:t>、回购股份占上市公司总股本的比例每增加</w:t>
      </w:r>
      <w:r>
        <w:rPr>
          <w:rFonts w:ascii="楷体" w:hAnsi="楷体" w:eastAsia="楷体"/>
          <w:sz w:val="24"/>
        </w:rPr>
        <w:t>1%的事实发生之日起3</w:t>
      </w:r>
      <w:r>
        <w:rPr>
          <w:rFonts w:hint="eastAsia" w:ascii="楷体" w:hAnsi="楷体" w:eastAsia="楷体"/>
          <w:sz w:val="24"/>
        </w:rPr>
        <w:t>个交易</w:t>
      </w:r>
      <w:r>
        <w:rPr>
          <w:rFonts w:ascii="楷体" w:hAnsi="楷体" w:eastAsia="楷体"/>
          <w:sz w:val="24"/>
        </w:rPr>
        <w:t>日内</w:t>
      </w:r>
      <w:r>
        <w:rPr>
          <w:rFonts w:hint="eastAsia" w:ascii="楷体" w:hAnsi="楷体" w:eastAsia="楷体"/>
          <w:sz w:val="24"/>
        </w:rPr>
        <w:t>，披露回购进展情况</w:t>
      </w:r>
      <w:r>
        <w:rPr>
          <w:rFonts w:hint="eastAsia" w:ascii="楷体" w:hAnsi="楷体" w:eastAsia="楷体"/>
          <w:sz w:val="24"/>
          <w:lang w:eastAsia="zh-CN"/>
        </w:rPr>
        <w:t>；</w:t>
      </w:r>
      <w:bookmarkStart w:id="4" w:name="_GoBack"/>
      <w:bookmarkEnd w:id="4"/>
      <w:r>
        <w:rPr>
          <w:rFonts w:ascii="楷体" w:hAnsi="楷体" w:eastAsia="楷体"/>
          <w:sz w:val="24"/>
        </w:rPr>
        <w:t>公司应当披露公告前已回购股份</w:t>
      </w:r>
      <w:r>
        <w:rPr>
          <w:rFonts w:hint="eastAsia" w:ascii="楷体" w:hAnsi="楷体" w:eastAsia="楷体"/>
          <w:sz w:val="24"/>
        </w:rPr>
        <w:t>数量、已回购股份占公司总股本的比例、购买的最高价和最低价、已支付的总金额。）</w:t>
      </w:r>
    </w:p>
    <w:p w14:paraId="4C2ED845">
      <w:pPr>
        <w:spacing w:line="600" w:lineRule="exact"/>
        <w:ind w:firstLine="567" w:firstLineChars="189"/>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（二）XXXX年XX月XX日，公司</w:t>
      </w:r>
      <w:r>
        <w:rPr>
          <w:rFonts w:hint="eastAsia" w:ascii="仿宋_GB2312" w:hAnsi="宋体" w:eastAsia="仿宋_GB2312"/>
          <w:bCs/>
          <w:sz w:val="30"/>
          <w:szCs w:val="30"/>
        </w:rPr>
        <w:t>XXXX年第</w:t>
      </w:r>
      <w:r>
        <w:rPr>
          <w:rFonts w:ascii="仿宋_GB2312" w:hAnsi="宋体" w:eastAsia="仿宋_GB2312"/>
          <w:bCs/>
          <w:sz w:val="30"/>
          <w:szCs w:val="30"/>
        </w:rPr>
        <w:t>XX次</w:t>
      </w:r>
      <w:r>
        <w:rPr>
          <w:rFonts w:hint="eastAsia" w:ascii="仿宋_GB2312" w:hAnsi="宋体" w:eastAsia="仿宋_GB2312" w:cs="宋体"/>
          <w:color w:val="000000"/>
          <w:kern w:val="0"/>
          <w:sz w:val="30"/>
          <w:szCs w:val="30"/>
        </w:rPr>
        <w:t>股东会/</w:t>
      </w:r>
      <w:r>
        <w:rPr>
          <w:rFonts w:hint="eastAsia" w:ascii="仿宋_GB2312" w:hAnsi="微软雅黑" w:eastAsia="仿宋_GB2312"/>
          <w:sz w:val="30"/>
          <w:szCs w:val="30"/>
        </w:rPr>
        <w:t>第XX届</w:t>
      </w:r>
      <w:r>
        <w:rPr>
          <w:rFonts w:hint="eastAsia" w:ascii="仿宋_GB2312" w:hAnsi="宋体" w:eastAsia="仿宋_GB2312" w:cs="宋体"/>
          <w:color w:val="000000"/>
          <w:kern w:val="0"/>
          <w:sz w:val="30"/>
          <w:szCs w:val="30"/>
        </w:rPr>
        <w:t>董事会</w:t>
      </w:r>
      <w:r>
        <w:rPr>
          <w:rFonts w:hint="eastAsia" w:ascii="仿宋_GB2312" w:hAnsi="微软雅黑" w:eastAsia="仿宋_GB2312"/>
          <w:sz w:val="30"/>
          <w:szCs w:val="30"/>
        </w:rPr>
        <w:t>第XX次会议</w:t>
      </w:r>
      <w:r>
        <w:rPr>
          <w:rFonts w:hint="eastAsia" w:ascii="仿宋_GB2312" w:hAnsi="宋体" w:eastAsia="仿宋_GB2312" w:cs="宋体"/>
          <w:color w:val="000000"/>
          <w:kern w:val="0"/>
          <w:sz w:val="30"/>
          <w:szCs w:val="30"/>
        </w:rPr>
        <w:t>审议通过了回购方案，拟回购公司股份XX万股/XX万元，回购期限从XXXX年XX月XX日至XXXX年XX月XX日。截至XXXX年XX月XX日，回购期间已经过半。</w:t>
      </w:r>
    </w:p>
    <w:p w14:paraId="5E4CB108">
      <w:pPr>
        <w:spacing w:line="600" w:lineRule="exact"/>
        <w:ind w:firstLine="567" w:firstLineChars="189"/>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公司在前期未实施回购的主要原因为……</w:t>
      </w:r>
    </w:p>
    <w:p w14:paraId="404655E1">
      <w:pPr>
        <w:spacing w:line="600" w:lineRule="exact"/>
        <w:ind w:firstLine="567" w:firstLineChars="189"/>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后续，公司回购具体安排如下……</w:t>
      </w:r>
    </w:p>
    <w:p w14:paraId="20F1D95E">
      <w:pPr>
        <w:widowControl/>
        <w:spacing w:line="600" w:lineRule="exact"/>
        <w:ind w:firstLine="480" w:firstLineChars="200"/>
        <w:rPr>
          <w:rFonts w:ascii="楷体" w:hAnsi="楷体" w:eastAsia="楷体"/>
          <w:sz w:val="24"/>
        </w:rPr>
      </w:pPr>
      <w:r>
        <w:rPr>
          <w:rFonts w:hint="eastAsia" w:ascii="楷体" w:hAnsi="楷体" w:eastAsia="楷体"/>
          <w:sz w:val="24"/>
        </w:rPr>
        <w:t>（编制提醒：自董事会或股东会通过回购议案之日起，原定回购期间过半但仍未实施回购方案的，公司应当于期间过半时及此后每一进展披露日，公告说明董事会未能实施回购的原因和后续回购安排。）</w:t>
      </w:r>
    </w:p>
    <w:p w14:paraId="47857F76">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（三）XXXX年XX月XX日，公司</w:t>
      </w:r>
      <w:r>
        <w:rPr>
          <w:rFonts w:hint="eastAsia" w:ascii="仿宋_GB2312" w:hAnsi="宋体" w:eastAsia="仿宋_GB2312"/>
          <w:bCs/>
          <w:sz w:val="30"/>
          <w:szCs w:val="30"/>
        </w:rPr>
        <w:t>XXXX年第</w:t>
      </w:r>
      <w:r>
        <w:rPr>
          <w:rFonts w:ascii="仿宋_GB2312" w:hAnsi="宋体" w:eastAsia="仿宋_GB2312"/>
          <w:bCs/>
          <w:sz w:val="30"/>
          <w:szCs w:val="30"/>
        </w:rPr>
        <w:t>XX次</w:t>
      </w:r>
      <w:r>
        <w:rPr>
          <w:rFonts w:hint="eastAsia" w:ascii="仿宋_GB2312" w:hAnsi="宋体" w:eastAsia="仿宋_GB2312" w:cs="宋体"/>
          <w:color w:val="000000"/>
          <w:kern w:val="0"/>
          <w:sz w:val="30"/>
          <w:szCs w:val="30"/>
        </w:rPr>
        <w:t>股东会/</w:t>
      </w:r>
      <w:r>
        <w:rPr>
          <w:rFonts w:hint="eastAsia" w:ascii="仿宋_GB2312" w:hAnsi="微软雅黑" w:eastAsia="仿宋_GB2312"/>
          <w:sz w:val="30"/>
          <w:szCs w:val="30"/>
        </w:rPr>
        <w:t>第XX届</w:t>
      </w:r>
      <w:r>
        <w:rPr>
          <w:rFonts w:hint="eastAsia" w:ascii="仿宋_GB2312" w:hAnsi="宋体" w:eastAsia="仿宋_GB2312" w:cs="宋体"/>
          <w:color w:val="000000"/>
          <w:kern w:val="0"/>
          <w:sz w:val="30"/>
          <w:szCs w:val="30"/>
        </w:rPr>
        <w:t>董事会</w:t>
      </w:r>
      <w:r>
        <w:rPr>
          <w:rFonts w:hint="eastAsia" w:ascii="仿宋_GB2312" w:hAnsi="微软雅黑" w:eastAsia="仿宋_GB2312"/>
          <w:sz w:val="30"/>
          <w:szCs w:val="30"/>
        </w:rPr>
        <w:t>第XX次会议</w:t>
      </w:r>
      <w:r>
        <w:rPr>
          <w:rFonts w:hint="eastAsia" w:ascii="仿宋_GB2312" w:hAnsi="宋体" w:eastAsia="仿宋_GB2312" w:cs="宋体"/>
          <w:color w:val="000000"/>
          <w:kern w:val="0"/>
          <w:sz w:val="30"/>
          <w:szCs w:val="30"/>
        </w:rPr>
        <w:t>审议通过了回购方案，拟回购公司股份XX万股/XX万元，回购期限从XXXX年XX月XX日至XXXX年XX月XX日。</w:t>
      </w:r>
    </w:p>
    <w:p w14:paraId="59A9EBBE">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XXXX年XX月XX日，因公司实施利润分配及公积金转增股本，现对回购方案调整如下……</w:t>
      </w:r>
    </w:p>
    <w:p w14:paraId="0216B019">
      <w:pPr>
        <w:widowControl/>
        <w:spacing w:line="600" w:lineRule="exact"/>
        <w:ind w:firstLine="480" w:firstLineChars="200"/>
        <w:rPr>
          <w:rFonts w:ascii="楷体" w:hAnsi="楷体" w:eastAsia="楷体"/>
          <w:sz w:val="24"/>
        </w:rPr>
      </w:pPr>
      <w:r>
        <w:rPr>
          <w:rFonts w:hint="eastAsia" w:ascii="楷体" w:hAnsi="楷体" w:eastAsia="楷体"/>
          <w:sz w:val="24"/>
        </w:rPr>
        <w:t>（编制提醒：上市公司在回购期内发生派发红利、送红股、转增股本等股本除权、除息事项的，应当对回购方案进行相应调整并及时披露。）</w:t>
      </w:r>
    </w:p>
    <w:p w14:paraId="5A30ECC8">
      <w:pPr>
        <w:spacing w:line="600" w:lineRule="exact"/>
        <w:ind w:firstLine="567" w:firstLineChars="189"/>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（四）本所要求的其他进展事项。</w:t>
      </w:r>
    </w:p>
    <w:p w14:paraId="1308C3F5">
      <w:pPr>
        <w:spacing w:line="600" w:lineRule="exact"/>
        <w:ind w:firstLine="567" w:firstLineChars="189"/>
        <w:rPr>
          <w:rFonts w:ascii="仿宋_GB2312" w:hAnsi="宋体" w:eastAsia="仿宋_GB2312" w:cs="宋体"/>
          <w:color w:val="000000"/>
          <w:kern w:val="0"/>
          <w:sz w:val="30"/>
          <w:szCs w:val="30"/>
        </w:rPr>
      </w:pPr>
    </w:p>
    <w:p w14:paraId="0D4F86C1">
      <w:pPr>
        <w:widowControl/>
        <w:spacing w:line="600" w:lineRule="exact"/>
        <w:ind w:firstLine="630" w:firstLineChars="196"/>
        <w:jc w:val="left"/>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五、回购方案的变更或终止</w:t>
      </w:r>
    </w:p>
    <w:p w14:paraId="4F06121D">
      <w:pPr>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（一）变更或终止的事由</w:t>
      </w:r>
    </w:p>
    <w:p w14:paraId="275F40CD">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XXXX年XX月XX日，公司</w:t>
      </w:r>
      <w:r>
        <w:rPr>
          <w:rFonts w:hint="eastAsia" w:ascii="仿宋_GB2312" w:hAnsi="宋体" w:eastAsia="仿宋_GB2312"/>
          <w:bCs/>
          <w:sz w:val="30"/>
          <w:szCs w:val="30"/>
        </w:rPr>
        <w:t>XXXX年第</w:t>
      </w:r>
      <w:r>
        <w:rPr>
          <w:rFonts w:ascii="仿宋_GB2312" w:hAnsi="宋体" w:eastAsia="仿宋_GB2312"/>
          <w:bCs/>
          <w:sz w:val="30"/>
          <w:szCs w:val="30"/>
        </w:rPr>
        <w:t>XX次</w:t>
      </w:r>
      <w:r>
        <w:rPr>
          <w:rFonts w:hint="eastAsia" w:ascii="仿宋_GB2312" w:hAnsi="宋体" w:eastAsia="仿宋_GB2312" w:cs="宋体"/>
          <w:color w:val="000000"/>
          <w:kern w:val="0"/>
          <w:sz w:val="30"/>
          <w:szCs w:val="30"/>
        </w:rPr>
        <w:t>股东会/</w:t>
      </w:r>
      <w:r>
        <w:rPr>
          <w:rFonts w:hint="eastAsia" w:ascii="仿宋_GB2312" w:hAnsi="微软雅黑" w:eastAsia="仿宋_GB2312"/>
          <w:sz w:val="30"/>
          <w:szCs w:val="30"/>
        </w:rPr>
        <w:t>第XX届</w:t>
      </w:r>
      <w:r>
        <w:rPr>
          <w:rFonts w:hint="eastAsia" w:ascii="仿宋_GB2312" w:hAnsi="宋体" w:eastAsia="仿宋_GB2312" w:cs="宋体"/>
          <w:color w:val="000000"/>
          <w:kern w:val="0"/>
          <w:sz w:val="30"/>
          <w:szCs w:val="30"/>
        </w:rPr>
        <w:t>董事会</w:t>
      </w:r>
      <w:r>
        <w:rPr>
          <w:rFonts w:hint="eastAsia" w:ascii="仿宋_GB2312" w:hAnsi="微软雅黑" w:eastAsia="仿宋_GB2312"/>
          <w:sz w:val="30"/>
          <w:szCs w:val="30"/>
        </w:rPr>
        <w:t>第XX次会议</w:t>
      </w:r>
      <w:r>
        <w:rPr>
          <w:rFonts w:hint="eastAsia" w:ascii="仿宋_GB2312" w:hAnsi="宋体" w:eastAsia="仿宋_GB2312" w:cs="宋体"/>
          <w:color w:val="000000"/>
          <w:kern w:val="0"/>
          <w:sz w:val="30"/>
          <w:szCs w:val="30"/>
        </w:rPr>
        <w:t>审议通过了回购方案，拟回购公司股份XX万股/XX万元，回购期限从XXXX年XX月XX日至XXXX年XX月XX日。</w:t>
      </w:r>
    </w:p>
    <w:p w14:paraId="022D9D21">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现公司因……，需要变更/终止回购方案。</w:t>
      </w:r>
    </w:p>
    <w:p w14:paraId="31278F79">
      <w:pPr>
        <w:widowControl/>
        <w:spacing w:line="600" w:lineRule="exact"/>
        <w:ind w:firstLine="480" w:firstLineChars="200"/>
        <w:rPr>
          <w:rFonts w:ascii="楷体" w:hAnsi="楷体" w:eastAsia="楷体"/>
          <w:sz w:val="24"/>
        </w:rPr>
      </w:pPr>
      <w:r>
        <w:rPr>
          <w:rFonts w:hint="eastAsia" w:ascii="楷体" w:hAnsi="楷体" w:eastAsia="楷体"/>
          <w:sz w:val="24"/>
        </w:rPr>
        <w:t>（编制提醒：上市公司回购股份方案披露后，非因充分正当事由不得变更或者终止。因公司生产经营、财务状况、外部客观情况发生重大变化等原因，确需变更或者终止的，应当披露相关原因。）</w:t>
      </w:r>
    </w:p>
    <w:p w14:paraId="7774CF8F">
      <w:pPr>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（二）变更或终止事项的具体内容</w:t>
      </w:r>
    </w:p>
    <w:p w14:paraId="58F944DF">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p w14:paraId="79D1FE41">
      <w:pPr>
        <w:widowControl/>
        <w:spacing w:line="600" w:lineRule="exact"/>
        <w:ind w:firstLine="480" w:firstLineChars="200"/>
        <w:rPr>
          <w:rFonts w:ascii="楷体" w:hAnsi="楷体" w:eastAsia="楷体"/>
          <w:sz w:val="24"/>
        </w:rPr>
      </w:pPr>
      <w:r>
        <w:rPr>
          <w:rFonts w:hint="eastAsia" w:ascii="楷体" w:hAnsi="楷体" w:eastAsia="楷体"/>
          <w:sz w:val="24"/>
        </w:rPr>
        <w:t>（编制提醒：上市公司回购股份用于注销的，不得变更为其他用途。上市公司为维护公司价值及股东权益实施股份回购，拟用于出售的，应当在回购方案中明确披露。未在方案中明确披露的，不得变更为用于出售。）</w:t>
      </w:r>
    </w:p>
    <w:p w14:paraId="62729D6C">
      <w:pPr>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（三）变更或终止的合理性、必要性、可行性分析</w:t>
      </w:r>
    </w:p>
    <w:p w14:paraId="43675860">
      <w:pPr>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p w14:paraId="117EB4D1">
      <w:pPr>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（四）变更或终止对公司债务履行能力、持续经营能力及股东权益等产生的影响说明</w:t>
      </w:r>
    </w:p>
    <w:p w14:paraId="23A0EA5F">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p w14:paraId="1C623B1D">
      <w:pPr>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（五）变更或终止所履行的决策程序</w:t>
      </w:r>
    </w:p>
    <w:p w14:paraId="1E38D212">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p w14:paraId="6C5A193F">
      <w:pPr>
        <w:widowControl/>
        <w:spacing w:line="600" w:lineRule="exact"/>
        <w:ind w:firstLine="480" w:firstLineChars="200"/>
        <w:rPr>
          <w:rFonts w:ascii="楷体" w:hAnsi="楷体" w:eastAsia="楷体"/>
          <w:sz w:val="24"/>
        </w:rPr>
      </w:pPr>
      <w:r>
        <w:rPr>
          <w:rFonts w:hint="eastAsia" w:ascii="楷体" w:hAnsi="楷体" w:eastAsia="楷体"/>
          <w:sz w:val="24"/>
        </w:rPr>
        <w:t>（编制提醒：公司应当按照制定本次回购股份方案的决策程序提交董事会或者股东会审议。）</w:t>
      </w:r>
    </w:p>
    <w:p w14:paraId="2F8A1BAA">
      <w:pPr>
        <w:widowControl/>
        <w:spacing w:line="600" w:lineRule="exact"/>
        <w:ind w:firstLine="600" w:firstLineChars="200"/>
        <w:rPr>
          <w:rFonts w:ascii="仿宋_GB2312" w:hAnsi="宋体" w:eastAsia="仿宋_GB2312" w:cs="宋体"/>
          <w:color w:val="000000"/>
          <w:kern w:val="0"/>
          <w:sz w:val="30"/>
          <w:szCs w:val="30"/>
        </w:rPr>
      </w:pPr>
    </w:p>
    <w:p w14:paraId="5FF6DBDB">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特此公告。 </w:t>
      </w:r>
    </w:p>
    <w:p w14:paraId="024D5E54">
      <w:pPr>
        <w:widowControl/>
        <w:spacing w:line="600" w:lineRule="exact"/>
        <w:ind w:firstLine="600" w:firstLineChars="200"/>
        <w:rPr>
          <w:rFonts w:ascii="仿宋_GB2312" w:hAnsi="宋体" w:eastAsia="仿宋_GB2312" w:cs="宋体"/>
          <w:color w:val="000000"/>
          <w:kern w:val="0"/>
          <w:sz w:val="30"/>
          <w:szCs w:val="30"/>
        </w:rPr>
      </w:pPr>
    </w:p>
    <w:p w14:paraId="3BD70411">
      <w:pPr>
        <w:spacing w:line="600" w:lineRule="exact"/>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XXXX股份有限公司董事会</w:t>
      </w:r>
    </w:p>
    <w:p w14:paraId="6D967407">
      <w:pPr>
        <w:widowControl/>
        <w:spacing w:line="600" w:lineRule="exact"/>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年  月  日</w:t>
      </w:r>
    </w:p>
    <w:p w14:paraId="20A00C80">
      <w:pPr>
        <w:widowControl/>
        <w:spacing w:line="600" w:lineRule="exact"/>
        <w:ind w:firstLine="600" w:firstLineChars="200"/>
        <w:jc w:val="right"/>
        <w:rPr>
          <w:rFonts w:ascii="仿宋_GB2312" w:hAnsi="宋体" w:eastAsia="仿宋_GB2312" w:cs="宋体"/>
          <w:color w:val="000000"/>
          <w:kern w:val="0"/>
          <w:sz w:val="30"/>
          <w:szCs w:val="30"/>
        </w:rPr>
      </w:pPr>
    </w:p>
    <w:p w14:paraId="50DC2E4D">
      <w:pPr>
        <w:pStyle w:val="20"/>
        <w:widowControl w:val="0"/>
        <w:numPr>
          <w:ilvl w:val="0"/>
          <w:numId w:val="2"/>
        </w:numPr>
        <w:spacing w:before="0" w:beforeAutospacing="0" w:after="0" w:afterAutospacing="0" w:line="600" w:lineRule="exact"/>
        <w:ind w:left="0" w:firstLine="602" w:firstLineChars="200"/>
        <w:jc w:val="both"/>
        <w:rPr>
          <w:rFonts w:ascii="仿宋_GB2312" w:eastAsia="仿宋_GB2312"/>
          <w:b/>
          <w:color w:val="000000"/>
          <w:sz w:val="30"/>
          <w:szCs w:val="30"/>
        </w:rPr>
      </w:pPr>
      <w:r>
        <w:rPr>
          <w:rFonts w:hint="eastAsia" w:ascii="仿宋_GB2312" w:eastAsia="仿宋_GB2312"/>
          <w:b/>
          <w:color w:val="000000"/>
          <w:sz w:val="30"/>
          <w:szCs w:val="30"/>
        </w:rPr>
        <w:t>报备文件</w:t>
      </w:r>
    </w:p>
    <w:p w14:paraId="48D1539E">
      <w:pPr>
        <w:widowControl/>
        <w:spacing w:line="6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（一）回购提议、回购方案公告前的内幕信息知情人名单（公司应当于披露提议公告/方案同时报备）</w:t>
      </w:r>
    </w:p>
    <w:p w14:paraId="0C1B1DC1">
      <w:pPr>
        <w:adjustRightInd w:val="0"/>
        <w:snapToGrid w:val="0"/>
        <w:spacing w:line="600" w:lineRule="exact"/>
        <w:ind w:firstLine="600" w:firstLineChars="200"/>
        <w:rPr>
          <w:rFonts w:ascii="仿宋_GB2312" w:hAnsi="微软雅黑" w:eastAsia="仿宋_GB2312"/>
          <w:sz w:val="30"/>
          <w:szCs w:val="30"/>
        </w:rPr>
      </w:pPr>
      <w:r>
        <w:rPr>
          <w:rFonts w:hint="eastAsia" w:ascii="仿宋_GB2312" w:hAnsi="宋体" w:eastAsia="仿宋_GB2312"/>
          <w:color w:val="000000"/>
          <w:sz w:val="30"/>
          <w:szCs w:val="30"/>
        </w:rPr>
        <w:t>（二）</w:t>
      </w:r>
      <w:r>
        <w:rPr>
          <w:rFonts w:hint="eastAsia" w:ascii="仿宋_GB2312" w:hAnsi="微软雅黑" w:eastAsia="仿宋_GB2312"/>
          <w:sz w:val="30"/>
          <w:szCs w:val="30"/>
        </w:rPr>
        <w:t>提议人对公司回购股份议案投赞成票的书面承诺（如适用）</w:t>
      </w:r>
    </w:p>
    <w:p w14:paraId="12D0D066">
      <w:pPr>
        <w:adjustRightInd w:val="0"/>
        <w:snapToGrid w:val="0"/>
        <w:spacing w:line="600" w:lineRule="exact"/>
        <w:ind w:firstLine="600" w:firstLineChars="200"/>
        <w:rPr>
          <w:rFonts w:ascii="仿宋_GB2312" w:hAnsi="宋体" w:eastAsia="仿宋_GB2312"/>
          <w:color w:val="000000"/>
          <w:sz w:val="30"/>
          <w:szCs w:val="30"/>
        </w:rPr>
      </w:pPr>
    </w:p>
    <w:p w14:paraId="3D5AA3AE">
      <w:pPr>
        <w:pStyle w:val="20"/>
        <w:widowControl w:val="0"/>
        <w:numPr>
          <w:ilvl w:val="0"/>
          <w:numId w:val="2"/>
        </w:numPr>
        <w:spacing w:before="0" w:beforeAutospacing="0" w:after="0" w:afterAutospacing="0" w:line="600" w:lineRule="exact"/>
        <w:ind w:left="0" w:firstLine="602" w:firstLineChars="200"/>
        <w:jc w:val="both"/>
        <w:rPr>
          <w:rFonts w:ascii="仿宋_GB2312" w:eastAsia="仿宋_GB2312"/>
          <w:b/>
          <w:color w:val="000000"/>
          <w:sz w:val="30"/>
          <w:szCs w:val="30"/>
        </w:rPr>
      </w:pPr>
      <w:r>
        <w:rPr>
          <w:rFonts w:hint="eastAsia" w:ascii="仿宋_GB2312" w:eastAsia="仿宋_GB2312"/>
          <w:b/>
          <w:color w:val="000000"/>
          <w:sz w:val="30"/>
          <w:szCs w:val="30"/>
        </w:rPr>
        <w:t>注意事项</w:t>
      </w:r>
    </w:p>
    <w:p w14:paraId="58523564">
      <w:pP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（一）上市公司回购股份的，应当符合《公司法》</w:t>
      </w:r>
      <w:r>
        <w:rPr>
          <w:rFonts w:hint="eastAsia" w:ascii="仿宋_GB2312" w:hAnsi="微软雅黑" w:eastAsia="仿宋_GB2312"/>
          <w:sz w:val="30"/>
          <w:szCs w:val="30"/>
        </w:rPr>
        <w:t>《上市</w:t>
      </w:r>
      <w:r>
        <w:rPr>
          <w:rFonts w:ascii="仿宋_GB2312" w:hAnsi="微软雅黑" w:eastAsia="仿宋_GB2312"/>
          <w:sz w:val="30"/>
          <w:szCs w:val="30"/>
        </w:rPr>
        <w:t>公司股份回购规则</w:t>
      </w:r>
      <w:r>
        <w:rPr>
          <w:rFonts w:hint="eastAsia" w:ascii="仿宋_GB2312" w:hAnsi="微软雅黑" w:eastAsia="仿宋_GB2312"/>
          <w:sz w:val="30"/>
          <w:szCs w:val="30"/>
        </w:rPr>
        <w:t>》</w:t>
      </w:r>
      <w:r>
        <w:rPr>
          <w:rFonts w:hint="eastAsia" w:ascii="仿宋_GB2312" w:hAnsi="宋体" w:eastAsia="仿宋_GB2312"/>
          <w:color w:val="000000"/>
          <w:sz w:val="30"/>
          <w:szCs w:val="30"/>
        </w:rPr>
        <w:t>及《自律监管指引第</w:t>
      </w:r>
      <w:r>
        <w:rPr>
          <w:rFonts w:ascii="仿宋_GB2312" w:hAnsi="宋体" w:eastAsia="仿宋_GB2312"/>
          <w:color w:val="000000"/>
          <w:sz w:val="30"/>
          <w:szCs w:val="30"/>
        </w:rPr>
        <w:t>7</w:t>
      </w:r>
      <w:r>
        <w:rPr>
          <w:rFonts w:hint="eastAsia" w:ascii="仿宋_GB2312" w:hAnsi="宋体" w:eastAsia="仿宋_GB2312"/>
          <w:color w:val="000000"/>
          <w:sz w:val="30"/>
          <w:szCs w:val="30"/>
        </w:rPr>
        <w:t>号》等相关规定。</w:t>
      </w:r>
    </w:p>
    <w:p w14:paraId="22D399AA">
      <w:pP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二）上市公司应当根据证监会和本所相关规定，参照本公告格式指引披露回购报告书的主要内容并提示相关风险。公司直接编制回购报告书，按规定履行决策程序并披露的，可以不编制和披露回购股份方案。回购报告书应当至少包括本公告格式指引要求披露的回购方案内容。</w:t>
      </w:r>
    </w:p>
    <w:p w14:paraId="376F91EB">
      <w:pP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（三）上市公司回购股份的，应当遵守《自律监管指引第</w:t>
      </w:r>
      <w:r>
        <w:rPr>
          <w:rFonts w:ascii="仿宋_GB2312" w:hAnsi="宋体" w:eastAsia="仿宋_GB2312"/>
          <w:color w:val="000000"/>
          <w:sz w:val="30"/>
          <w:szCs w:val="30"/>
        </w:rPr>
        <w:t>7</w:t>
      </w:r>
      <w:r>
        <w:rPr>
          <w:rFonts w:hint="eastAsia" w:ascii="仿宋_GB2312" w:hAnsi="宋体" w:eastAsia="仿宋_GB2312"/>
          <w:color w:val="000000"/>
          <w:sz w:val="30"/>
          <w:szCs w:val="30"/>
        </w:rPr>
        <w:t>号》关于相关期间不得回购公司股份的规定。</w:t>
      </w:r>
    </w:p>
    <w:p w14:paraId="436D74EF">
      <w:pPr>
        <w:adjustRightInd w:val="0"/>
        <w:snapToGrid w:val="0"/>
        <w:spacing w:line="600" w:lineRule="exact"/>
        <w:ind w:firstLine="600" w:firstLineChars="200"/>
      </w:pPr>
      <w:r>
        <w:rPr>
          <w:rFonts w:hint="eastAsia" w:ascii="仿宋_GB2312" w:hAnsi="宋体" w:eastAsia="仿宋_GB2312" w:cs="宋体"/>
          <w:color w:val="000000"/>
          <w:kern w:val="0"/>
          <w:sz w:val="30"/>
          <w:szCs w:val="30"/>
        </w:rPr>
        <w:t>（四）回购期届满或者回购方案已实施完毕的，上市公司应当在2个交易日内按照本所相关公告格式指引披露回购实施结果暨股份变动公告。</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WinCharSetFFFF-H">
    <w:altName w:val="方正舒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387D4">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w:instrText>
    </w:r>
    <w:r>
      <w:rPr>
        <w:rFonts w:ascii="Times New Roman" w:hAnsi="Times New Roman"/>
        <w:sz w:val="21"/>
        <w:szCs w:val="21"/>
      </w:rPr>
      <w:fldChar w:fldCharType="separate"/>
    </w:r>
    <w:r>
      <w:rPr>
        <w:rFonts w:ascii="Times New Roman" w:hAnsi="Times New Roman"/>
        <w:sz w:val="21"/>
        <w:szCs w:val="21"/>
      </w:rPr>
      <w:t>13</w:t>
    </w:r>
    <w:r>
      <w:rPr>
        <w:rFonts w:ascii="Times New Roman" w:hAnsi="Times New Roman"/>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F3A0C"/>
    <w:multiLevelType w:val="multilevel"/>
    <w:tmpl w:val="184F3A0C"/>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D293B7B"/>
    <w:multiLevelType w:val="multilevel"/>
    <w:tmpl w:val="5D293B7B"/>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1"/>
  </w:num>
  <w:num w:numId="2">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59"/>
    <w:rsid w:val="00014A6A"/>
    <w:rsid w:val="000338A7"/>
    <w:rsid w:val="00033A8E"/>
    <w:rsid w:val="00046F3D"/>
    <w:rsid w:val="0005181F"/>
    <w:rsid w:val="000662F4"/>
    <w:rsid w:val="000814FF"/>
    <w:rsid w:val="000A2715"/>
    <w:rsid w:val="000A7277"/>
    <w:rsid w:val="000C7082"/>
    <w:rsid w:val="000D36EB"/>
    <w:rsid w:val="000D7BDA"/>
    <w:rsid w:val="000D7C1D"/>
    <w:rsid w:val="000F69A8"/>
    <w:rsid w:val="00135EB2"/>
    <w:rsid w:val="0016041C"/>
    <w:rsid w:val="001702A6"/>
    <w:rsid w:val="00182F9F"/>
    <w:rsid w:val="001853B2"/>
    <w:rsid w:val="001A3D59"/>
    <w:rsid w:val="001F5EAA"/>
    <w:rsid w:val="001F66F2"/>
    <w:rsid w:val="0020403C"/>
    <w:rsid w:val="002040F6"/>
    <w:rsid w:val="00211334"/>
    <w:rsid w:val="00217970"/>
    <w:rsid w:val="0022085E"/>
    <w:rsid w:val="00236F30"/>
    <w:rsid w:val="00244DEB"/>
    <w:rsid w:val="0024610A"/>
    <w:rsid w:val="0028133F"/>
    <w:rsid w:val="00293FC9"/>
    <w:rsid w:val="002945E5"/>
    <w:rsid w:val="002A6CCE"/>
    <w:rsid w:val="002A6E52"/>
    <w:rsid w:val="002B1BC9"/>
    <w:rsid w:val="002B4D5A"/>
    <w:rsid w:val="002B74F7"/>
    <w:rsid w:val="002E5013"/>
    <w:rsid w:val="0030477F"/>
    <w:rsid w:val="00324292"/>
    <w:rsid w:val="00346F1E"/>
    <w:rsid w:val="0039305A"/>
    <w:rsid w:val="0039353F"/>
    <w:rsid w:val="0039556E"/>
    <w:rsid w:val="003958D8"/>
    <w:rsid w:val="003B250B"/>
    <w:rsid w:val="003D16B3"/>
    <w:rsid w:val="003D3F8E"/>
    <w:rsid w:val="003F1B8D"/>
    <w:rsid w:val="00400875"/>
    <w:rsid w:val="00402B24"/>
    <w:rsid w:val="00425771"/>
    <w:rsid w:val="00427D27"/>
    <w:rsid w:val="004335EA"/>
    <w:rsid w:val="00473DD7"/>
    <w:rsid w:val="00477C32"/>
    <w:rsid w:val="004821B6"/>
    <w:rsid w:val="00484D26"/>
    <w:rsid w:val="004A344A"/>
    <w:rsid w:val="004E733E"/>
    <w:rsid w:val="00501E4E"/>
    <w:rsid w:val="00530FCE"/>
    <w:rsid w:val="005408B9"/>
    <w:rsid w:val="005427EC"/>
    <w:rsid w:val="00545419"/>
    <w:rsid w:val="00564958"/>
    <w:rsid w:val="005700E7"/>
    <w:rsid w:val="00574FDD"/>
    <w:rsid w:val="00577541"/>
    <w:rsid w:val="005963E4"/>
    <w:rsid w:val="005B70C3"/>
    <w:rsid w:val="005C0A1C"/>
    <w:rsid w:val="005C7C67"/>
    <w:rsid w:val="005E5481"/>
    <w:rsid w:val="00615415"/>
    <w:rsid w:val="00641B6D"/>
    <w:rsid w:val="006503B7"/>
    <w:rsid w:val="00655F80"/>
    <w:rsid w:val="00661673"/>
    <w:rsid w:val="00667E10"/>
    <w:rsid w:val="0067209F"/>
    <w:rsid w:val="00672C22"/>
    <w:rsid w:val="006C3C20"/>
    <w:rsid w:val="0070501A"/>
    <w:rsid w:val="00712761"/>
    <w:rsid w:val="007212AB"/>
    <w:rsid w:val="00736631"/>
    <w:rsid w:val="00766A34"/>
    <w:rsid w:val="00787033"/>
    <w:rsid w:val="0079241C"/>
    <w:rsid w:val="007A3438"/>
    <w:rsid w:val="007C6092"/>
    <w:rsid w:val="007F336A"/>
    <w:rsid w:val="008360DE"/>
    <w:rsid w:val="00841CB7"/>
    <w:rsid w:val="00845977"/>
    <w:rsid w:val="008558FB"/>
    <w:rsid w:val="00863D54"/>
    <w:rsid w:val="008643D3"/>
    <w:rsid w:val="00875B0F"/>
    <w:rsid w:val="008824DA"/>
    <w:rsid w:val="008874C0"/>
    <w:rsid w:val="008D730B"/>
    <w:rsid w:val="008E5AA1"/>
    <w:rsid w:val="00906FAD"/>
    <w:rsid w:val="009239B8"/>
    <w:rsid w:val="00930647"/>
    <w:rsid w:val="00934484"/>
    <w:rsid w:val="009420AA"/>
    <w:rsid w:val="009500C8"/>
    <w:rsid w:val="00955AE2"/>
    <w:rsid w:val="00977B04"/>
    <w:rsid w:val="00981EC2"/>
    <w:rsid w:val="00994A09"/>
    <w:rsid w:val="00994BCA"/>
    <w:rsid w:val="009A67B8"/>
    <w:rsid w:val="009C3519"/>
    <w:rsid w:val="009D32EF"/>
    <w:rsid w:val="00A061C2"/>
    <w:rsid w:val="00A1669A"/>
    <w:rsid w:val="00A32EAC"/>
    <w:rsid w:val="00A429F0"/>
    <w:rsid w:val="00A9129C"/>
    <w:rsid w:val="00AA12EA"/>
    <w:rsid w:val="00AA76F8"/>
    <w:rsid w:val="00AB77A5"/>
    <w:rsid w:val="00B15BB9"/>
    <w:rsid w:val="00B16630"/>
    <w:rsid w:val="00B40D03"/>
    <w:rsid w:val="00B504B1"/>
    <w:rsid w:val="00B67C04"/>
    <w:rsid w:val="00B74277"/>
    <w:rsid w:val="00B808A0"/>
    <w:rsid w:val="00B941C3"/>
    <w:rsid w:val="00BA204A"/>
    <w:rsid w:val="00BB3C8D"/>
    <w:rsid w:val="00BB5CC5"/>
    <w:rsid w:val="00BC6D76"/>
    <w:rsid w:val="00BE0113"/>
    <w:rsid w:val="00BE3140"/>
    <w:rsid w:val="00BE504D"/>
    <w:rsid w:val="00BF1CAB"/>
    <w:rsid w:val="00C0527B"/>
    <w:rsid w:val="00C13591"/>
    <w:rsid w:val="00C27865"/>
    <w:rsid w:val="00C43AE7"/>
    <w:rsid w:val="00C6615E"/>
    <w:rsid w:val="00C7223C"/>
    <w:rsid w:val="00C826BB"/>
    <w:rsid w:val="00C91071"/>
    <w:rsid w:val="00CB6784"/>
    <w:rsid w:val="00D17727"/>
    <w:rsid w:val="00D21C70"/>
    <w:rsid w:val="00D432AA"/>
    <w:rsid w:val="00D55807"/>
    <w:rsid w:val="00D74656"/>
    <w:rsid w:val="00DB2EDD"/>
    <w:rsid w:val="00DF0D7F"/>
    <w:rsid w:val="00DF2ED7"/>
    <w:rsid w:val="00E62E61"/>
    <w:rsid w:val="00E76191"/>
    <w:rsid w:val="00EA773A"/>
    <w:rsid w:val="00EB3A51"/>
    <w:rsid w:val="00EB64CD"/>
    <w:rsid w:val="00ED5791"/>
    <w:rsid w:val="00EF724D"/>
    <w:rsid w:val="00F05BB1"/>
    <w:rsid w:val="00F31A72"/>
    <w:rsid w:val="00F657B8"/>
    <w:rsid w:val="00F74531"/>
    <w:rsid w:val="00FD2E7E"/>
    <w:rsid w:val="00FE24E7"/>
    <w:rsid w:val="00FF6898"/>
    <w:rsid w:val="00FF7362"/>
    <w:rsid w:val="08EA5E37"/>
    <w:rsid w:val="176E7FD1"/>
    <w:rsid w:val="23635105"/>
    <w:rsid w:val="289A6D28"/>
    <w:rsid w:val="325D6EAE"/>
    <w:rsid w:val="36E94FDC"/>
    <w:rsid w:val="3B6812C4"/>
    <w:rsid w:val="43BE6845"/>
    <w:rsid w:val="486C55E1"/>
    <w:rsid w:val="50A668A3"/>
    <w:rsid w:val="524E4345"/>
    <w:rsid w:val="541A61FA"/>
    <w:rsid w:val="575E00E0"/>
    <w:rsid w:val="5AC92C06"/>
    <w:rsid w:val="5DFF1924"/>
    <w:rsid w:val="6DBD6533"/>
    <w:rsid w:val="791125C7"/>
    <w:rsid w:val="7950790B"/>
    <w:rsid w:val="7A6C057B"/>
    <w:rsid w:val="7EEE1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lang w:bidi="mn-Mong-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3"/>
    <w:unhideWhenUsed/>
    <w:qFormat/>
    <w:uiPriority w:val="99"/>
    <w:rPr>
      <w:rFonts w:ascii="宋体"/>
      <w:sz w:val="18"/>
      <w:szCs w:val="18"/>
      <w:lang w:bidi="mn-Mong-CN"/>
    </w:rPr>
  </w:style>
  <w:style w:type="paragraph" w:styleId="4">
    <w:name w:val="annotation text"/>
    <w:basedOn w:val="1"/>
    <w:link w:val="14"/>
    <w:unhideWhenUsed/>
    <w:qFormat/>
    <w:uiPriority w:val="99"/>
    <w:pPr>
      <w:jc w:val="left"/>
    </w:pPr>
    <w:rPr>
      <w:lang w:bidi="mn-Mong-CN"/>
    </w:rPr>
  </w:style>
  <w:style w:type="paragraph" w:styleId="5">
    <w:name w:val="Balloon Text"/>
    <w:basedOn w:val="1"/>
    <w:link w:val="15"/>
    <w:unhideWhenUsed/>
    <w:qFormat/>
    <w:uiPriority w:val="99"/>
    <w:rPr>
      <w:sz w:val="18"/>
      <w:szCs w:val="18"/>
      <w:lang w:bidi="mn-Mong-CN"/>
    </w:rPr>
  </w:style>
  <w:style w:type="paragraph" w:styleId="6">
    <w:name w:val="footer"/>
    <w:basedOn w:val="1"/>
    <w:link w:val="16"/>
    <w:unhideWhenUsed/>
    <w:qFormat/>
    <w:uiPriority w:val="99"/>
    <w:pPr>
      <w:tabs>
        <w:tab w:val="center" w:pos="4153"/>
        <w:tab w:val="right" w:pos="8306"/>
      </w:tabs>
      <w:snapToGrid w:val="0"/>
      <w:jc w:val="left"/>
    </w:pPr>
    <w:rPr>
      <w:kern w:val="0"/>
      <w:sz w:val="18"/>
      <w:szCs w:val="18"/>
      <w:lang w:bidi="mn-Mong-CN"/>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kern w:val="0"/>
      <w:sz w:val="18"/>
      <w:szCs w:val="18"/>
      <w:lang w:bidi="mn-Mong-CN"/>
    </w:rPr>
  </w:style>
  <w:style w:type="paragraph" w:styleId="8">
    <w:name w:val="annotation subject"/>
    <w:basedOn w:val="4"/>
    <w:next w:val="4"/>
    <w:link w:val="18"/>
    <w:unhideWhenUsed/>
    <w:qFormat/>
    <w:uiPriority w:val="99"/>
    <w:rPr>
      <w:b/>
      <w:bCs/>
    </w:rPr>
  </w:style>
  <w:style w:type="character" w:styleId="11">
    <w:name w:val="annotation reference"/>
    <w:unhideWhenUsed/>
    <w:qFormat/>
    <w:uiPriority w:val="99"/>
    <w:rPr>
      <w:sz w:val="21"/>
      <w:szCs w:val="21"/>
    </w:rPr>
  </w:style>
  <w:style w:type="character" w:customStyle="1" w:styleId="12">
    <w:name w:val="标题 1 字符"/>
    <w:link w:val="2"/>
    <w:qFormat/>
    <w:uiPriority w:val="9"/>
    <w:rPr>
      <w:b/>
      <w:bCs/>
      <w:kern w:val="44"/>
      <w:sz w:val="44"/>
      <w:szCs w:val="44"/>
    </w:rPr>
  </w:style>
  <w:style w:type="character" w:customStyle="1" w:styleId="13">
    <w:name w:val="文档结构图 字符"/>
    <w:link w:val="3"/>
    <w:semiHidden/>
    <w:qFormat/>
    <w:uiPriority w:val="99"/>
    <w:rPr>
      <w:rFonts w:ascii="宋体"/>
      <w:kern w:val="2"/>
      <w:sz w:val="18"/>
      <w:szCs w:val="18"/>
    </w:rPr>
  </w:style>
  <w:style w:type="character" w:customStyle="1" w:styleId="14">
    <w:name w:val="批注文字 字符"/>
    <w:link w:val="4"/>
    <w:semiHidden/>
    <w:qFormat/>
    <w:uiPriority w:val="99"/>
    <w:rPr>
      <w:kern w:val="2"/>
      <w:sz w:val="21"/>
      <w:szCs w:val="22"/>
    </w:rPr>
  </w:style>
  <w:style w:type="character" w:customStyle="1" w:styleId="15">
    <w:name w:val="批注框文本 字符"/>
    <w:link w:val="5"/>
    <w:semiHidden/>
    <w:qFormat/>
    <w:uiPriority w:val="99"/>
    <w:rPr>
      <w:kern w:val="2"/>
      <w:sz w:val="18"/>
      <w:szCs w:val="18"/>
    </w:rPr>
  </w:style>
  <w:style w:type="character" w:customStyle="1" w:styleId="16">
    <w:name w:val="页脚 字符"/>
    <w:link w:val="6"/>
    <w:qFormat/>
    <w:uiPriority w:val="99"/>
    <w:rPr>
      <w:rFonts w:ascii="Calibri" w:hAnsi="Calibri" w:eastAsia="宋体" w:cs="Times New Roman"/>
      <w:sz w:val="18"/>
      <w:szCs w:val="18"/>
    </w:rPr>
  </w:style>
  <w:style w:type="character" w:customStyle="1" w:styleId="17">
    <w:name w:val="页眉 字符"/>
    <w:link w:val="7"/>
    <w:qFormat/>
    <w:uiPriority w:val="99"/>
    <w:rPr>
      <w:rFonts w:ascii="Calibri" w:hAnsi="Calibri" w:eastAsia="宋体" w:cs="Times New Roman"/>
      <w:sz w:val="18"/>
      <w:szCs w:val="18"/>
    </w:rPr>
  </w:style>
  <w:style w:type="character" w:customStyle="1" w:styleId="18">
    <w:name w:val="批注主题 字符"/>
    <w:link w:val="8"/>
    <w:semiHidden/>
    <w:qFormat/>
    <w:uiPriority w:val="99"/>
    <w:rPr>
      <w:b/>
      <w:bCs/>
      <w:kern w:val="2"/>
      <w:sz w:val="21"/>
      <w:szCs w:val="22"/>
    </w:rPr>
  </w:style>
  <w:style w:type="character" w:customStyle="1" w:styleId="19">
    <w:name w:val="列出段落 字符"/>
    <w:link w:val="20"/>
    <w:qFormat/>
    <w:locked/>
    <w:uiPriority w:val="0"/>
    <w:rPr>
      <w:rFonts w:ascii="宋体" w:hAnsi="宋体" w:eastAsia="宋体"/>
      <w:sz w:val="24"/>
      <w:szCs w:val="24"/>
    </w:rPr>
  </w:style>
  <w:style w:type="paragraph" w:styleId="20">
    <w:name w:val="List Paragraph"/>
    <w:basedOn w:val="1"/>
    <w:link w:val="19"/>
    <w:qFormat/>
    <w:uiPriority w:val="0"/>
    <w:pPr>
      <w:widowControl/>
      <w:spacing w:before="100" w:beforeAutospacing="1" w:after="100" w:afterAutospacing="1"/>
      <w:jc w:val="left"/>
    </w:pPr>
    <w:rPr>
      <w:rFonts w:ascii="宋体" w:hAnsi="宋体"/>
      <w:kern w:val="0"/>
      <w:sz w:val="24"/>
      <w:szCs w:val="24"/>
      <w:lang w:bidi="mn-Mong-CN"/>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
    <w:name w:val="_Style 21"/>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3329</Words>
  <Characters>3463</Characters>
  <Lines>192</Lines>
  <Paragraphs>161</Paragraphs>
  <TotalTime>9</TotalTime>
  <ScaleCrop>false</ScaleCrop>
  <LinksUpToDate>false</LinksUpToDate>
  <CharactersWithSpaces>6631</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2023-06-21T07:13:00Z</dcterms:created>
  <dc:creator>shytan</dc:creator>
  <cp:lastModifiedBy>yjqin</cp:lastModifiedBy>
  <cp:lastPrinted>2019-04-01T12:53:00Z</cp:lastPrinted>
  <dcterms:modified xsi:type="dcterms:W3CDTF">2025-08-27T02:45:32Z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264B4ED7B3DA4E6F9CF13DA3DC41681A_13</vt:lpwstr>
  </property>
</Properties>
</file>