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217" w:rsidRDefault="00FC3217" w:rsidP="00FC3217">
      <w:pPr>
        <w:widowControl/>
        <w:rPr>
          <w:rFonts w:ascii="黑体" w:eastAsia="黑体" w:hAnsi="宋体" w:cs="宋体"/>
          <w:bCs/>
          <w:kern w:val="0"/>
          <w:sz w:val="72"/>
          <w:szCs w:val="72"/>
        </w:rPr>
      </w:pPr>
    </w:p>
    <w:p w:rsidR="00FC3217" w:rsidRDefault="00FC3217" w:rsidP="00FC3217">
      <w:pPr>
        <w:widowControl/>
        <w:rPr>
          <w:rFonts w:ascii="黑体" w:eastAsia="黑体" w:hAnsi="宋体" w:cs="宋体"/>
          <w:bCs/>
          <w:kern w:val="0"/>
          <w:sz w:val="72"/>
          <w:szCs w:val="72"/>
        </w:rPr>
      </w:pPr>
    </w:p>
    <w:p w:rsidR="00FC3217" w:rsidRDefault="00FC3217" w:rsidP="00FC3217">
      <w:pPr>
        <w:widowControl/>
        <w:jc w:val="center"/>
        <w:rPr>
          <w:rFonts w:ascii="黑体" w:eastAsia="黑体" w:hAnsi="宋体" w:cs="宋体"/>
          <w:bCs/>
          <w:kern w:val="0"/>
          <w:sz w:val="72"/>
          <w:szCs w:val="72"/>
        </w:rPr>
      </w:pPr>
      <w:r>
        <w:rPr>
          <w:rFonts w:ascii="黑体" w:eastAsia="黑体" w:hAnsi="宋体" w:cs="宋体" w:hint="eastAsia"/>
          <w:bCs/>
          <w:kern w:val="0"/>
          <w:sz w:val="72"/>
          <w:szCs w:val="72"/>
        </w:rPr>
        <w:t>期货公司股票期权</w:t>
      </w:r>
    </w:p>
    <w:p w:rsidR="00FC3217" w:rsidRDefault="00FC3217" w:rsidP="00FC3217">
      <w:pPr>
        <w:widowControl/>
        <w:jc w:val="center"/>
        <w:rPr>
          <w:rFonts w:ascii="黑体" w:eastAsia="黑体" w:hAnsi="宋体" w:cs="宋体"/>
          <w:bCs/>
          <w:kern w:val="0"/>
          <w:sz w:val="72"/>
          <w:szCs w:val="72"/>
        </w:rPr>
      </w:pPr>
      <w:r>
        <w:rPr>
          <w:rFonts w:ascii="黑体" w:eastAsia="黑体" w:hAnsi="宋体" w:cs="宋体" w:hint="eastAsia"/>
          <w:bCs/>
          <w:kern w:val="0"/>
          <w:sz w:val="72"/>
          <w:szCs w:val="72"/>
        </w:rPr>
        <w:t>经纪业务指南</w:t>
      </w:r>
    </w:p>
    <w:p w:rsidR="00FC3217" w:rsidRDefault="00FC3217" w:rsidP="00FC3217">
      <w:pPr>
        <w:widowControl/>
        <w:jc w:val="center"/>
        <w:rPr>
          <w:rFonts w:ascii="仿宋_GB2312" w:eastAsia="仿宋_GB2312" w:hAnsi="仿宋"/>
          <w:sz w:val="30"/>
          <w:szCs w:val="30"/>
        </w:rPr>
      </w:pPr>
      <w:r>
        <w:rPr>
          <w:rFonts w:ascii="仿宋_GB2312" w:eastAsia="仿宋_GB2312" w:hAnsi="仿宋" w:hint="eastAsia"/>
          <w:sz w:val="30"/>
          <w:szCs w:val="30"/>
        </w:rPr>
        <w:t>（</w:t>
      </w:r>
      <w:r w:rsidR="00A04AF8">
        <w:rPr>
          <w:rFonts w:ascii="仿宋_GB2312" w:eastAsia="仿宋_GB2312" w:hAnsi="仿宋" w:hint="eastAsia"/>
          <w:sz w:val="30"/>
          <w:szCs w:val="30"/>
        </w:rPr>
        <w:t>2020</w:t>
      </w:r>
      <w:r>
        <w:rPr>
          <w:rFonts w:ascii="仿宋_GB2312" w:eastAsia="仿宋_GB2312" w:hAnsi="仿宋" w:hint="eastAsia"/>
          <w:sz w:val="30"/>
          <w:szCs w:val="30"/>
        </w:rPr>
        <w:t>年修订）</w:t>
      </w:r>
    </w:p>
    <w:p w:rsidR="00FC3217" w:rsidRDefault="00FC3217" w:rsidP="00FC3217">
      <w:pPr>
        <w:spacing w:before="120" w:after="120"/>
        <w:jc w:val="center"/>
        <w:rPr>
          <w:rFonts w:ascii="仿宋_GB2312" w:eastAsia="仿宋_GB2312" w:hAnsi="Times New Roman"/>
          <w:b/>
          <w:color w:val="000000"/>
          <w:kern w:val="44"/>
          <w:sz w:val="52"/>
          <w:szCs w:val="52"/>
        </w:rPr>
      </w:pPr>
    </w:p>
    <w:p w:rsidR="00FC3217" w:rsidRDefault="00FC3217" w:rsidP="00FC3217">
      <w:pPr>
        <w:spacing w:before="120" w:after="120"/>
        <w:jc w:val="center"/>
        <w:rPr>
          <w:rFonts w:ascii="仿宋_GB2312" w:eastAsia="仿宋_GB2312" w:hAnsi="Times New Roman"/>
          <w:b/>
          <w:color w:val="000000"/>
          <w:kern w:val="44"/>
          <w:sz w:val="52"/>
          <w:szCs w:val="52"/>
        </w:rPr>
      </w:pPr>
    </w:p>
    <w:p w:rsidR="00FC3217" w:rsidRDefault="00FC3217" w:rsidP="00FC3217">
      <w:pPr>
        <w:spacing w:before="120" w:after="120"/>
        <w:jc w:val="center"/>
        <w:rPr>
          <w:rFonts w:ascii="仿宋_GB2312" w:eastAsia="仿宋_GB2312" w:hAnsi="Times New Roman"/>
          <w:b/>
          <w:color w:val="000000"/>
          <w:kern w:val="44"/>
          <w:sz w:val="52"/>
          <w:szCs w:val="52"/>
        </w:rPr>
      </w:pPr>
    </w:p>
    <w:p w:rsidR="00FC3217" w:rsidRDefault="00FC3217" w:rsidP="00FC3217">
      <w:pPr>
        <w:spacing w:before="120" w:after="120"/>
        <w:jc w:val="center"/>
        <w:rPr>
          <w:rFonts w:ascii="仿宋_GB2312" w:eastAsia="仿宋_GB2312" w:hAnsi="Times New Roman"/>
          <w:b/>
          <w:color w:val="000000"/>
          <w:kern w:val="44"/>
          <w:sz w:val="52"/>
          <w:szCs w:val="52"/>
        </w:rPr>
      </w:pPr>
    </w:p>
    <w:p w:rsidR="00FC3217" w:rsidRDefault="00FC3217" w:rsidP="00FC3217">
      <w:pPr>
        <w:widowControl/>
        <w:spacing w:line="408" w:lineRule="auto"/>
        <w:jc w:val="center"/>
        <w:rPr>
          <w:rFonts w:ascii="宋体" w:hAnsi="宋体" w:cs="宋体"/>
          <w:b/>
          <w:kern w:val="0"/>
          <w:sz w:val="32"/>
          <w:szCs w:val="32"/>
        </w:rPr>
      </w:pPr>
      <w:r>
        <w:rPr>
          <w:rFonts w:ascii="宋体" w:hAnsi="宋体" w:cs="宋体" w:hint="eastAsia"/>
          <w:b/>
          <w:kern w:val="0"/>
          <w:sz w:val="32"/>
          <w:szCs w:val="32"/>
        </w:rPr>
        <w:t>上海证券交易所</w:t>
      </w:r>
    </w:p>
    <w:p w:rsidR="00FC3217" w:rsidRDefault="00A04AF8" w:rsidP="00FC3217">
      <w:pPr>
        <w:widowControl/>
        <w:spacing w:line="408" w:lineRule="auto"/>
        <w:jc w:val="center"/>
        <w:rPr>
          <w:rFonts w:ascii="宋体" w:hAnsi="宋体" w:cs="宋体"/>
          <w:b/>
          <w:kern w:val="0"/>
          <w:sz w:val="32"/>
          <w:szCs w:val="32"/>
        </w:rPr>
      </w:pPr>
      <w:r>
        <w:rPr>
          <w:rFonts w:ascii="宋体" w:hAnsi="宋体" w:cs="宋体"/>
          <w:b/>
          <w:kern w:val="0"/>
          <w:sz w:val="32"/>
          <w:szCs w:val="32"/>
        </w:rPr>
        <w:t>20</w:t>
      </w:r>
      <w:r>
        <w:rPr>
          <w:rFonts w:ascii="宋体" w:hAnsi="宋体" w:cs="宋体" w:hint="eastAsia"/>
          <w:b/>
          <w:kern w:val="0"/>
          <w:sz w:val="32"/>
          <w:szCs w:val="32"/>
        </w:rPr>
        <w:t>20</w:t>
      </w:r>
      <w:r w:rsidR="00FC3217">
        <w:rPr>
          <w:rFonts w:ascii="宋体" w:hAnsi="宋体" w:cs="宋体"/>
          <w:b/>
          <w:kern w:val="0"/>
          <w:sz w:val="32"/>
          <w:szCs w:val="32"/>
        </w:rPr>
        <w:t>年</w:t>
      </w:r>
      <w:r>
        <w:rPr>
          <w:rFonts w:ascii="宋体" w:hAnsi="宋体" w:cs="宋体" w:hint="eastAsia"/>
          <w:b/>
          <w:kern w:val="0"/>
          <w:sz w:val="32"/>
          <w:szCs w:val="32"/>
        </w:rPr>
        <w:t>8</w:t>
      </w:r>
      <w:r w:rsidR="00FC3217">
        <w:rPr>
          <w:rFonts w:ascii="宋体" w:hAnsi="宋体" w:cs="宋体" w:hint="eastAsia"/>
          <w:b/>
          <w:kern w:val="0"/>
          <w:sz w:val="32"/>
          <w:szCs w:val="32"/>
        </w:rPr>
        <w:t>月</w:t>
      </w:r>
      <w:r w:rsidR="000B6E4C">
        <w:rPr>
          <w:rFonts w:ascii="宋体" w:hAnsi="宋体" w:cs="宋体" w:hint="eastAsia"/>
          <w:b/>
          <w:kern w:val="0"/>
          <w:sz w:val="32"/>
          <w:szCs w:val="32"/>
        </w:rPr>
        <w:t>1</w:t>
      </w:r>
      <w:r w:rsidR="00F206BE">
        <w:rPr>
          <w:rFonts w:ascii="宋体" w:hAnsi="宋体" w:cs="宋体" w:hint="eastAsia"/>
          <w:b/>
          <w:kern w:val="0"/>
          <w:sz w:val="32"/>
          <w:szCs w:val="32"/>
        </w:rPr>
        <w:t>4</w:t>
      </w:r>
      <w:r w:rsidR="00FC3217">
        <w:rPr>
          <w:rFonts w:ascii="宋体" w:hAnsi="宋体" w:cs="宋体" w:hint="eastAsia"/>
          <w:b/>
          <w:kern w:val="0"/>
          <w:sz w:val="32"/>
          <w:szCs w:val="32"/>
        </w:rPr>
        <w:t>日</w:t>
      </w:r>
    </w:p>
    <w:p w:rsidR="00FC3217" w:rsidRDefault="00FC3217" w:rsidP="00FC3217">
      <w:pPr>
        <w:widowControl/>
        <w:rPr>
          <w:rFonts w:ascii="仿宋_GB2312" w:eastAsia="仿宋_GB2312" w:hAnsi="Times New Roman"/>
          <w:b/>
          <w:bCs/>
          <w:sz w:val="44"/>
          <w:szCs w:val="44"/>
        </w:rPr>
      </w:pPr>
      <w:bookmarkStart w:id="0" w:name="_GoBack"/>
      <w:bookmarkEnd w:id="0"/>
    </w:p>
    <w:p w:rsidR="00FC3217" w:rsidRDefault="00FC3217" w:rsidP="00FC3217">
      <w:pPr>
        <w:widowControl/>
        <w:rPr>
          <w:rFonts w:ascii="仿宋_GB2312" w:eastAsia="仿宋_GB2312" w:hAnsi="Times New Roman"/>
          <w:b/>
          <w:bCs/>
          <w:sz w:val="44"/>
          <w:szCs w:val="44"/>
        </w:rPr>
      </w:pPr>
    </w:p>
    <w:p w:rsidR="00FC3217" w:rsidRDefault="00FC3217" w:rsidP="00FC3217">
      <w:pPr>
        <w:widowControl/>
        <w:rPr>
          <w:rFonts w:ascii="仿宋_GB2312" w:eastAsia="仿宋_GB2312" w:hAnsi="Times New Roman"/>
          <w:b/>
          <w:bCs/>
          <w:sz w:val="44"/>
          <w:szCs w:val="44"/>
        </w:rPr>
      </w:pPr>
    </w:p>
    <w:p w:rsidR="00FC3217" w:rsidRDefault="00FC3217" w:rsidP="00FC3217">
      <w:pPr>
        <w:widowControl/>
        <w:rPr>
          <w:rFonts w:ascii="仿宋_GB2312" w:eastAsia="仿宋_GB2312" w:hAnsi="Times New Roman"/>
          <w:b/>
          <w:bCs/>
          <w:sz w:val="44"/>
          <w:szCs w:val="44"/>
        </w:rPr>
      </w:pPr>
    </w:p>
    <w:p w:rsidR="00FC3217" w:rsidRDefault="00FC3217" w:rsidP="00FC3217">
      <w:pPr>
        <w:widowControl/>
        <w:rPr>
          <w:rFonts w:ascii="仿宋_GB2312" w:eastAsia="仿宋_GB2312" w:hAnsi="Times New Roman"/>
          <w:b/>
          <w:bCs/>
          <w:sz w:val="44"/>
          <w:szCs w:val="44"/>
        </w:rPr>
      </w:pPr>
    </w:p>
    <w:p w:rsidR="00FC3217" w:rsidRDefault="00FC3217" w:rsidP="00FC3217">
      <w:pPr>
        <w:widowControl/>
        <w:rPr>
          <w:rFonts w:ascii="仿宋_GB2312" w:eastAsia="仿宋_GB2312" w:hAnsi="Times New Roman"/>
          <w:b/>
          <w:bCs/>
          <w:sz w:val="44"/>
          <w:szCs w:val="44"/>
        </w:rPr>
      </w:pPr>
    </w:p>
    <w:p w:rsidR="00FC3217" w:rsidRDefault="00FC3217" w:rsidP="00FC3217">
      <w:pPr>
        <w:pStyle w:val="10"/>
        <w:tabs>
          <w:tab w:val="right" w:leader="dot" w:pos="8306"/>
        </w:tabs>
        <w:jc w:val="center"/>
        <w:rPr>
          <w:rFonts w:ascii="仿宋_GB2312" w:eastAsia="仿宋_GB2312" w:hAnsi="Times New Roman"/>
          <w:sz w:val="44"/>
          <w:szCs w:val="44"/>
        </w:rPr>
        <w:sectPr w:rsidR="00FC3217">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720"/>
          <w:titlePg/>
          <w:docGrid w:type="lines" w:linePitch="312"/>
        </w:sectPr>
      </w:pPr>
    </w:p>
    <w:p w:rsidR="00FC3217" w:rsidRDefault="00FC3217" w:rsidP="00FC3217">
      <w:pPr>
        <w:pStyle w:val="10"/>
        <w:tabs>
          <w:tab w:val="right" w:leader="dot" w:pos="8306"/>
        </w:tabs>
        <w:jc w:val="center"/>
        <w:rPr>
          <w:rFonts w:ascii="仿宋_GB2312" w:eastAsia="仿宋_GB2312" w:hAnsi="Times New Roman"/>
          <w:sz w:val="44"/>
          <w:szCs w:val="44"/>
        </w:rPr>
      </w:pPr>
      <w:r>
        <w:rPr>
          <w:rFonts w:ascii="仿宋_GB2312" w:eastAsia="仿宋_GB2312" w:hAnsi="Times New Roman" w:hint="eastAsia"/>
          <w:sz w:val="44"/>
          <w:szCs w:val="44"/>
        </w:rPr>
        <w:lastRenderedPageBreak/>
        <w:t>目录</w:t>
      </w:r>
    </w:p>
    <w:p w:rsidR="00FC3217" w:rsidRDefault="00FC3217" w:rsidP="00FC3217">
      <w:pPr>
        <w:pStyle w:val="10"/>
        <w:tabs>
          <w:tab w:val="right" w:leader="dot" w:pos="8306"/>
        </w:tabs>
        <w:rPr>
          <w:noProof/>
        </w:rPr>
      </w:pPr>
      <w:r>
        <w:rPr>
          <w:rFonts w:hint="eastAsia"/>
        </w:rPr>
        <w:t xml:space="preserve">    </w:t>
      </w:r>
      <w:r w:rsidR="00777240">
        <w:rPr>
          <w:rFonts w:hint="eastAsia"/>
        </w:rPr>
        <w:fldChar w:fldCharType="begin"/>
      </w:r>
      <w:r>
        <w:rPr>
          <w:rFonts w:hint="eastAsia"/>
        </w:rPr>
        <w:instrText xml:space="preserve">TOC \o "1-3" \h \u </w:instrText>
      </w:r>
      <w:r w:rsidR="00777240">
        <w:rPr>
          <w:rFonts w:hint="eastAsia"/>
        </w:rPr>
        <w:fldChar w:fldCharType="separate"/>
      </w:r>
    </w:p>
    <w:p w:rsidR="00FC3217" w:rsidRDefault="00777240" w:rsidP="00FC3217">
      <w:pPr>
        <w:pStyle w:val="10"/>
        <w:tabs>
          <w:tab w:val="right" w:leader="dot" w:pos="8296"/>
        </w:tabs>
        <w:rPr>
          <w:rFonts w:asciiTheme="minorHAnsi" w:eastAsiaTheme="minorEastAsia" w:hAnsiTheme="minorHAnsi" w:cstheme="minorBidi"/>
          <w:noProof/>
        </w:rPr>
      </w:pPr>
      <w:hyperlink w:anchor="_Toc23946955" w:history="1">
        <w:r w:rsidR="00FC3217" w:rsidRPr="005341B5">
          <w:rPr>
            <w:rStyle w:val="a9"/>
            <w:rFonts w:ascii="Times New Roman" w:eastAsia="黑体" w:hAnsi="Times New Roman" w:hint="eastAsia"/>
            <w:noProof/>
          </w:rPr>
          <w:t>说明及声明</w:t>
        </w:r>
        <w:r w:rsidR="00FC3217">
          <w:rPr>
            <w:noProof/>
          </w:rPr>
          <w:tab/>
        </w:r>
        <w:r>
          <w:rPr>
            <w:noProof/>
          </w:rPr>
          <w:fldChar w:fldCharType="begin"/>
        </w:r>
        <w:r w:rsidR="00FC3217">
          <w:rPr>
            <w:noProof/>
          </w:rPr>
          <w:instrText xml:space="preserve"> PAGEREF _Toc23946955 \h </w:instrText>
        </w:r>
        <w:r>
          <w:rPr>
            <w:noProof/>
          </w:rPr>
        </w:r>
        <w:r>
          <w:rPr>
            <w:noProof/>
          </w:rPr>
          <w:fldChar w:fldCharType="separate"/>
        </w:r>
        <w:r w:rsidR="00021BE0">
          <w:rPr>
            <w:noProof/>
          </w:rPr>
          <w:t>1</w:t>
        </w:r>
        <w:r>
          <w:rPr>
            <w:noProof/>
          </w:rPr>
          <w:fldChar w:fldCharType="end"/>
        </w:r>
      </w:hyperlink>
    </w:p>
    <w:p w:rsidR="00FC3217" w:rsidRDefault="00777240" w:rsidP="00FC3217">
      <w:pPr>
        <w:pStyle w:val="21"/>
        <w:tabs>
          <w:tab w:val="right" w:leader="dot" w:pos="8296"/>
        </w:tabs>
        <w:rPr>
          <w:rFonts w:asciiTheme="minorHAnsi" w:eastAsiaTheme="minorEastAsia" w:hAnsiTheme="minorHAnsi" w:cstheme="minorBidi"/>
          <w:noProof/>
        </w:rPr>
      </w:pPr>
      <w:hyperlink w:anchor="_Toc23946956" w:history="1">
        <w:r w:rsidR="00FC3217" w:rsidRPr="005341B5">
          <w:rPr>
            <w:rStyle w:val="a9"/>
            <w:rFonts w:ascii="黑体" w:eastAsia="黑体" w:hAnsi="黑体" w:hint="eastAsia"/>
            <w:noProof/>
          </w:rPr>
          <w:t>第一章</w:t>
        </w:r>
        <w:r w:rsidR="00FC3217" w:rsidRPr="005341B5">
          <w:rPr>
            <w:rStyle w:val="a9"/>
            <w:rFonts w:ascii="黑体" w:eastAsia="黑体" w:hAnsi="黑体"/>
            <w:noProof/>
          </w:rPr>
          <w:t xml:space="preserve"> </w:t>
        </w:r>
        <w:r w:rsidR="00FC3217" w:rsidRPr="005341B5">
          <w:rPr>
            <w:rStyle w:val="a9"/>
            <w:rFonts w:ascii="黑体" w:eastAsia="黑体" w:hAnsi="黑体" w:hint="eastAsia"/>
            <w:noProof/>
          </w:rPr>
          <w:t>总体要求</w:t>
        </w:r>
        <w:r w:rsidR="00FC3217">
          <w:rPr>
            <w:noProof/>
          </w:rPr>
          <w:tab/>
        </w:r>
        <w:r>
          <w:rPr>
            <w:noProof/>
          </w:rPr>
          <w:fldChar w:fldCharType="begin"/>
        </w:r>
        <w:r w:rsidR="00FC3217">
          <w:rPr>
            <w:noProof/>
          </w:rPr>
          <w:instrText xml:space="preserve"> PAGEREF _Toc23946956 \h </w:instrText>
        </w:r>
        <w:r>
          <w:rPr>
            <w:noProof/>
          </w:rPr>
        </w:r>
        <w:r>
          <w:rPr>
            <w:noProof/>
          </w:rPr>
          <w:fldChar w:fldCharType="separate"/>
        </w:r>
        <w:r w:rsidR="00021BE0">
          <w:rPr>
            <w:noProof/>
          </w:rPr>
          <w:t>1</w:t>
        </w:r>
        <w:r>
          <w:rPr>
            <w:noProof/>
          </w:rPr>
          <w:fldChar w:fldCharType="end"/>
        </w:r>
      </w:hyperlink>
    </w:p>
    <w:p w:rsidR="00FC3217" w:rsidRDefault="00777240" w:rsidP="00FC3217">
      <w:pPr>
        <w:pStyle w:val="21"/>
        <w:tabs>
          <w:tab w:val="right" w:leader="dot" w:pos="8296"/>
        </w:tabs>
        <w:rPr>
          <w:rFonts w:asciiTheme="minorHAnsi" w:eastAsiaTheme="minorEastAsia" w:hAnsiTheme="minorHAnsi" w:cstheme="minorBidi"/>
          <w:noProof/>
        </w:rPr>
      </w:pPr>
      <w:hyperlink w:anchor="_Toc23946957" w:history="1">
        <w:r w:rsidR="00FC3217" w:rsidRPr="005341B5">
          <w:rPr>
            <w:rStyle w:val="a9"/>
            <w:rFonts w:hint="eastAsia"/>
            <w:noProof/>
          </w:rPr>
          <w:t>一、组织架构和职责分工</w:t>
        </w:r>
        <w:r w:rsidR="00FC3217">
          <w:rPr>
            <w:noProof/>
          </w:rPr>
          <w:tab/>
        </w:r>
        <w:r>
          <w:rPr>
            <w:noProof/>
          </w:rPr>
          <w:fldChar w:fldCharType="begin"/>
        </w:r>
        <w:r w:rsidR="00FC3217">
          <w:rPr>
            <w:noProof/>
          </w:rPr>
          <w:instrText xml:space="preserve"> PAGEREF _Toc23946957 \h </w:instrText>
        </w:r>
        <w:r>
          <w:rPr>
            <w:noProof/>
          </w:rPr>
        </w:r>
        <w:r>
          <w:rPr>
            <w:noProof/>
          </w:rPr>
          <w:fldChar w:fldCharType="separate"/>
        </w:r>
        <w:r w:rsidR="00021BE0">
          <w:rPr>
            <w:noProof/>
          </w:rPr>
          <w:t>2</w:t>
        </w:r>
        <w:r>
          <w:rPr>
            <w:noProof/>
          </w:rPr>
          <w:fldChar w:fldCharType="end"/>
        </w:r>
      </w:hyperlink>
    </w:p>
    <w:p w:rsidR="00FC3217" w:rsidRDefault="00777240" w:rsidP="00FC3217">
      <w:pPr>
        <w:pStyle w:val="21"/>
        <w:tabs>
          <w:tab w:val="right" w:leader="dot" w:pos="8296"/>
        </w:tabs>
        <w:rPr>
          <w:rFonts w:asciiTheme="minorHAnsi" w:eastAsiaTheme="minorEastAsia" w:hAnsiTheme="minorHAnsi" w:cstheme="minorBidi"/>
          <w:noProof/>
        </w:rPr>
      </w:pPr>
      <w:hyperlink w:anchor="_Toc23946958" w:history="1">
        <w:r w:rsidR="00FC3217" w:rsidRPr="005341B5">
          <w:rPr>
            <w:rStyle w:val="a9"/>
            <w:rFonts w:hint="eastAsia"/>
            <w:noProof/>
          </w:rPr>
          <w:t>二、岗位设置</w:t>
        </w:r>
        <w:r w:rsidR="00FC3217">
          <w:rPr>
            <w:noProof/>
          </w:rPr>
          <w:tab/>
        </w:r>
        <w:r>
          <w:rPr>
            <w:noProof/>
          </w:rPr>
          <w:fldChar w:fldCharType="begin"/>
        </w:r>
        <w:r w:rsidR="00FC3217">
          <w:rPr>
            <w:noProof/>
          </w:rPr>
          <w:instrText xml:space="preserve"> PAGEREF _Toc23946958 \h </w:instrText>
        </w:r>
        <w:r>
          <w:rPr>
            <w:noProof/>
          </w:rPr>
        </w:r>
        <w:r>
          <w:rPr>
            <w:noProof/>
          </w:rPr>
          <w:fldChar w:fldCharType="separate"/>
        </w:r>
        <w:r w:rsidR="00021BE0">
          <w:rPr>
            <w:noProof/>
          </w:rPr>
          <w:t>3</w:t>
        </w:r>
        <w:r>
          <w:rPr>
            <w:noProof/>
          </w:rPr>
          <w:fldChar w:fldCharType="end"/>
        </w:r>
      </w:hyperlink>
    </w:p>
    <w:p w:rsidR="00FC3217" w:rsidRDefault="00777240" w:rsidP="00FC3217">
      <w:pPr>
        <w:pStyle w:val="21"/>
        <w:tabs>
          <w:tab w:val="right" w:leader="dot" w:pos="8296"/>
        </w:tabs>
        <w:rPr>
          <w:rFonts w:asciiTheme="minorHAnsi" w:eastAsiaTheme="minorEastAsia" w:hAnsiTheme="minorHAnsi" w:cstheme="minorBidi"/>
          <w:noProof/>
        </w:rPr>
      </w:pPr>
      <w:hyperlink w:anchor="_Toc23946959" w:history="1">
        <w:r w:rsidR="00FC3217" w:rsidRPr="005341B5">
          <w:rPr>
            <w:rStyle w:val="a9"/>
            <w:rFonts w:hint="eastAsia"/>
            <w:noProof/>
          </w:rPr>
          <w:t>三、制度与流程</w:t>
        </w:r>
        <w:r w:rsidR="00FC3217">
          <w:rPr>
            <w:noProof/>
          </w:rPr>
          <w:tab/>
        </w:r>
        <w:r>
          <w:rPr>
            <w:noProof/>
          </w:rPr>
          <w:fldChar w:fldCharType="begin"/>
        </w:r>
        <w:r w:rsidR="00FC3217">
          <w:rPr>
            <w:noProof/>
          </w:rPr>
          <w:instrText xml:space="preserve"> PAGEREF _Toc23946959 \h </w:instrText>
        </w:r>
        <w:r>
          <w:rPr>
            <w:noProof/>
          </w:rPr>
        </w:r>
        <w:r>
          <w:rPr>
            <w:noProof/>
          </w:rPr>
          <w:fldChar w:fldCharType="separate"/>
        </w:r>
        <w:r w:rsidR="00021BE0">
          <w:rPr>
            <w:noProof/>
          </w:rPr>
          <w:t>4</w:t>
        </w:r>
        <w:r>
          <w:rPr>
            <w:noProof/>
          </w:rPr>
          <w:fldChar w:fldCharType="end"/>
        </w:r>
      </w:hyperlink>
    </w:p>
    <w:p w:rsidR="00FC3217" w:rsidRDefault="00777240" w:rsidP="00FC3217">
      <w:pPr>
        <w:pStyle w:val="21"/>
        <w:tabs>
          <w:tab w:val="right" w:leader="dot" w:pos="8296"/>
        </w:tabs>
        <w:rPr>
          <w:rFonts w:asciiTheme="minorHAnsi" w:eastAsiaTheme="minorEastAsia" w:hAnsiTheme="minorHAnsi" w:cstheme="minorBidi"/>
          <w:noProof/>
        </w:rPr>
      </w:pPr>
      <w:hyperlink w:anchor="_Toc23946960" w:history="1">
        <w:r w:rsidR="00FC3217" w:rsidRPr="005341B5">
          <w:rPr>
            <w:rStyle w:val="a9"/>
            <w:rFonts w:hint="eastAsia"/>
            <w:noProof/>
          </w:rPr>
          <w:t>四、合规与内控管理</w:t>
        </w:r>
        <w:r w:rsidR="00FC3217">
          <w:rPr>
            <w:noProof/>
          </w:rPr>
          <w:tab/>
        </w:r>
        <w:r>
          <w:rPr>
            <w:noProof/>
          </w:rPr>
          <w:fldChar w:fldCharType="begin"/>
        </w:r>
        <w:r w:rsidR="00FC3217">
          <w:rPr>
            <w:noProof/>
          </w:rPr>
          <w:instrText xml:space="preserve"> PAGEREF _Toc23946960 \h </w:instrText>
        </w:r>
        <w:r>
          <w:rPr>
            <w:noProof/>
          </w:rPr>
        </w:r>
        <w:r>
          <w:rPr>
            <w:noProof/>
          </w:rPr>
          <w:fldChar w:fldCharType="separate"/>
        </w:r>
        <w:r w:rsidR="00021BE0">
          <w:rPr>
            <w:noProof/>
          </w:rPr>
          <w:t>5</w:t>
        </w:r>
        <w:r>
          <w:rPr>
            <w:noProof/>
          </w:rPr>
          <w:fldChar w:fldCharType="end"/>
        </w:r>
      </w:hyperlink>
    </w:p>
    <w:p w:rsidR="00FC3217" w:rsidRDefault="00777240" w:rsidP="00FC3217">
      <w:pPr>
        <w:pStyle w:val="21"/>
        <w:tabs>
          <w:tab w:val="right" w:leader="dot" w:pos="8296"/>
        </w:tabs>
        <w:rPr>
          <w:rFonts w:asciiTheme="minorHAnsi" w:eastAsiaTheme="minorEastAsia" w:hAnsiTheme="minorHAnsi" w:cstheme="minorBidi"/>
          <w:noProof/>
        </w:rPr>
      </w:pPr>
      <w:hyperlink w:anchor="_Toc23946961" w:history="1">
        <w:r w:rsidR="00FC3217" w:rsidRPr="005341B5">
          <w:rPr>
            <w:rStyle w:val="a9"/>
            <w:rFonts w:hint="eastAsia"/>
            <w:noProof/>
          </w:rPr>
          <w:t>五、技术系统</w:t>
        </w:r>
        <w:r w:rsidR="00FC3217">
          <w:rPr>
            <w:noProof/>
          </w:rPr>
          <w:tab/>
        </w:r>
        <w:r>
          <w:rPr>
            <w:noProof/>
          </w:rPr>
          <w:fldChar w:fldCharType="begin"/>
        </w:r>
        <w:r w:rsidR="00FC3217">
          <w:rPr>
            <w:noProof/>
          </w:rPr>
          <w:instrText xml:space="preserve"> PAGEREF _Toc23946961 \h </w:instrText>
        </w:r>
        <w:r>
          <w:rPr>
            <w:noProof/>
          </w:rPr>
        </w:r>
        <w:r>
          <w:rPr>
            <w:noProof/>
          </w:rPr>
          <w:fldChar w:fldCharType="separate"/>
        </w:r>
        <w:r w:rsidR="00021BE0">
          <w:rPr>
            <w:noProof/>
          </w:rPr>
          <w:t>8</w:t>
        </w:r>
        <w:r>
          <w:rPr>
            <w:noProof/>
          </w:rPr>
          <w:fldChar w:fldCharType="end"/>
        </w:r>
      </w:hyperlink>
    </w:p>
    <w:p w:rsidR="00FC3217" w:rsidRDefault="00777240" w:rsidP="00FC3217">
      <w:pPr>
        <w:pStyle w:val="21"/>
        <w:tabs>
          <w:tab w:val="right" w:leader="dot" w:pos="8296"/>
        </w:tabs>
        <w:rPr>
          <w:rFonts w:asciiTheme="minorHAnsi" w:eastAsiaTheme="minorEastAsia" w:hAnsiTheme="minorHAnsi" w:cstheme="minorBidi"/>
          <w:noProof/>
        </w:rPr>
      </w:pPr>
      <w:hyperlink w:anchor="_Toc23946962" w:history="1">
        <w:r w:rsidR="00FC3217" w:rsidRPr="005341B5">
          <w:rPr>
            <w:rStyle w:val="a9"/>
            <w:rFonts w:hint="eastAsia"/>
            <w:noProof/>
          </w:rPr>
          <w:t>六、交易单元</w:t>
        </w:r>
        <w:r w:rsidR="00FC3217">
          <w:rPr>
            <w:noProof/>
          </w:rPr>
          <w:tab/>
        </w:r>
        <w:r>
          <w:rPr>
            <w:noProof/>
          </w:rPr>
          <w:fldChar w:fldCharType="begin"/>
        </w:r>
        <w:r w:rsidR="00FC3217">
          <w:rPr>
            <w:noProof/>
          </w:rPr>
          <w:instrText xml:space="preserve"> PAGEREF _Toc23946962 \h </w:instrText>
        </w:r>
        <w:r>
          <w:rPr>
            <w:noProof/>
          </w:rPr>
        </w:r>
        <w:r>
          <w:rPr>
            <w:noProof/>
          </w:rPr>
          <w:fldChar w:fldCharType="separate"/>
        </w:r>
        <w:r w:rsidR="00021BE0">
          <w:rPr>
            <w:noProof/>
          </w:rPr>
          <w:t>8</w:t>
        </w:r>
        <w:r>
          <w:rPr>
            <w:noProof/>
          </w:rPr>
          <w:fldChar w:fldCharType="end"/>
        </w:r>
      </w:hyperlink>
    </w:p>
    <w:p w:rsidR="00FC3217" w:rsidRDefault="00777240" w:rsidP="00FC3217">
      <w:pPr>
        <w:pStyle w:val="21"/>
        <w:tabs>
          <w:tab w:val="right" w:leader="dot" w:pos="8296"/>
        </w:tabs>
        <w:rPr>
          <w:rFonts w:asciiTheme="minorHAnsi" w:eastAsiaTheme="minorEastAsia" w:hAnsiTheme="minorHAnsi" w:cstheme="minorBidi"/>
          <w:noProof/>
        </w:rPr>
      </w:pPr>
      <w:hyperlink w:anchor="_Toc23946963" w:history="1">
        <w:r w:rsidR="00FC3217" w:rsidRPr="005341B5">
          <w:rPr>
            <w:rStyle w:val="a9"/>
            <w:rFonts w:ascii="黑体" w:eastAsia="黑体" w:hAnsi="黑体" w:hint="eastAsia"/>
            <w:noProof/>
          </w:rPr>
          <w:t>第二章</w:t>
        </w:r>
        <w:r w:rsidR="00FC3217" w:rsidRPr="005341B5">
          <w:rPr>
            <w:rStyle w:val="a9"/>
            <w:rFonts w:ascii="黑体" w:eastAsia="黑体" w:hAnsi="黑体"/>
            <w:noProof/>
          </w:rPr>
          <w:t xml:space="preserve"> </w:t>
        </w:r>
        <w:r w:rsidR="00FC3217" w:rsidRPr="005341B5">
          <w:rPr>
            <w:rStyle w:val="a9"/>
            <w:rFonts w:ascii="黑体" w:eastAsia="黑体" w:hAnsi="黑体" w:hint="eastAsia"/>
            <w:noProof/>
          </w:rPr>
          <w:t>股票期权经纪业务申请</w:t>
        </w:r>
        <w:r w:rsidR="00FC3217">
          <w:rPr>
            <w:noProof/>
          </w:rPr>
          <w:tab/>
        </w:r>
        <w:r>
          <w:rPr>
            <w:noProof/>
          </w:rPr>
          <w:fldChar w:fldCharType="begin"/>
        </w:r>
        <w:r w:rsidR="00FC3217">
          <w:rPr>
            <w:noProof/>
          </w:rPr>
          <w:instrText xml:space="preserve"> PAGEREF _Toc23946963 \h </w:instrText>
        </w:r>
        <w:r>
          <w:rPr>
            <w:noProof/>
          </w:rPr>
        </w:r>
        <w:r>
          <w:rPr>
            <w:noProof/>
          </w:rPr>
          <w:fldChar w:fldCharType="separate"/>
        </w:r>
        <w:r w:rsidR="00021BE0">
          <w:rPr>
            <w:noProof/>
          </w:rPr>
          <w:t>9</w:t>
        </w:r>
        <w:r>
          <w:rPr>
            <w:noProof/>
          </w:rPr>
          <w:fldChar w:fldCharType="end"/>
        </w:r>
      </w:hyperlink>
    </w:p>
    <w:p w:rsidR="00FC3217" w:rsidRDefault="00777240" w:rsidP="00FC3217">
      <w:pPr>
        <w:pStyle w:val="21"/>
        <w:tabs>
          <w:tab w:val="right" w:leader="dot" w:pos="8296"/>
        </w:tabs>
        <w:rPr>
          <w:rFonts w:asciiTheme="minorHAnsi" w:eastAsiaTheme="minorEastAsia" w:hAnsiTheme="minorHAnsi" w:cstheme="minorBidi"/>
          <w:noProof/>
        </w:rPr>
      </w:pPr>
      <w:hyperlink w:anchor="_Toc23946964" w:history="1">
        <w:r w:rsidR="00FC3217" w:rsidRPr="005341B5">
          <w:rPr>
            <w:rStyle w:val="a9"/>
            <w:rFonts w:hint="eastAsia"/>
            <w:noProof/>
          </w:rPr>
          <w:t>一、申请本所网站数字证书</w:t>
        </w:r>
        <w:r w:rsidR="00FC3217">
          <w:rPr>
            <w:noProof/>
          </w:rPr>
          <w:tab/>
        </w:r>
        <w:r>
          <w:rPr>
            <w:noProof/>
          </w:rPr>
          <w:fldChar w:fldCharType="begin"/>
        </w:r>
        <w:r w:rsidR="00FC3217">
          <w:rPr>
            <w:noProof/>
          </w:rPr>
          <w:instrText xml:space="preserve"> PAGEREF _Toc23946964 \h </w:instrText>
        </w:r>
        <w:r>
          <w:rPr>
            <w:noProof/>
          </w:rPr>
        </w:r>
        <w:r>
          <w:rPr>
            <w:noProof/>
          </w:rPr>
          <w:fldChar w:fldCharType="separate"/>
        </w:r>
        <w:r w:rsidR="00021BE0">
          <w:rPr>
            <w:noProof/>
          </w:rPr>
          <w:t>9</w:t>
        </w:r>
        <w:r>
          <w:rPr>
            <w:noProof/>
          </w:rPr>
          <w:fldChar w:fldCharType="end"/>
        </w:r>
      </w:hyperlink>
    </w:p>
    <w:p w:rsidR="00FC3217" w:rsidRDefault="00777240" w:rsidP="00FC3217">
      <w:pPr>
        <w:pStyle w:val="21"/>
        <w:tabs>
          <w:tab w:val="right" w:leader="dot" w:pos="8296"/>
        </w:tabs>
        <w:rPr>
          <w:rFonts w:asciiTheme="minorHAnsi" w:eastAsiaTheme="minorEastAsia" w:hAnsiTheme="minorHAnsi" w:cstheme="minorBidi"/>
          <w:noProof/>
        </w:rPr>
      </w:pPr>
      <w:hyperlink w:anchor="_Toc23946965" w:history="1">
        <w:r w:rsidR="00FC3217" w:rsidRPr="005341B5">
          <w:rPr>
            <w:rStyle w:val="a9"/>
            <w:rFonts w:hint="eastAsia"/>
            <w:noProof/>
          </w:rPr>
          <w:t>二、期货公司登记</w:t>
        </w:r>
        <w:r w:rsidR="00FC3217">
          <w:rPr>
            <w:noProof/>
          </w:rPr>
          <w:tab/>
        </w:r>
        <w:r>
          <w:rPr>
            <w:noProof/>
          </w:rPr>
          <w:fldChar w:fldCharType="begin"/>
        </w:r>
        <w:r w:rsidR="00FC3217">
          <w:rPr>
            <w:noProof/>
          </w:rPr>
          <w:instrText xml:space="preserve"> PAGEREF _Toc23946965 \h </w:instrText>
        </w:r>
        <w:r>
          <w:rPr>
            <w:noProof/>
          </w:rPr>
        </w:r>
        <w:r>
          <w:rPr>
            <w:noProof/>
          </w:rPr>
          <w:fldChar w:fldCharType="separate"/>
        </w:r>
        <w:r w:rsidR="00021BE0">
          <w:rPr>
            <w:noProof/>
          </w:rPr>
          <w:t>10</w:t>
        </w:r>
        <w:r>
          <w:rPr>
            <w:noProof/>
          </w:rPr>
          <w:fldChar w:fldCharType="end"/>
        </w:r>
      </w:hyperlink>
    </w:p>
    <w:p w:rsidR="00FC3217" w:rsidRDefault="00777240" w:rsidP="00FC3217">
      <w:pPr>
        <w:pStyle w:val="21"/>
        <w:tabs>
          <w:tab w:val="right" w:leader="dot" w:pos="8296"/>
        </w:tabs>
        <w:rPr>
          <w:rFonts w:asciiTheme="minorHAnsi" w:eastAsiaTheme="minorEastAsia" w:hAnsiTheme="minorHAnsi" w:cstheme="minorBidi"/>
          <w:noProof/>
        </w:rPr>
      </w:pPr>
      <w:hyperlink w:anchor="_Toc23946966" w:history="1">
        <w:r w:rsidR="00FC3217" w:rsidRPr="005341B5">
          <w:rPr>
            <w:rStyle w:val="a9"/>
            <w:rFonts w:hint="eastAsia"/>
            <w:noProof/>
          </w:rPr>
          <w:t>三、交易单元预约与新设</w:t>
        </w:r>
        <w:r w:rsidR="00FC3217">
          <w:rPr>
            <w:noProof/>
          </w:rPr>
          <w:tab/>
        </w:r>
        <w:r>
          <w:rPr>
            <w:noProof/>
          </w:rPr>
          <w:fldChar w:fldCharType="begin"/>
        </w:r>
        <w:r w:rsidR="00FC3217">
          <w:rPr>
            <w:noProof/>
          </w:rPr>
          <w:instrText xml:space="preserve"> PAGEREF _Toc23946966 \h </w:instrText>
        </w:r>
        <w:r>
          <w:rPr>
            <w:noProof/>
          </w:rPr>
        </w:r>
        <w:r>
          <w:rPr>
            <w:noProof/>
          </w:rPr>
          <w:fldChar w:fldCharType="separate"/>
        </w:r>
        <w:r w:rsidR="00021BE0">
          <w:rPr>
            <w:noProof/>
          </w:rPr>
          <w:t>11</w:t>
        </w:r>
        <w:r>
          <w:rPr>
            <w:noProof/>
          </w:rPr>
          <w:fldChar w:fldCharType="end"/>
        </w:r>
      </w:hyperlink>
    </w:p>
    <w:p w:rsidR="00FC3217" w:rsidRDefault="00777240" w:rsidP="00FC3217">
      <w:pPr>
        <w:pStyle w:val="21"/>
        <w:tabs>
          <w:tab w:val="right" w:leader="dot" w:pos="8296"/>
        </w:tabs>
        <w:rPr>
          <w:rFonts w:asciiTheme="minorHAnsi" w:eastAsiaTheme="minorEastAsia" w:hAnsiTheme="minorHAnsi" w:cstheme="minorBidi"/>
          <w:noProof/>
        </w:rPr>
      </w:pPr>
      <w:hyperlink w:anchor="_Toc23946967" w:history="1">
        <w:r w:rsidR="00FC3217" w:rsidRPr="005341B5">
          <w:rPr>
            <w:rStyle w:val="a9"/>
            <w:rFonts w:hint="eastAsia"/>
            <w:noProof/>
          </w:rPr>
          <w:t>四、申请股票期权交易参与人</w:t>
        </w:r>
        <w:r w:rsidR="00FC3217">
          <w:rPr>
            <w:noProof/>
          </w:rPr>
          <w:tab/>
        </w:r>
        <w:r>
          <w:rPr>
            <w:noProof/>
          </w:rPr>
          <w:fldChar w:fldCharType="begin"/>
        </w:r>
        <w:r w:rsidR="00FC3217">
          <w:rPr>
            <w:noProof/>
          </w:rPr>
          <w:instrText xml:space="preserve"> PAGEREF _Toc23946967 \h </w:instrText>
        </w:r>
        <w:r>
          <w:rPr>
            <w:noProof/>
          </w:rPr>
        </w:r>
        <w:r>
          <w:rPr>
            <w:noProof/>
          </w:rPr>
          <w:fldChar w:fldCharType="separate"/>
        </w:r>
        <w:r w:rsidR="00021BE0">
          <w:rPr>
            <w:noProof/>
          </w:rPr>
          <w:t>11</w:t>
        </w:r>
        <w:r>
          <w:rPr>
            <w:noProof/>
          </w:rPr>
          <w:fldChar w:fldCharType="end"/>
        </w:r>
      </w:hyperlink>
    </w:p>
    <w:p w:rsidR="00FC3217" w:rsidRDefault="00777240" w:rsidP="00FC3217">
      <w:pPr>
        <w:pStyle w:val="21"/>
        <w:tabs>
          <w:tab w:val="right" w:leader="dot" w:pos="8296"/>
        </w:tabs>
        <w:rPr>
          <w:rFonts w:asciiTheme="minorHAnsi" w:eastAsiaTheme="minorEastAsia" w:hAnsiTheme="minorHAnsi" w:cstheme="minorBidi"/>
          <w:noProof/>
        </w:rPr>
      </w:pPr>
      <w:hyperlink w:anchor="_Toc23946968" w:history="1">
        <w:r w:rsidR="00FC3217" w:rsidRPr="005341B5">
          <w:rPr>
            <w:rStyle w:val="a9"/>
            <w:rFonts w:hint="eastAsia"/>
            <w:noProof/>
          </w:rPr>
          <w:t>五、交易单元预约与新设</w:t>
        </w:r>
        <w:r w:rsidR="00FC3217">
          <w:rPr>
            <w:noProof/>
          </w:rPr>
          <w:tab/>
        </w:r>
        <w:r>
          <w:rPr>
            <w:noProof/>
          </w:rPr>
          <w:fldChar w:fldCharType="begin"/>
        </w:r>
        <w:r w:rsidR="00FC3217">
          <w:rPr>
            <w:noProof/>
          </w:rPr>
          <w:instrText xml:space="preserve"> PAGEREF _Toc23946968 \h </w:instrText>
        </w:r>
        <w:r>
          <w:rPr>
            <w:noProof/>
          </w:rPr>
        </w:r>
        <w:r>
          <w:rPr>
            <w:noProof/>
          </w:rPr>
          <w:fldChar w:fldCharType="separate"/>
        </w:r>
        <w:r w:rsidR="00021BE0">
          <w:rPr>
            <w:noProof/>
          </w:rPr>
          <w:t>13</w:t>
        </w:r>
        <w:r>
          <w:rPr>
            <w:noProof/>
          </w:rPr>
          <w:fldChar w:fldCharType="end"/>
        </w:r>
      </w:hyperlink>
    </w:p>
    <w:p w:rsidR="00FC3217" w:rsidRDefault="00777240" w:rsidP="00FC3217">
      <w:pPr>
        <w:pStyle w:val="21"/>
        <w:tabs>
          <w:tab w:val="right" w:leader="dot" w:pos="8296"/>
        </w:tabs>
        <w:rPr>
          <w:rFonts w:asciiTheme="minorHAnsi" w:eastAsiaTheme="minorEastAsia" w:hAnsiTheme="minorHAnsi" w:cstheme="minorBidi"/>
          <w:noProof/>
        </w:rPr>
      </w:pPr>
      <w:hyperlink w:anchor="_Toc23946969" w:history="1">
        <w:r w:rsidR="00FC3217" w:rsidRPr="005341B5">
          <w:rPr>
            <w:rStyle w:val="a9"/>
            <w:rFonts w:hint="eastAsia"/>
            <w:noProof/>
          </w:rPr>
          <w:t>六、结算路径与交易开通</w:t>
        </w:r>
        <w:r w:rsidR="00FC3217">
          <w:rPr>
            <w:noProof/>
          </w:rPr>
          <w:tab/>
        </w:r>
        <w:r>
          <w:rPr>
            <w:noProof/>
          </w:rPr>
          <w:fldChar w:fldCharType="begin"/>
        </w:r>
        <w:r w:rsidR="00FC3217">
          <w:rPr>
            <w:noProof/>
          </w:rPr>
          <w:instrText xml:space="preserve"> PAGEREF _Toc23946969 \h </w:instrText>
        </w:r>
        <w:r>
          <w:rPr>
            <w:noProof/>
          </w:rPr>
        </w:r>
        <w:r>
          <w:rPr>
            <w:noProof/>
          </w:rPr>
          <w:fldChar w:fldCharType="separate"/>
        </w:r>
        <w:r w:rsidR="00021BE0">
          <w:rPr>
            <w:noProof/>
          </w:rPr>
          <w:t>14</w:t>
        </w:r>
        <w:r>
          <w:rPr>
            <w:noProof/>
          </w:rPr>
          <w:fldChar w:fldCharType="end"/>
        </w:r>
      </w:hyperlink>
    </w:p>
    <w:p w:rsidR="00FC3217" w:rsidRDefault="00777240" w:rsidP="00FC3217">
      <w:pPr>
        <w:pStyle w:val="21"/>
        <w:tabs>
          <w:tab w:val="right" w:leader="dot" w:pos="8296"/>
        </w:tabs>
        <w:rPr>
          <w:rFonts w:asciiTheme="minorHAnsi" w:eastAsiaTheme="minorEastAsia" w:hAnsiTheme="minorHAnsi" w:cstheme="minorBidi"/>
          <w:noProof/>
        </w:rPr>
      </w:pPr>
      <w:hyperlink w:anchor="_Toc23946970" w:history="1">
        <w:r w:rsidR="00FC3217" w:rsidRPr="005341B5">
          <w:rPr>
            <w:rStyle w:val="a9"/>
            <w:rFonts w:hint="eastAsia"/>
            <w:noProof/>
          </w:rPr>
          <w:t>七、股票期权结算路径与交易权限开通</w:t>
        </w:r>
        <w:r w:rsidR="00FC3217">
          <w:rPr>
            <w:noProof/>
          </w:rPr>
          <w:tab/>
        </w:r>
        <w:r>
          <w:rPr>
            <w:noProof/>
          </w:rPr>
          <w:fldChar w:fldCharType="begin"/>
        </w:r>
        <w:r w:rsidR="00FC3217">
          <w:rPr>
            <w:noProof/>
          </w:rPr>
          <w:instrText xml:space="preserve"> PAGEREF _Toc23946970 \h </w:instrText>
        </w:r>
        <w:r>
          <w:rPr>
            <w:noProof/>
          </w:rPr>
        </w:r>
        <w:r>
          <w:rPr>
            <w:noProof/>
          </w:rPr>
          <w:fldChar w:fldCharType="separate"/>
        </w:r>
        <w:r w:rsidR="00021BE0">
          <w:rPr>
            <w:noProof/>
          </w:rPr>
          <w:t>14</w:t>
        </w:r>
        <w:r>
          <w:rPr>
            <w:noProof/>
          </w:rPr>
          <w:fldChar w:fldCharType="end"/>
        </w:r>
      </w:hyperlink>
    </w:p>
    <w:p w:rsidR="00FC3217" w:rsidRDefault="00777240" w:rsidP="00FC3217">
      <w:pPr>
        <w:pStyle w:val="21"/>
        <w:tabs>
          <w:tab w:val="right" w:leader="dot" w:pos="8296"/>
        </w:tabs>
        <w:rPr>
          <w:rFonts w:asciiTheme="minorHAnsi" w:eastAsiaTheme="minorEastAsia" w:hAnsiTheme="minorHAnsi" w:cstheme="minorBidi"/>
          <w:noProof/>
        </w:rPr>
      </w:pPr>
      <w:hyperlink w:anchor="_Toc23946971" w:history="1">
        <w:r w:rsidR="00FC3217" w:rsidRPr="005341B5">
          <w:rPr>
            <w:rStyle w:val="a9"/>
            <w:rFonts w:hint="eastAsia"/>
            <w:noProof/>
          </w:rPr>
          <w:t>八、开通股票期权交易参与人业务管理系统使用权限</w:t>
        </w:r>
        <w:r w:rsidR="00FC3217">
          <w:rPr>
            <w:noProof/>
          </w:rPr>
          <w:tab/>
        </w:r>
        <w:r>
          <w:rPr>
            <w:noProof/>
          </w:rPr>
          <w:fldChar w:fldCharType="begin"/>
        </w:r>
        <w:r w:rsidR="00FC3217">
          <w:rPr>
            <w:noProof/>
          </w:rPr>
          <w:instrText xml:space="preserve"> PAGEREF _Toc23946971 \h </w:instrText>
        </w:r>
        <w:r>
          <w:rPr>
            <w:noProof/>
          </w:rPr>
        </w:r>
        <w:r>
          <w:rPr>
            <w:noProof/>
          </w:rPr>
          <w:fldChar w:fldCharType="separate"/>
        </w:r>
        <w:r w:rsidR="00021BE0">
          <w:rPr>
            <w:noProof/>
          </w:rPr>
          <w:t>15</w:t>
        </w:r>
        <w:r>
          <w:rPr>
            <w:noProof/>
          </w:rPr>
          <w:fldChar w:fldCharType="end"/>
        </w:r>
      </w:hyperlink>
    </w:p>
    <w:p w:rsidR="00FC3217" w:rsidRDefault="00777240" w:rsidP="00FC3217">
      <w:pPr>
        <w:pStyle w:val="21"/>
        <w:tabs>
          <w:tab w:val="right" w:leader="dot" w:pos="8296"/>
        </w:tabs>
        <w:rPr>
          <w:rFonts w:asciiTheme="minorHAnsi" w:eastAsiaTheme="minorEastAsia" w:hAnsiTheme="minorHAnsi" w:cstheme="minorBidi"/>
          <w:noProof/>
        </w:rPr>
      </w:pPr>
      <w:hyperlink w:anchor="_Toc23946972" w:history="1">
        <w:r w:rsidR="00FC3217" w:rsidRPr="005341B5">
          <w:rPr>
            <w:rStyle w:val="a9"/>
            <w:rFonts w:ascii="黑体" w:eastAsia="黑体" w:hAnsi="黑体" w:hint="eastAsia"/>
            <w:noProof/>
          </w:rPr>
          <w:t>第三章</w:t>
        </w:r>
        <w:r w:rsidR="00FC3217" w:rsidRPr="005341B5">
          <w:rPr>
            <w:rStyle w:val="a9"/>
            <w:rFonts w:ascii="黑体" w:eastAsia="黑体" w:hAnsi="黑体"/>
            <w:noProof/>
          </w:rPr>
          <w:t xml:space="preserve"> </w:t>
        </w:r>
        <w:r w:rsidR="00FC3217" w:rsidRPr="005341B5">
          <w:rPr>
            <w:rStyle w:val="a9"/>
            <w:rFonts w:ascii="黑体" w:eastAsia="黑体" w:hAnsi="黑体" w:hint="eastAsia"/>
            <w:noProof/>
          </w:rPr>
          <w:t>投资者适当性管理</w:t>
        </w:r>
        <w:r w:rsidR="00FC3217">
          <w:rPr>
            <w:noProof/>
          </w:rPr>
          <w:tab/>
        </w:r>
        <w:r>
          <w:rPr>
            <w:noProof/>
          </w:rPr>
          <w:fldChar w:fldCharType="begin"/>
        </w:r>
        <w:r w:rsidR="00FC3217">
          <w:rPr>
            <w:noProof/>
          </w:rPr>
          <w:instrText xml:space="preserve"> PAGEREF _Toc23946972 \h </w:instrText>
        </w:r>
        <w:r>
          <w:rPr>
            <w:noProof/>
          </w:rPr>
        </w:r>
        <w:r>
          <w:rPr>
            <w:noProof/>
          </w:rPr>
          <w:fldChar w:fldCharType="separate"/>
        </w:r>
        <w:r w:rsidR="00021BE0">
          <w:rPr>
            <w:noProof/>
          </w:rPr>
          <w:t>15</w:t>
        </w:r>
        <w:r>
          <w:rPr>
            <w:noProof/>
          </w:rPr>
          <w:fldChar w:fldCharType="end"/>
        </w:r>
      </w:hyperlink>
    </w:p>
    <w:p w:rsidR="00FC3217" w:rsidRDefault="00777240" w:rsidP="00FC3217">
      <w:pPr>
        <w:pStyle w:val="21"/>
        <w:tabs>
          <w:tab w:val="right" w:leader="dot" w:pos="8296"/>
        </w:tabs>
        <w:rPr>
          <w:rFonts w:asciiTheme="minorHAnsi" w:eastAsiaTheme="minorEastAsia" w:hAnsiTheme="minorHAnsi" w:cstheme="minorBidi"/>
          <w:noProof/>
        </w:rPr>
      </w:pPr>
      <w:hyperlink w:anchor="_Toc23946973" w:history="1">
        <w:r w:rsidR="00FC3217" w:rsidRPr="005341B5">
          <w:rPr>
            <w:rStyle w:val="a9"/>
            <w:rFonts w:hint="eastAsia"/>
            <w:noProof/>
          </w:rPr>
          <w:t>一、投资者准入条件的认定</w:t>
        </w:r>
        <w:r w:rsidR="00FC3217">
          <w:rPr>
            <w:noProof/>
          </w:rPr>
          <w:tab/>
        </w:r>
        <w:r>
          <w:rPr>
            <w:noProof/>
          </w:rPr>
          <w:fldChar w:fldCharType="begin"/>
        </w:r>
        <w:r w:rsidR="00FC3217">
          <w:rPr>
            <w:noProof/>
          </w:rPr>
          <w:instrText xml:space="preserve"> PAGEREF _Toc23946973 \h </w:instrText>
        </w:r>
        <w:r>
          <w:rPr>
            <w:noProof/>
          </w:rPr>
        </w:r>
        <w:r>
          <w:rPr>
            <w:noProof/>
          </w:rPr>
          <w:fldChar w:fldCharType="separate"/>
        </w:r>
        <w:r w:rsidR="00021BE0">
          <w:rPr>
            <w:noProof/>
          </w:rPr>
          <w:t>16</w:t>
        </w:r>
        <w:r>
          <w:rPr>
            <w:noProof/>
          </w:rPr>
          <w:fldChar w:fldCharType="end"/>
        </w:r>
      </w:hyperlink>
    </w:p>
    <w:p w:rsidR="00FC3217" w:rsidRDefault="00777240" w:rsidP="00FC3217">
      <w:pPr>
        <w:pStyle w:val="21"/>
        <w:tabs>
          <w:tab w:val="right" w:leader="dot" w:pos="8296"/>
        </w:tabs>
        <w:rPr>
          <w:rFonts w:asciiTheme="minorHAnsi" w:eastAsiaTheme="minorEastAsia" w:hAnsiTheme="minorHAnsi" w:cstheme="minorBidi"/>
          <w:noProof/>
        </w:rPr>
      </w:pPr>
      <w:hyperlink w:anchor="_Toc23946974" w:history="1">
        <w:r w:rsidR="00FC3217" w:rsidRPr="005341B5">
          <w:rPr>
            <w:rStyle w:val="a9"/>
            <w:rFonts w:hint="eastAsia"/>
            <w:noProof/>
          </w:rPr>
          <w:t>二、综合评估</w:t>
        </w:r>
        <w:r w:rsidR="00FC3217">
          <w:rPr>
            <w:noProof/>
          </w:rPr>
          <w:tab/>
        </w:r>
        <w:r>
          <w:rPr>
            <w:noProof/>
          </w:rPr>
          <w:fldChar w:fldCharType="begin"/>
        </w:r>
        <w:r w:rsidR="00FC3217">
          <w:rPr>
            <w:noProof/>
          </w:rPr>
          <w:instrText xml:space="preserve"> PAGEREF _Toc23946974 \h </w:instrText>
        </w:r>
        <w:r>
          <w:rPr>
            <w:noProof/>
          </w:rPr>
        </w:r>
        <w:r>
          <w:rPr>
            <w:noProof/>
          </w:rPr>
          <w:fldChar w:fldCharType="separate"/>
        </w:r>
        <w:r w:rsidR="00021BE0">
          <w:rPr>
            <w:noProof/>
          </w:rPr>
          <w:t>19</w:t>
        </w:r>
        <w:r>
          <w:rPr>
            <w:noProof/>
          </w:rPr>
          <w:fldChar w:fldCharType="end"/>
        </w:r>
      </w:hyperlink>
    </w:p>
    <w:p w:rsidR="00FC3217" w:rsidRDefault="00777240" w:rsidP="00FC3217">
      <w:pPr>
        <w:pStyle w:val="21"/>
        <w:tabs>
          <w:tab w:val="right" w:leader="dot" w:pos="8296"/>
        </w:tabs>
        <w:rPr>
          <w:rFonts w:asciiTheme="minorHAnsi" w:eastAsiaTheme="minorEastAsia" w:hAnsiTheme="minorHAnsi" w:cstheme="minorBidi"/>
          <w:noProof/>
        </w:rPr>
      </w:pPr>
      <w:hyperlink w:anchor="_Toc23946975" w:history="1">
        <w:r w:rsidR="00FC3217" w:rsidRPr="005341B5">
          <w:rPr>
            <w:rStyle w:val="a9"/>
            <w:rFonts w:hint="eastAsia"/>
            <w:noProof/>
          </w:rPr>
          <w:t>三、期权投资者知识测试</w:t>
        </w:r>
        <w:r w:rsidR="00FC3217">
          <w:rPr>
            <w:noProof/>
          </w:rPr>
          <w:tab/>
        </w:r>
        <w:r>
          <w:rPr>
            <w:noProof/>
          </w:rPr>
          <w:fldChar w:fldCharType="begin"/>
        </w:r>
        <w:r w:rsidR="00FC3217">
          <w:rPr>
            <w:noProof/>
          </w:rPr>
          <w:instrText xml:space="preserve"> PAGEREF _Toc23946975 \h </w:instrText>
        </w:r>
        <w:r>
          <w:rPr>
            <w:noProof/>
          </w:rPr>
        </w:r>
        <w:r>
          <w:rPr>
            <w:noProof/>
          </w:rPr>
          <w:fldChar w:fldCharType="separate"/>
        </w:r>
        <w:r w:rsidR="00021BE0">
          <w:rPr>
            <w:noProof/>
          </w:rPr>
          <w:t>20</w:t>
        </w:r>
        <w:r>
          <w:rPr>
            <w:noProof/>
          </w:rPr>
          <w:fldChar w:fldCharType="end"/>
        </w:r>
      </w:hyperlink>
    </w:p>
    <w:p w:rsidR="00FC3217" w:rsidRDefault="00777240" w:rsidP="00FC3217">
      <w:pPr>
        <w:pStyle w:val="21"/>
        <w:tabs>
          <w:tab w:val="right" w:leader="dot" w:pos="8296"/>
        </w:tabs>
        <w:rPr>
          <w:rFonts w:asciiTheme="minorHAnsi" w:eastAsiaTheme="minorEastAsia" w:hAnsiTheme="minorHAnsi" w:cstheme="minorBidi"/>
          <w:noProof/>
        </w:rPr>
      </w:pPr>
      <w:hyperlink w:anchor="_Toc23946976" w:history="1">
        <w:r w:rsidR="00FC3217" w:rsidRPr="005341B5">
          <w:rPr>
            <w:rStyle w:val="a9"/>
            <w:rFonts w:hint="eastAsia"/>
            <w:noProof/>
          </w:rPr>
          <w:t>四、投资者分级管理</w:t>
        </w:r>
        <w:r w:rsidR="00FC3217">
          <w:rPr>
            <w:noProof/>
          </w:rPr>
          <w:tab/>
        </w:r>
        <w:r>
          <w:rPr>
            <w:noProof/>
          </w:rPr>
          <w:fldChar w:fldCharType="begin"/>
        </w:r>
        <w:r w:rsidR="00FC3217">
          <w:rPr>
            <w:noProof/>
          </w:rPr>
          <w:instrText xml:space="preserve"> PAGEREF _Toc23946976 \h </w:instrText>
        </w:r>
        <w:r>
          <w:rPr>
            <w:noProof/>
          </w:rPr>
        </w:r>
        <w:r>
          <w:rPr>
            <w:noProof/>
          </w:rPr>
          <w:fldChar w:fldCharType="separate"/>
        </w:r>
        <w:r w:rsidR="00021BE0">
          <w:rPr>
            <w:noProof/>
          </w:rPr>
          <w:t>22</w:t>
        </w:r>
        <w:r>
          <w:rPr>
            <w:noProof/>
          </w:rPr>
          <w:fldChar w:fldCharType="end"/>
        </w:r>
      </w:hyperlink>
    </w:p>
    <w:p w:rsidR="00FC3217" w:rsidRDefault="00777240" w:rsidP="00FC3217">
      <w:pPr>
        <w:pStyle w:val="21"/>
        <w:tabs>
          <w:tab w:val="right" w:leader="dot" w:pos="8296"/>
        </w:tabs>
        <w:rPr>
          <w:rFonts w:asciiTheme="minorHAnsi" w:eastAsiaTheme="minorEastAsia" w:hAnsiTheme="minorHAnsi" w:cstheme="minorBidi"/>
          <w:noProof/>
        </w:rPr>
      </w:pPr>
      <w:hyperlink w:anchor="_Toc23946977" w:history="1">
        <w:r w:rsidR="00FC3217" w:rsidRPr="005341B5">
          <w:rPr>
            <w:rStyle w:val="a9"/>
            <w:rFonts w:hint="eastAsia"/>
            <w:noProof/>
          </w:rPr>
          <w:t>五、投资者适当性评估的动态持续管理</w:t>
        </w:r>
        <w:r w:rsidR="00FC3217">
          <w:rPr>
            <w:noProof/>
          </w:rPr>
          <w:tab/>
        </w:r>
        <w:r>
          <w:rPr>
            <w:noProof/>
          </w:rPr>
          <w:fldChar w:fldCharType="begin"/>
        </w:r>
        <w:r w:rsidR="00FC3217">
          <w:rPr>
            <w:noProof/>
          </w:rPr>
          <w:instrText xml:space="preserve"> PAGEREF _Toc23946977 \h </w:instrText>
        </w:r>
        <w:r>
          <w:rPr>
            <w:noProof/>
          </w:rPr>
        </w:r>
        <w:r>
          <w:rPr>
            <w:noProof/>
          </w:rPr>
          <w:fldChar w:fldCharType="separate"/>
        </w:r>
        <w:r w:rsidR="00021BE0">
          <w:rPr>
            <w:noProof/>
          </w:rPr>
          <w:t>23</w:t>
        </w:r>
        <w:r>
          <w:rPr>
            <w:noProof/>
          </w:rPr>
          <w:fldChar w:fldCharType="end"/>
        </w:r>
      </w:hyperlink>
    </w:p>
    <w:p w:rsidR="00FC3217" w:rsidRDefault="00777240" w:rsidP="00FC3217">
      <w:pPr>
        <w:pStyle w:val="21"/>
        <w:tabs>
          <w:tab w:val="right" w:leader="dot" w:pos="8296"/>
        </w:tabs>
        <w:rPr>
          <w:rFonts w:asciiTheme="minorHAnsi" w:eastAsiaTheme="minorEastAsia" w:hAnsiTheme="minorHAnsi" w:cstheme="minorBidi"/>
          <w:noProof/>
        </w:rPr>
      </w:pPr>
      <w:hyperlink w:anchor="_Toc23946978" w:history="1">
        <w:r w:rsidR="00FC3217" w:rsidRPr="005341B5">
          <w:rPr>
            <w:rStyle w:val="a9"/>
            <w:rFonts w:hint="eastAsia"/>
            <w:noProof/>
          </w:rPr>
          <w:t>六、客户档案资料管理</w:t>
        </w:r>
        <w:r w:rsidR="00FC3217">
          <w:rPr>
            <w:noProof/>
          </w:rPr>
          <w:tab/>
        </w:r>
        <w:r>
          <w:rPr>
            <w:noProof/>
          </w:rPr>
          <w:fldChar w:fldCharType="begin"/>
        </w:r>
        <w:r w:rsidR="00FC3217">
          <w:rPr>
            <w:noProof/>
          </w:rPr>
          <w:instrText xml:space="preserve"> PAGEREF _Toc23946978 \h </w:instrText>
        </w:r>
        <w:r>
          <w:rPr>
            <w:noProof/>
          </w:rPr>
        </w:r>
        <w:r>
          <w:rPr>
            <w:noProof/>
          </w:rPr>
          <w:fldChar w:fldCharType="separate"/>
        </w:r>
        <w:r w:rsidR="00021BE0">
          <w:rPr>
            <w:noProof/>
          </w:rPr>
          <w:t>24</w:t>
        </w:r>
        <w:r>
          <w:rPr>
            <w:noProof/>
          </w:rPr>
          <w:fldChar w:fldCharType="end"/>
        </w:r>
      </w:hyperlink>
    </w:p>
    <w:p w:rsidR="00FC3217" w:rsidRDefault="00777240" w:rsidP="00FC3217">
      <w:pPr>
        <w:pStyle w:val="21"/>
        <w:tabs>
          <w:tab w:val="right" w:leader="dot" w:pos="8296"/>
        </w:tabs>
        <w:rPr>
          <w:rFonts w:asciiTheme="minorHAnsi" w:eastAsiaTheme="minorEastAsia" w:hAnsiTheme="minorHAnsi" w:cstheme="minorBidi"/>
          <w:noProof/>
        </w:rPr>
      </w:pPr>
      <w:hyperlink w:anchor="_Toc23946979" w:history="1">
        <w:r w:rsidR="00FC3217" w:rsidRPr="005341B5">
          <w:rPr>
            <w:rStyle w:val="a9"/>
            <w:rFonts w:hint="eastAsia"/>
            <w:noProof/>
          </w:rPr>
          <w:t>七、本所持续监督管理</w:t>
        </w:r>
        <w:r w:rsidR="00FC3217">
          <w:rPr>
            <w:noProof/>
          </w:rPr>
          <w:tab/>
        </w:r>
        <w:r>
          <w:rPr>
            <w:noProof/>
          </w:rPr>
          <w:fldChar w:fldCharType="begin"/>
        </w:r>
        <w:r w:rsidR="00FC3217">
          <w:rPr>
            <w:noProof/>
          </w:rPr>
          <w:instrText xml:space="preserve"> PAGEREF _Toc23946979 \h </w:instrText>
        </w:r>
        <w:r>
          <w:rPr>
            <w:noProof/>
          </w:rPr>
        </w:r>
        <w:r>
          <w:rPr>
            <w:noProof/>
          </w:rPr>
          <w:fldChar w:fldCharType="separate"/>
        </w:r>
        <w:r w:rsidR="00021BE0">
          <w:rPr>
            <w:noProof/>
          </w:rPr>
          <w:t>25</w:t>
        </w:r>
        <w:r>
          <w:rPr>
            <w:noProof/>
          </w:rPr>
          <w:fldChar w:fldCharType="end"/>
        </w:r>
      </w:hyperlink>
    </w:p>
    <w:p w:rsidR="00FC3217" w:rsidRDefault="00777240" w:rsidP="00FC3217">
      <w:pPr>
        <w:pStyle w:val="21"/>
        <w:tabs>
          <w:tab w:val="right" w:leader="dot" w:pos="8296"/>
        </w:tabs>
        <w:rPr>
          <w:rFonts w:asciiTheme="minorHAnsi" w:eastAsiaTheme="minorEastAsia" w:hAnsiTheme="minorHAnsi" w:cstheme="minorBidi"/>
          <w:noProof/>
        </w:rPr>
      </w:pPr>
      <w:hyperlink w:anchor="_Toc23946980" w:history="1">
        <w:r w:rsidR="00FC3217" w:rsidRPr="005341B5">
          <w:rPr>
            <w:rStyle w:val="a9"/>
            <w:rFonts w:ascii="黑体" w:eastAsia="黑体" w:hAnsi="黑体" w:hint="eastAsia"/>
            <w:noProof/>
          </w:rPr>
          <w:t>第四章</w:t>
        </w:r>
        <w:r w:rsidR="00FC3217" w:rsidRPr="005341B5">
          <w:rPr>
            <w:rStyle w:val="a9"/>
            <w:rFonts w:ascii="黑体" w:eastAsia="黑体" w:hAnsi="黑体"/>
            <w:noProof/>
          </w:rPr>
          <w:t xml:space="preserve"> </w:t>
        </w:r>
        <w:r w:rsidR="00FC3217" w:rsidRPr="005341B5">
          <w:rPr>
            <w:rStyle w:val="a9"/>
            <w:rFonts w:ascii="黑体" w:eastAsia="黑体" w:hAnsi="黑体" w:hint="eastAsia"/>
            <w:noProof/>
          </w:rPr>
          <w:t>开户管理</w:t>
        </w:r>
        <w:r w:rsidR="00FC3217">
          <w:rPr>
            <w:noProof/>
          </w:rPr>
          <w:tab/>
        </w:r>
        <w:r>
          <w:rPr>
            <w:noProof/>
          </w:rPr>
          <w:fldChar w:fldCharType="begin"/>
        </w:r>
        <w:r w:rsidR="00FC3217">
          <w:rPr>
            <w:noProof/>
          </w:rPr>
          <w:instrText xml:space="preserve"> PAGEREF _Toc23946980 \h </w:instrText>
        </w:r>
        <w:r>
          <w:rPr>
            <w:noProof/>
          </w:rPr>
        </w:r>
        <w:r>
          <w:rPr>
            <w:noProof/>
          </w:rPr>
          <w:fldChar w:fldCharType="separate"/>
        </w:r>
        <w:r w:rsidR="00021BE0">
          <w:rPr>
            <w:noProof/>
          </w:rPr>
          <w:t>25</w:t>
        </w:r>
        <w:r>
          <w:rPr>
            <w:noProof/>
          </w:rPr>
          <w:fldChar w:fldCharType="end"/>
        </w:r>
      </w:hyperlink>
    </w:p>
    <w:p w:rsidR="00FC3217" w:rsidRDefault="00777240" w:rsidP="00FC3217">
      <w:pPr>
        <w:pStyle w:val="21"/>
        <w:tabs>
          <w:tab w:val="right" w:leader="dot" w:pos="8296"/>
        </w:tabs>
        <w:rPr>
          <w:rFonts w:asciiTheme="minorHAnsi" w:eastAsiaTheme="minorEastAsia" w:hAnsiTheme="minorHAnsi" w:cstheme="minorBidi"/>
          <w:noProof/>
        </w:rPr>
      </w:pPr>
      <w:hyperlink w:anchor="_Toc23946981" w:history="1">
        <w:r w:rsidR="00FC3217" w:rsidRPr="005341B5">
          <w:rPr>
            <w:rStyle w:val="a9"/>
            <w:rFonts w:hint="eastAsia"/>
            <w:noProof/>
          </w:rPr>
          <w:t>一、账户体系</w:t>
        </w:r>
        <w:r w:rsidR="00FC3217">
          <w:rPr>
            <w:noProof/>
          </w:rPr>
          <w:tab/>
        </w:r>
        <w:r>
          <w:rPr>
            <w:noProof/>
          </w:rPr>
          <w:fldChar w:fldCharType="begin"/>
        </w:r>
        <w:r w:rsidR="00FC3217">
          <w:rPr>
            <w:noProof/>
          </w:rPr>
          <w:instrText xml:space="preserve"> PAGEREF _Toc23946981 \h </w:instrText>
        </w:r>
        <w:r>
          <w:rPr>
            <w:noProof/>
          </w:rPr>
        </w:r>
        <w:r>
          <w:rPr>
            <w:noProof/>
          </w:rPr>
          <w:fldChar w:fldCharType="separate"/>
        </w:r>
        <w:r w:rsidR="00021BE0">
          <w:rPr>
            <w:noProof/>
          </w:rPr>
          <w:t>25</w:t>
        </w:r>
        <w:r>
          <w:rPr>
            <w:noProof/>
          </w:rPr>
          <w:fldChar w:fldCharType="end"/>
        </w:r>
      </w:hyperlink>
    </w:p>
    <w:p w:rsidR="00FC3217" w:rsidRDefault="00777240" w:rsidP="00FC3217">
      <w:pPr>
        <w:pStyle w:val="21"/>
        <w:tabs>
          <w:tab w:val="right" w:leader="dot" w:pos="8296"/>
        </w:tabs>
        <w:rPr>
          <w:rFonts w:asciiTheme="minorHAnsi" w:eastAsiaTheme="minorEastAsia" w:hAnsiTheme="minorHAnsi" w:cstheme="minorBidi"/>
          <w:noProof/>
        </w:rPr>
      </w:pPr>
      <w:hyperlink w:anchor="_Toc23946982" w:history="1">
        <w:r w:rsidR="00FC3217" w:rsidRPr="005341B5">
          <w:rPr>
            <w:rStyle w:val="a9"/>
            <w:rFonts w:hint="eastAsia"/>
            <w:noProof/>
          </w:rPr>
          <w:t>二、衍生品合约账户的开立与管理</w:t>
        </w:r>
        <w:r w:rsidR="00FC3217">
          <w:rPr>
            <w:noProof/>
          </w:rPr>
          <w:tab/>
        </w:r>
        <w:r>
          <w:rPr>
            <w:noProof/>
          </w:rPr>
          <w:fldChar w:fldCharType="begin"/>
        </w:r>
        <w:r w:rsidR="00FC3217">
          <w:rPr>
            <w:noProof/>
          </w:rPr>
          <w:instrText xml:space="preserve"> PAGEREF _Toc23946982 \h </w:instrText>
        </w:r>
        <w:r>
          <w:rPr>
            <w:noProof/>
          </w:rPr>
        </w:r>
        <w:r>
          <w:rPr>
            <w:noProof/>
          </w:rPr>
          <w:fldChar w:fldCharType="separate"/>
        </w:r>
        <w:r w:rsidR="00021BE0">
          <w:rPr>
            <w:noProof/>
          </w:rPr>
          <w:t>28</w:t>
        </w:r>
        <w:r>
          <w:rPr>
            <w:noProof/>
          </w:rPr>
          <w:fldChar w:fldCharType="end"/>
        </w:r>
      </w:hyperlink>
    </w:p>
    <w:p w:rsidR="00FC3217" w:rsidRDefault="00777240" w:rsidP="00FC3217">
      <w:pPr>
        <w:pStyle w:val="21"/>
        <w:tabs>
          <w:tab w:val="right" w:leader="dot" w:pos="8296"/>
        </w:tabs>
        <w:rPr>
          <w:rFonts w:asciiTheme="minorHAnsi" w:eastAsiaTheme="minorEastAsia" w:hAnsiTheme="minorHAnsi" w:cstheme="minorBidi"/>
          <w:noProof/>
        </w:rPr>
      </w:pPr>
      <w:hyperlink w:anchor="_Toc23946983" w:history="1">
        <w:r w:rsidR="00FC3217" w:rsidRPr="005341B5">
          <w:rPr>
            <w:rStyle w:val="a9"/>
            <w:rFonts w:ascii="黑体" w:eastAsia="黑体" w:hAnsi="黑体" w:hint="eastAsia"/>
            <w:noProof/>
          </w:rPr>
          <w:t>第五章</w:t>
        </w:r>
        <w:r w:rsidR="00FC3217" w:rsidRPr="005341B5">
          <w:rPr>
            <w:rStyle w:val="a9"/>
            <w:rFonts w:ascii="黑体" w:eastAsia="黑体" w:hAnsi="黑体"/>
            <w:noProof/>
          </w:rPr>
          <w:t xml:space="preserve"> </w:t>
        </w:r>
        <w:r w:rsidR="00FC3217" w:rsidRPr="005341B5">
          <w:rPr>
            <w:rStyle w:val="a9"/>
            <w:rFonts w:ascii="黑体" w:eastAsia="黑体" w:hAnsi="黑体" w:hint="eastAsia"/>
            <w:noProof/>
          </w:rPr>
          <w:t>持仓额度管理</w:t>
        </w:r>
        <w:r w:rsidR="00FC3217">
          <w:rPr>
            <w:noProof/>
          </w:rPr>
          <w:tab/>
        </w:r>
        <w:r>
          <w:rPr>
            <w:noProof/>
          </w:rPr>
          <w:fldChar w:fldCharType="begin"/>
        </w:r>
        <w:r w:rsidR="00FC3217">
          <w:rPr>
            <w:noProof/>
          </w:rPr>
          <w:instrText xml:space="preserve"> PAGEREF _Toc23946983 \h </w:instrText>
        </w:r>
        <w:r>
          <w:rPr>
            <w:noProof/>
          </w:rPr>
        </w:r>
        <w:r>
          <w:rPr>
            <w:noProof/>
          </w:rPr>
          <w:fldChar w:fldCharType="separate"/>
        </w:r>
        <w:r w:rsidR="00021BE0">
          <w:rPr>
            <w:noProof/>
          </w:rPr>
          <w:t>34</w:t>
        </w:r>
        <w:r>
          <w:rPr>
            <w:noProof/>
          </w:rPr>
          <w:fldChar w:fldCharType="end"/>
        </w:r>
      </w:hyperlink>
    </w:p>
    <w:p w:rsidR="00FC3217" w:rsidRDefault="00777240" w:rsidP="00FC3217">
      <w:pPr>
        <w:pStyle w:val="21"/>
        <w:tabs>
          <w:tab w:val="right" w:leader="dot" w:pos="8296"/>
        </w:tabs>
        <w:rPr>
          <w:rFonts w:asciiTheme="minorHAnsi" w:eastAsiaTheme="minorEastAsia" w:hAnsiTheme="minorHAnsi" w:cstheme="minorBidi"/>
          <w:noProof/>
        </w:rPr>
      </w:pPr>
      <w:hyperlink w:anchor="_Toc23946984" w:history="1">
        <w:r w:rsidR="00FC3217" w:rsidRPr="005341B5">
          <w:rPr>
            <w:rStyle w:val="a9"/>
            <w:rFonts w:hint="eastAsia"/>
            <w:noProof/>
          </w:rPr>
          <w:t>一、持仓限额前端控制</w:t>
        </w:r>
        <w:r w:rsidR="00FC3217">
          <w:rPr>
            <w:noProof/>
          </w:rPr>
          <w:tab/>
        </w:r>
        <w:r>
          <w:rPr>
            <w:noProof/>
          </w:rPr>
          <w:fldChar w:fldCharType="begin"/>
        </w:r>
        <w:r w:rsidR="00FC3217">
          <w:rPr>
            <w:noProof/>
          </w:rPr>
          <w:instrText xml:space="preserve"> PAGEREF _Toc23946984 \h </w:instrText>
        </w:r>
        <w:r>
          <w:rPr>
            <w:noProof/>
          </w:rPr>
        </w:r>
        <w:r>
          <w:rPr>
            <w:noProof/>
          </w:rPr>
          <w:fldChar w:fldCharType="separate"/>
        </w:r>
        <w:r w:rsidR="00021BE0">
          <w:rPr>
            <w:noProof/>
          </w:rPr>
          <w:t>34</w:t>
        </w:r>
        <w:r>
          <w:rPr>
            <w:noProof/>
          </w:rPr>
          <w:fldChar w:fldCharType="end"/>
        </w:r>
      </w:hyperlink>
    </w:p>
    <w:p w:rsidR="00FC3217" w:rsidRDefault="00777240" w:rsidP="00FC3217">
      <w:pPr>
        <w:pStyle w:val="21"/>
        <w:tabs>
          <w:tab w:val="right" w:leader="dot" w:pos="8296"/>
        </w:tabs>
        <w:rPr>
          <w:rFonts w:asciiTheme="minorHAnsi" w:eastAsiaTheme="minorEastAsia" w:hAnsiTheme="minorHAnsi" w:cstheme="minorBidi"/>
          <w:noProof/>
        </w:rPr>
      </w:pPr>
      <w:hyperlink w:anchor="_Toc23946985" w:history="1">
        <w:r w:rsidR="00FC3217" w:rsidRPr="005341B5">
          <w:rPr>
            <w:rStyle w:val="a9"/>
            <w:rFonts w:hint="eastAsia"/>
            <w:noProof/>
          </w:rPr>
          <w:t>二、客户买入额度管理（限购）</w:t>
        </w:r>
        <w:r w:rsidR="00FC3217">
          <w:rPr>
            <w:noProof/>
          </w:rPr>
          <w:tab/>
        </w:r>
        <w:r>
          <w:rPr>
            <w:noProof/>
          </w:rPr>
          <w:fldChar w:fldCharType="begin"/>
        </w:r>
        <w:r w:rsidR="00FC3217">
          <w:rPr>
            <w:noProof/>
          </w:rPr>
          <w:instrText xml:space="preserve"> PAGEREF _Toc23946985 \h </w:instrText>
        </w:r>
        <w:r>
          <w:rPr>
            <w:noProof/>
          </w:rPr>
        </w:r>
        <w:r>
          <w:rPr>
            <w:noProof/>
          </w:rPr>
          <w:fldChar w:fldCharType="separate"/>
        </w:r>
        <w:r w:rsidR="00021BE0">
          <w:rPr>
            <w:noProof/>
          </w:rPr>
          <w:t>38</w:t>
        </w:r>
        <w:r>
          <w:rPr>
            <w:noProof/>
          </w:rPr>
          <w:fldChar w:fldCharType="end"/>
        </w:r>
      </w:hyperlink>
    </w:p>
    <w:p w:rsidR="00FC3217" w:rsidRDefault="00777240" w:rsidP="00FC3217">
      <w:pPr>
        <w:pStyle w:val="21"/>
        <w:tabs>
          <w:tab w:val="right" w:leader="dot" w:pos="8296"/>
        </w:tabs>
        <w:rPr>
          <w:rFonts w:asciiTheme="minorHAnsi" w:eastAsiaTheme="minorEastAsia" w:hAnsiTheme="minorHAnsi" w:cstheme="minorBidi"/>
          <w:noProof/>
        </w:rPr>
      </w:pPr>
      <w:hyperlink w:anchor="_Toc23946986" w:history="1">
        <w:r w:rsidR="00FC3217" w:rsidRPr="005341B5">
          <w:rPr>
            <w:rStyle w:val="a9"/>
            <w:rFonts w:ascii="黑体" w:eastAsia="黑体" w:hAnsi="黑体" w:hint="eastAsia"/>
            <w:noProof/>
          </w:rPr>
          <w:t>第六章</w:t>
        </w:r>
        <w:r w:rsidR="00FC3217" w:rsidRPr="005341B5">
          <w:rPr>
            <w:rStyle w:val="a9"/>
            <w:rFonts w:ascii="黑体" w:eastAsia="黑体" w:hAnsi="黑体"/>
            <w:noProof/>
          </w:rPr>
          <w:t xml:space="preserve"> </w:t>
        </w:r>
        <w:r w:rsidR="00FC3217" w:rsidRPr="005341B5">
          <w:rPr>
            <w:rStyle w:val="a9"/>
            <w:rFonts w:ascii="黑体" w:eastAsia="黑体" w:hAnsi="黑体" w:hint="eastAsia"/>
            <w:noProof/>
          </w:rPr>
          <w:t>保证金管理</w:t>
        </w:r>
        <w:r w:rsidR="00FC3217">
          <w:rPr>
            <w:noProof/>
          </w:rPr>
          <w:tab/>
        </w:r>
        <w:r>
          <w:rPr>
            <w:noProof/>
          </w:rPr>
          <w:fldChar w:fldCharType="begin"/>
        </w:r>
        <w:r w:rsidR="00FC3217">
          <w:rPr>
            <w:noProof/>
          </w:rPr>
          <w:instrText xml:space="preserve"> PAGEREF _Toc23946986 \h </w:instrText>
        </w:r>
        <w:r>
          <w:rPr>
            <w:noProof/>
          </w:rPr>
        </w:r>
        <w:r>
          <w:rPr>
            <w:noProof/>
          </w:rPr>
          <w:fldChar w:fldCharType="separate"/>
        </w:r>
        <w:r w:rsidR="00021BE0">
          <w:rPr>
            <w:noProof/>
          </w:rPr>
          <w:t>41</w:t>
        </w:r>
        <w:r>
          <w:rPr>
            <w:noProof/>
          </w:rPr>
          <w:fldChar w:fldCharType="end"/>
        </w:r>
      </w:hyperlink>
    </w:p>
    <w:p w:rsidR="00FC3217" w:rsidRDefault="00777240" w:rsidP="00FC3217">
      <w:pPr>
        <w:pStyle w:val="21"/>
        <w:tabs>
          <w:tab w:val="right" w:leader="dot" w:pos="8296"/>
        </w:tabs>
        <w:rPr>
          <w:rFonts w:asciiTheme="minorHAnsi" w:eastAsiaTheme="minorEastAsia" w:hAnsiTheme="minorHAnsi" w:cstheme="minorBidi"/>
          <w:noProof/>
        </w:rPr>
      </w:pPr>
      <w:hyperlink w:anchor="_Toc23946987" w:history="1">
        <w:r w:rsidR="00FC3217" w:rsidRPr="005341B5">
          <w:rPr>
            <w:rStyle w:val="a9"/>
            <w:rFonts w:hint="eastAsia"/>
            <w:noProof/>
          </w:rPr>
          <w:t>一、客户保证金管理</w:t>
        </w:r>
        <w:r w:rsidR="00FC3217">
          <w:rPr>
            <w:noProof/>
          </w:rPr>
          <w:tab/>
        </w:r>
        <w:r>
          <w:rPr>
            <w:noProof/>
          </w:rPr>
          <w:fldChar w:fldCharType="begin"/>
        </w:r>
        <w:r w:rsidR="00FC3217">
          <w:rPr>
            <w:noProof/>
          </w:rPr>
          <w:instrText xml:space="preserve"> PAGEREF _Toc23946987 \h </w:instrText>
        </w:r>
        <w:r>
          <w:rPr>
            <w:noProof/>
          </w:rPr>
        </w:r>
        <w:r>
          <w:rPr>
            <w:noProof/>
          </w:rPr>
          <w:fldChar w:fldCharType="separate"/>
        </w:r>
        <w:r w:rsidR="00021BE0">
          <w:rPr>
            <w:noProof/>
          </w:rPr>
          <w:t>41</w:t>
        </w:r>
        <w:r>
          <w:rPr>
            <w:noProof/>
          </w:rPr>
          <w:fldChar w:fldCharType="end"/>
        </w:r>
      </w:hyperlink>
    </w:p>
    <w:p w:rsidR="00FC3217" w:rsidRDefault="00777240" w:rsidP="00FC3217">
      <w:pPr>
        <w:pStyle w:val="21"/>
        <w:tabs>
          <w:tab w:val="right" w:leader="dot" w:pos="8296"/>
        </w:tabs>
        <w:rPr>
          <w:rFonts w:asciiTheme="minorHAnsi" w:eastAsiaTheme="minorEastAsia" w:hAnsiTheme="minorHAnsi" w:cstheme="minorBidi"/>
          <w:noProof/>
        </w:rPr>
      </w:pPr>
      <w:hyperlink w:anchor="_Toc23946988" w:history="1">
        <w:r w:rsidR="00FC3217" w:rsidRPr="005341B5">
          <w:rPr>
            <w:rStyle w:val="a9"/>
            <w:rFonts w:hint="eastAsia"/>
            <w:noProof/>
          </w:rPr>
          <w:t>二、备兑开仓客户保证金管理</w:t>
        </w:r>
        <w:r w:rsidR="00FC3217">
          <w:rPr>
            <w:noProof/>
          </w:rPr>
          <w:tab/>
        </w:r>
        <w:r>
          <w:rPr>
            <w:noProof/>
          </w:rPr>
          <w:fldChar w:fldCharType="begin"/>
        </w:r>
        <w:r w:rsidR="00FC3217">
          <w:rPr>
            <w:noProof/>
          </w:rPr>
          <w:instrText xml:space="preserve"> PAGEREF _Toc23946988 \h </w:instrText>
        </w:r>
        <w:r>
          <w:rPr>
            <w:noProof/>
          </w:rPr>
        </w:r>
        <w:r>
          <w:rPr>
            <w:noProof/>
          </w:rPr>
          <w:fldChar w:fldCharType="separate"/>
        </w:r>
        <w:r w:rsidR="00021BE0">
          <w:rPr>
            <w:noProof/>
          </w:rPr>
          <w:t>53</w:t>
        </w:r>
        <w:r>
          <w:rPr>
            <w:noProof/>
          </w:rPr>
          <w:fldChar w:fldCharType="end"/>
        </w:r>
      </w:hyperlink>
    </w:p>
    <w:p w:rsidR="00FC3217" w:rsidRDefault="00777240" w:rsidP="00FC3217">
      <w:pPr>
        <w:pStyle w:val="21"/>
        <w:tabs>
          <w:tab w:val="right" w:leader="dot" w:pos="8296"/>
        </w:tabs>
        <w:rPr>
          <w:rFonts w:asciiTheme="minorHAnsi" w:eastAsiaTheme="minorEastAsia" w:hAnsiTheme="minorHAnsi" w:cstheme="minorBidi"/>
          <w:noProof/>
        </w:rPr>
      </w:pPr>
      <w:hyperlink w:anchor="_Toc23946989" w:history="1">
        <w:r w:rsidR="00FC3217" w:rsidRPr="005341B5">
          <w:rPr>
            <w:rStyle w:val="a9"/>
            <w:rFonts w:ascii="黑体" w:eastAsia="黑体" w:hAnsi="黑体" w:hint="eastAsia"/>
            <w:noProof/>
          </w:rPr>
          <w:t>第七章</w:t>
        </w:r>
        <w:r w:rsidR="00FC3217" w:rsidRPr="005341B5">
          <w:rPr>
            <w:rStyle w:val="a9"/>
            <w:rFonts w:ascii="黑体" w:eastAsia="黑体" w:hAnsi="黑体"/>
            <w:noProof/>
          </w:rPr>
          <w:t xml:space="preserve"> </w:t>
        </w:r>
        <w:r w:rsidR="00FC3217" w:rsidRPr="005341B5">
          <w:rPr>
            <w:rStyle w:val="a9"/>
            <w:rFonts w:ascii="黑体" w:eastAsia="黑体" w:hAnsi="黑体" w:hint="eastAsia"/>
            <w:noProof/>
          </w:rPr>
          <w:t>资金风险管理</w:t>
        </w:r>
        <w:r w:rsidR="00FC3217">
          <w:rPr>
            <w:noProof/>
          </w:rPr>
          <w:tab/>
        </w:r>
        <w:r>
          <w:rPr>
            <w:noProof/>
          </w:rPr>
          <w:fldChar w:fldCharType="begin"/>
        </w:r>
        <w:r w:rsidR="00FC3217">
          <w:rPr>
            <w:noProof/>
          </w:rPr>
          <w:instrText xml:space="preserve"> PAGEREF _Toc23946989 \h </w:instrText>
        </w:r>
        <w:r>
          <w:rPr>
            <w:noProof/>
          </w:rPr>
        </w:r>
        <w:r>
          <w:rPr>
            <w:noProof/>
          </w:rPr>
          <w:fldChar w:fldCharType="separate"/>
        </w:r>
        <w:r w:rsidR="00021BE0">
          <w:rPr>
            <w:noProof/>
          </w:rPr>
          <w:t>56</w:t>
        </w:r>
        <w:r>
          <w:rPr>
            <w:noProof/>
          </w:rPr>
          <w:fldChar w:fldCharType="end"/>
        </w:r>
      </w:hyperlink>
    </w:p>
    <w:p w:rsidR="00FC3217" w:rsidRDefault="00777240" w:rsidP="00FC3217">
      <w:pPr>
        <w:pStyle w:val="21"/>
        <w:tabs>
          <w:tab w:val="right" w:leader="dot" w:pos="8296"/>
        </w:tabs>
        <w:rPr>
          <w:rFonts w:asciiTheme="minorHAnsi" w:eastAsiaTheme="minorEastAsia" w:hAnsiTheme="minorHAnsi" w:cstheme="minorBidi"/>
          <w:noProof/>
        </w:rPr>
      </w:pPr>
      <w:hyperlink w:anchor="_Toc23946990" w:history="1">
        <w:r w:rsidR="00FC3217" w:rsidRPr="005341B5">
          <w:rPr>
            <w:rStyle w:val="a9"/>
            <w:rFonts w:hint="eastAsia"/>
            <w:noProof/>
          </w:rPr>
          <w:t>一、资金盯市管理</w:t>
        </w:r>
        <w:r w:rsidR="00FC3217">
          <w:rPr>
            <w:noProof/>
          </w:rPr>
          <w:tab/>
        </w:r>
        <w:r>
          <w:rPr>
            <w:noProof/>
          </w:rPr>
          <w:fldChar w:fldCharType="begin"/>
        </w:r>
        <w:r w:rsidR="00FC3217">
          <w:rPr>
            <w:noProof/>
          </w:rPr>
          <w:instrText xml:space="preserve"> PAGEREF _Toc23946990 \h </w:instrText>
        </w:r>
        <w:r>
          <w:rPr>
            <w:noProof/>
          </w:rPr>
        </w:r>
        <w:r>
          <w:rPr>
            <w:noProof/>
          </w:rPr>
          <w:fldChar w:fldCharType="separate"/>
        </w:r>
        <w:r w:rsidR="00021BE0">
          <w:rPr>
            <w:noProof/>
          </w:rPr>
          <w:t>56</w:t>
        </w:r>
        <w:r>
          <w:rPr>
            <w:noProof/>
          </w:rPr>
          <w:fldChar w:fldCharType="end"/>
        </w:r>
      </w:hyperlink>
    </w:p>
    <w:p w:rsidR="00FC3217" w:rsidRDefault="00777240" w:rsidP="00FC3217">
      <w:pPr>
        <w:pStyle w:val="21"/>
        <w:tabs>
          <w:tab w:val="right" w:leader="dot" w:pos="8296"/>
        </w:tabs>
        <w:rPr>
          <w:rFonts w:asciiTheme="minorHAnsi" w:eastAsiaTheme="minorEastAsia" w:hAnsiTheme="minorHAnsi" w:cstheme="minorBidi"/>
          <w:noProof/>
        </w:rPr>
      </w:pPr>
      <w:hyperlink w:anchor="_Toc23946991" w:history="1">
        <w:r w:rsidR="00FC3217" w:rsidRPr="005341B5">
          <w:rPr>
            <w:rStyle w:val="a9"/>
            <w:rFonts w:hint="eastAsia"/>
            <w:noProof/>
          </w:rPr>
          <w:t>二、资金划拨应急处理</w:t>
        </w:r>
        <w:r w:rsidR="00FC3217">
          <w:rPr>
            <w:noProof/>
          </w:rPr>
          <w:tab/>
        </w:r>
        <w:r>
          <w:rPr>
            <w:noProof/>
          </w:rPr>
          <w:fldChar w:fldCharType="begin"/>
        </w:r>
        <w:r w:rsidR="00FC3217">
          <w:rPr>
            <w:noProof/>
          </w:rPr>
          <w:instrText xml:space="preserve"> PAGEREF _Toc23946991 \h </w:instrText>
        </w:r>
        <w:r>
          <w:rPr>
            <w:noProof/>
          </w:rPr>
        </w:r>
        <w:r>
          <w:rPr>
            <w:noProof/>
          </w:rPr>
          <w:fldChar w:fldCharType="separate"/>
        </w:r>
        <w:r w:rsidR="00021BE0">
          <w:rPr>
            <w:noProof/>
          </w:rPr>
          <w:t>60</w:t>
        </w:r>
        <w:r>
          <w:rPr>
            <w:noProof/>
          </w:rPr>
          <w:fldChar w:fldCharType="end"/>
        </w:r>
      </w:hyperlink>
    </w:p>
    <w:p w:rsidR="00FC3217" w:rsidRDefault="00777240" w:rsidP="00FC3217">
      <w:pPr>
        <w:pStyle w:val="21"/>
        <w:tabs>
          <w:tab w:val="right" w:leader="dot" w:pos="8296"/>
        </w:tabs>
        <w:rPr>
          <w:rFonts w:asciiTheme="minorHAnsi" w:eastAsiaTheme="minorEastAsia" w:hAnsiTheme="minorHAnsi" w:cstheme="minorBidi"/>
          <w:noProof/>
        </w:rPr>
      </w:pPr>
      <w:hyperlink w:anchor="_Toc23946992" w:history="1">
        <w:r w:rsidR="00FC3217" w:rsidRPr="005341B5">
          <w:rPr>
            <w:rStyle w:val="a9"/>
            <w:rFonts w:ascii="黑体" w:eastAsia="黑体" w:hAnsi="黑体" w:hint="eastAsia"/>
            <w:noProof/>
          </w:rPr>
          <w:t>第八章</w:t>
        </w:r>
        <w:r w:rsidR="00FC3217" w:rsidRPr="005341B5">
          <w:rPr>
            <w:rStyle w:val="a9"/>
            <w:rFonts w:ascii="黑体" w:eastAsia="黑体" w:hAnsi="黑体"/>
            <w:noProof/>
          </w:rPr>
          <w:t xml:space="preserve"> </w:t>
        </w:r>
        <w:r w:rsidR="00FC3217" w:rsidRPr="005341B5">
          <w:rPr>
            <w:rStyle w:val="a9"/>
            <w:rFonts w:ascii="黑体" w:eastAsia="黑体" w:hAnsi="黑体" w:hint="eastAsia"/>
            <w:noProof/>
          </w:rPr>
          <w:t>强行平仓管理</w:t>
        </w:r>
        <w:r w:rsidR="00FC3217">
          <w:rPr>
            <w:noProof/>
          </w:rPr>
          <w:tab/>
        </w:r>
        <w:r>
          <w:rPr>
            <w:noProof/>
          </w:rPr>
          <w:fldChar w:fldCharType="begin"/>
        </w:r>
        <w:r w:rsidR="00FC3217">
          <w:rPr>
            <w:noProof/>
          </w:rPr>
          <w:instrText xml:space="preserve"> PAGEREF _Toc23946992 \h </w:instrText>
        </w:r>
        <w:r>
          <w:rPr>
            <w:noProof/>
          </w:rPr>
        </w:r>
        <w:r>
          <w:rPr>
            <w:noProof/>
          </w:rPr>
          <w:fldChar w:fldCharType="separate"/>
        </w:r>
        <w:r w:rsidR="00021BE0">
          <w:rPr>
            <w:noProof/>
          </w:rPr>
          <w:t>61</w:t>
        </w:r>
        <w:r>
          <w:rPr>
            <w:noProof/>
          </w:rPr>
          <w:fldChar w:fldCharType="end"/>
        </w:r>
      </w:hyperlink>
    </w:p>
    <w:p w:rsidR="00FC3217" w:rsidRDefault="00777240" w:rsidP="00FC3217">
      <w:pPr>
        <w:pStyle w:val="21"/>
        <w:tabs>
          <w:tab w:val="right" w:leader="dot" w:pos="8296"/>
        </w:tabs>
        <w:rPr>
          <w:rFonts w:asciiTheme="minorHAnsi" w:eastAsiaTheme="minorEastAsia" w:hAnsiTheme="minorHAnsi" w:cstheme="minorBidi"/>
          <w:noProof/>
        </w:rPr>
      </w:pPr>
      <w:hyperlink w:anchor="_Toc23946993" w:history="1">
        <w:r w:rsidR="00FC3217" w:rsidRPr="005341B5">
          <w:rPr>
            <w:rStyle w:val="a9"/>
            <w:rFonts w:hint="eastAsia"/>
            <w:noProof/>
          </w:rPr>
          <w:t>一、保证金不足强行平仓</w:t>
        </w:r>
        <w:r w:rsidR="00FC3217">
          <w:rPr>
            <w:noProof/>
          </w:rPr>
          <w:tab/>
        </w:r>
        <w:r>
          <w:rPr>
            <w:noProof/>
          </w:rPr>
          <w:fldChar w:fldCharType="begin"/>
        </w:r>
        <w:r w:rsidR="00FC3217">
          <w:rPr>
            <w:noProof/>
          </w:rPr>
          <w:instrText xml:space="preserve"> PAGEREF _Toc23946993 \h </w:instrText>
        </w:r>
        <w:r>
          <w:rPr>
            <w:noProof/>
          </w:rPr>
        </w:r>
        <w:r>
          <w:rPr>
            <w:noProof/>
          </w:rPr>
          <w:fldChar w:fldCharType="separate"/>
        </w:r>
        <w:r w:rsidR="00021BE0">
          <w:rPr>
            <w:noProof/>
          </w:rPr>
          <w:t>61</w:t>
        </w:r>
        <w:r>
          <w:rPr>
            <w:noProof/>
          </w:rPr>
          <w:fldChar w:fldCharType="end"/>
        </w:r>
      </w:hyperlink>
    </w:p>
    <w:p w:rsidR="00FC3217" w:rsidRDefault="00777240" w:rsidP="00FC3217">
      <w:pPr>
        <w:pStyle w:val="21"/>
        <w:tabs>
          <w:tab w:val="right" w:leader="dot" w:pos="8296"/>
        </w:tabs>
        <w:rPr>
          <w:rFonts w:asciiTheme="minorHAnsi" w:eastAsiaTheme="minorEastAsia" w:hAnsiTheme="minorHAnsi" w:cstheme="minorBidi"/>
          <w:noProof/>
        </w:rPr>
      </w:pPr>
      <w:hyperlink w:anchor="_Toc23946994" w:history="1">
        <w:r w:rsidR="00FC3217" w:rsidRPr="005341B5">
          <w:rPr>
            <w:rStyle w:val="a9"/>
            <w:rFonts w:hint="eastAsia"/>
            <w:noProof/>
          </w:rPr>
          <w:t>二、备兑不足强行平仓</w:t>
        </w:r>
        <w:r w:rsidR="00FC3217">
          <w:rPr>
            <w:noProof/>
          </w:rPr>
          <w:tab/>
        </w:r>
        <w:r>
          <w:rPr>
            <w:noProof/>
          </w:rPr>
          <w:fldChar w:fldCharType="begin"/>
        </w:r>
        <w:r w:rsidR="00FC3217">
          <w:rPr>
            <w:noProof/>
          </w:rPr>
          <w:instrText xml:space="preserve"> PAGEREF _Toc23946994 \h </w:instrText>
        </w:r>
        <w:r>
          <w:rPr>
            <w:noProof/>
          </w:rPr>
        </w:r>
        <w:r>
          <w:rPr>
            <w:noProof/>
          </w:rPr>
          <w:fldChar w:fldCharType="separate"/>
        </w:r>
        <w:r w:rsidR="00021BE0">
          <w:rPr>
            <w:noProof/>
          </w:rPr>
          <w:t>64</w:t>
        </w:r>
        <w:r>
          <w:rPr>
            <w:noProof/>
          </w:rPr>
          <w:fldChar w:fldCharType="end"/>
        </w:r>
      </w:hyperlink>
    </w:p>
    <w:p w:rsidR="00FC3217" w:rsidRDefault="00777240" w:rsidP="00FC3217">
      <w:pPr>
        <w:pStyle w:val="21"/>
        <w:tabs>
          <w:tab w:val="right" w:leader="dot" w:pos="8296"/>
        </w:tabs>
        <w:rPr>
          <w:rFonts w:asciiTheme="minorHAnsi" w:eastAsiaTheme="minorEastAsia" w:hAnsiTheme="minorHAnsi" w:cstheme="minorBidi"/>
          <w:noProof/>
        </w:rPr>
      </w:pPr>
      <w:hyperlink w:anchor="_Toc23946995" w:history="1">
        <w:r w:rsidR="00FC3217" w:rsidRPr="005341B5">
          <w:rPr>
            <w:rStyle w:val="a9"/>
            <w:rFonts w:hint="eastAsia"/>
            <w:noProof/>
          </w:rPr>
          <w:t>三、持仓超限平仓</w:t>
        </w:r>
        <w:r w:rsidR="00FC3217">
          <w:rPr>
            <w:noProof/>
          </w:rPr>
          <w:tab/>
        </w:r>
        <w:r>
          <w:rPr>
            <w:noProof/>
          </w:rPr>
          <w:fldChar w:fldCharType="begin"/>
        </w:r>
        <w:r w:rsidR="00FC3217">
          <w:rPr>
            <w:noProof/>
          </w:rPr>
          <w:instrText xml:space="preserve"> PAGEREF _Toc23946995 \h </w:instrText>
        </w:r>
        <w:r>
          <w:rPr>
            <w:noProof/>
          </w:rPr>
        </w:r>
        <w:r>
          <w:rPr>
            <w:noProof/>
          </w:rPr>
          <w:fldChar w:fldCharType="separate"/>
        </w:r>
        <w:r w:rsidR="00021BE0">
          <w:rPr>
            <w:noProof/>
          </w:rPr>
          <w:t>67</w:t>
        </w:r>
        <w:r>
          <w:rPr>
            <w:noProof/>
          </w:rPr>
          <w:fldChar w:fldCharType="end"/>
        </w:r>
      </w:hyperlink>
    </w:p>
    <w:p w:rsidR="00FC3217" w:rsidRDefault="00777240" w:rsidP="00FC3217">
      <w:pPr>
        <w:pStyle w:val="21"/>
        <w:tabs>
          <w:tab w:val="right" w:leader="dot" w:pos="8296"/>
        </w:tabs>
        <w:rPr>
          <w:rFonts w:asciiTheme="minorHAnsi" w:eastAsiaTheme="minorEastAsia" w:hAnsiTheme="minorHAnsi" w:cstheme="minorBidi"/>
          <w:noProof/>
        </w:rPr>
      </w:pPr>
      <w:hyperlink w:anchor="_Toc23946996" w:history="1">
        <w:r w:rsidR="00FC3217" w:rsidRPr="005341B5">
          <w:rPr>
            <w:rStyle w:val="a9"/>
            <w:rFonts w:hint="eastAsia"/>
            <w:noProof/>
          </w:rPr>
          <w:t>四、强平成交回报</w:t>
        </w:r>
        <w:r w:rsidR="00FC3217" w:rsidRPr="005341B5">
          <w:rPr>
            <w:rStyle w:val="a9"/>
            <w:noProof/>
          </w:rPr>
          <w:t>PBU</w:t>
        </w:r>
        <w:r w:rsidR="00FC3217" w:rsidRPr="005341B5">
          <w:rPr>
            <w:rStyle w:val="a9"/>
            <w:rFonts w:hint="eastAsia"/>
            <w:noProof/>
          </w:rPr>
          <w:t>管理</w:t>
        </w:r>
        <w:r w:rsidR="00FC3217">
          <w:rPr>
            <w:noProof/>
          </w:rPr>
          <w:tab/>
        </w:r>
        <w:r>
          <w:rPr>
            <w:noProof/>
          </w:rPr>
          <w:fldChar w:fldCharType="begin"/>
        </w:r>
        <w:r w:rsidR="00FC3217">
          <w:rPr>
            <w:noProof/>
          </w:rPr>
          <w:instrText xml:space="preserve"> PAGEREF _Toc23946996 \h </w:instrText>
        </w:r>
        <w:r>
          <w:rPr>
            <w:noProof/>
          </w:rPr>
        </w:r>
        <w:r>
          <w:rPr>
            <w:noProof/>
          </w:rPr>
          <w:fldChar w:fldCharType="separate"/>
        </w:r>
        <w:r w:rsidR="00021BE0">
          <w:rPr>
            <w:noProof/>
          </w:rPr>
          <w:t>68</w:t>
        </w:r>
        <w:r>
          <w:rPr>
            <w:noProof/>
          </w:rPr>
          <w:fldChar w:fldCharType="end"/>
        </w:r>
      </w:hyperlink>
    </w:p>
    <w:p w:rsidR="00FC3217" w:rsidRDefault="00777240" w:rsidP="00FC3217">
      <w:pPr>
        <w:pStyle w:val="21"/>
        <w:tabs>
          <w:tab w:val="right" w:leader="dot" w:pos="8296"/>
        </w:tabs>
        <w:rPr>
          <w:rFonts w:asciiTheme="minorHAnsi" w:eastAsiaTheme="minorEastAsia" w:hAnsiTheme="minorHAnsi" w:cstheme="minorBidi"/>
          <w:noProof/>
        </w:rPr>
      </w:pPr>
      <w:hyperlink w:anchor="_Toc23946997" w:history="1">
        <w:r w:rsidR="00FC3217" w:rsidRPr="005341B5">
          <w:rPr>
            <w:rStyle w:val="a9"/>
            <w:rFonts w:hint="eastAsia"/>
            <w:noProof/>
          </w:rPr>
          <w:t>五、强行平仓申报订单指令</w:t>
        </w:r>
        <w:r w:rsidR="00FC3217">
          <w:rPr>
            <w:noProof/>
          </w:rPr>
          <w:tab/>
        </w:r>
        <w:r>
          <w:rPr>
            <w:noProof/>
          </w:rPr>
          <w:fldChar w:fldCharType="begin"/>
        </w:r>
        <w:r w:rsidR="00FC3217">
          <w:rPr>
            <w:noProof/>
          </w:rPr>
          <w:instrText xml:space="preserve"> PAGEREF _Toc23946997 \h </w:instrText>
        </w:r>
        <w:r>
          <w:rPr>
            <w:noProof/>
          </w:rPr>
        </w:r>
        <w:r>
          <w:rPr>
            <w:noProof/>
          </w:rPr>
          <w:fldChar w:fldCharType="separate"/>
        </w:r>
        <w:r w:rsidR="00021BE0">
          <w:rPr>
            <w:noProof/>
          </w:rPr>
          <w:t>68</w:t>
        </w:r>
        <w:r>
          <w:rPr>
            <w:noProof/>
          </w:rPr>
          <w:fldChar w:fldCharType="end"/>
        </w:r>
      </w:hyperlink>
    </w:p>
    <w:p w:rsidR="00FC3217" w:rsidRDefault="00777240" w:rsidP="00FC3217">
      <w:pPr>
        <w:pStyle w:val="21"/>
        <w:tabs>
          <w:tab w:val="right" w:leader="dot" w:pos="8296"/>
        </w:tabs>
        <w:rPr>
          <w:rFonts w:asciiTheme="minorHAnsi" w:eastAsiaTheme="minorEastAsia" w:hAnsiTheme="minorHAnsi" w:cstheme="minorBidi"/>
          <w:noProof/>
        </w:rPr>
      </w:pPr>
      <w:hyperlink w:anchor="_Toc23946998" w:history="1">
        <w:r w:rsidR="00FC3217" w:rsidRPr="005341B5">
          <w:rPr>
            <w:rStyle w:val="a9"/>
            <w:rFonts w:hint="eastAsia"/>
            <w:noProof/>
          </w:rPr>
          <w:t>六、平仓有关的应急处理</w:t>
        </w:r>
        <w:r w:rsidR="00FC3217">
          <w:rPr>
            <w:noProof/>
          </w:rPr>
          <w:tab/>
        </w:r>
        <w:r>
          <w:rPr>
            <w:noProof/>
          </w:rPr>
          <w:fldChar w:fldCharType="begin"/>
        </w:r>
        <w:r w:rsidR="00FC3217">
          <w:rPr>
            <w:noProof/>
          </w:rPr>
          <w:instrText xml:space="preserve"> PAGEREF _Toc23946998 \h </w:instrText>
        </w:r>
        <w:r>
          <w:rPr>
            <w:noProof/>
          </w:rPr>
        </w:r>
        <w:r>
          <w:rPr>
            <w:noProof/>
          </w:rPr>
          <w:fldChar w:fldCharType="separate"/>
        </w:r>
        <w:r w:rsidR="00021BE0">
          <w:rPr>
            <w:noProof/>
          </w:rPr>
          <w:t>69</w:t>
        </w:r>
        <w:r>
          <w:rPr>
            <w:noProof/>
          </w:rPr>
          <w:fldChar w:fldCharType="end"/>
        </w:r>
      </w:hyperlink>
    </w:p>
    <w:p w:rsidR="00FC3217" w:rsidRDefault="00777240" w:rsidP="00FC3217">
      <w:pPr>
        <w:pStyle w:val="21"/>
        <w:tabs>
          <w:tab w:val="right" w:leader="dot" w:pos="8296"/>
        </w:tabs>
        <w:rPr>
          <w:rFonts w:asciiTheme="minorHAnsi" w:eastAsiaTheme="minorEastAsia" w:hAnsiTheme="minorHAnsi" w:cstheme="minorBidi"/>
          <w:noProof/>
        </w:rPr>
      </w:pPr>
      <w:hyperlink w:anchor="_Toc23946999" w:history="1">
        <w:r w:rsidR="00FC3217" w:rsidRPr="005341B5">
          <w:rPr>
            <w:rStyle w:val="a9"/>
            <w:rFonts w:ascii="黑体" w:eastAsia="黑体" w:hAnsi="黑体" w:hint="eastAsia"/>
            <w:noProof/>
          </w:rPr>
          <w:t>第九章</w:t>
        </w:r>
        <w:r w:rsidR="00FC3217" w:rsidRPr="005341B5">
          <w:rPr>
            <w:rStyle w:val="a9"/>
            <w:rFonts w:ascii="黑体" w:eastAsia="黑体" w:hAnsi="黑体"/>
            <w:noProof/>
          </w:rPr>
          <w:t xml:space="preserve"> </w:t>
        </w:r>
        <w:r w:rsidR="00FC3217" w:rsidRPr="005341B5">
          <w:rPr>
            <w:rStyle w:val="a9"/>
            <w:rFonts w:ascii="黑体" w:eastAsia="黑体" w:hAnsi="黑体" w:hint="eastAsia"/>
            <w:noProof/>
          </w:rPr>
          <w:t>行权交收管理</w:t>
        </w:r>
        <w:r w:rsidR="00FC3217">
          <w:rPr>
            <w:noProof/>
          </w:rPr>
          <w:tab/>
        </w:r>
        <w:r>
          <w:rPr>
            <w:noProof/>
          </w:rPr>
          <w:fldChar w:fldCharType="begin"/>
        </w:r>
        <w:r w:rsidR="00FC3217">
          <w:rPr>
            <w:noProof/>
          </w:rPr>
          <w:instrText xml:space="preserve"> PAGEREF _Toc23946999 \h </w:instrText>
        </w:r>
        <w:r>
          <w:rPr>
            <w:noProof/>
          </w:rPr>
        </w:r>
        <w:r>
          <w:rPr>
            <w:noProof/>
          </w:rPr>
          <w:fldChar w:fldCharType="separate"/>
        </w:r>
        <w:r w:rsidR="00021BE0">
          <w:rPr>
            <w:noProof/>
          </w:rPr>
          <w:t>69</w:t>
        </w:r>
        <w:r>
          <w:rPr>
            <w:noProof/>
          </w:rPr>
          <w:fldChar w:fldCharType="end"/>
        </w:r>
      </w:hyperlink>
    </w:p>
    <w:p w:rsidR="00FC3217" w:rsidRDefault="00777240" w:rsidP="00FC3217">
      <w:pPr>
        <w:pStyle w:val="21"/>
        <w:tabs>
          <w:tab w:val="right" w:leader="dot" w:pos="8296"/>
        </w:tabs>
        <w:rPr>
          <w:rFonts w:asciiTheme="minorHAnsi" w:eastAsiaTheme="minorEastAsia" w:hAnsiTheme="minorHAnsi" w:cstheme="minorBidi"/>
          <w:noProof/>
        </w:rPr>
      </w:pPr>
      <w:hyperlink w:anchor="_Toc23947000" w:history="1">
        <w:r w:rsidR="00FC3217" w:rsidRPr="005341B5">
          <w:rPr>
            <w:rStyle w:val="a9"/>
            <w:rFonts w:hint="eastAsia"/>
            <w:noProof/>
          </w:rPr>
          <w:t>一、投资者持仓合约的行权提醒</w:t>
        </w:r>
        <w:r w:rsidR="00FC3217">
          <w:rPr>
            <w:noProof/>
          </w:rPr>
          <w:tab/>
        </w:r>
        <w:r>
          <w:rPr>
            <w:noProof/>
          </w:rPr>
          <w:fldChar w:fldCharType="begin"/>
        </w:r>
        <w:r w:rsidR="00FC3217">
          <w:rPr>
            <w:noProof/>
          </w:rPr>
          <w:instrText xml:space="preserve"> PAGEREF _Toc23947000 \h </w:instrText>
        </w:r>
        <w:r>
          <w:rPr>
            <w:noProof/>
          </w:rPr>
        </w:r>
        <w:r>
          <w:rPr>
            <w:noProof/>
          </w:rPr>
          <w:fldChar w:fldCharType="separate"/>
        </w:r>
        <w:r w:rsidR="00021BE0">
          <w:rPr>
            <w:noProof/>
          </w:rPr>
          <w:t>69</w:t>
        </w:r>
        <w:r>
          <w:rPr>
            <w:noProof/>
          </w:rPr>
          <w:fldChar w:fldCharType="end"/>
        </w:r>
      </w:hyperlink>
    </w:p>
    <w:p w:rsidR="00FC3217" w:rsidRDefault="00777240" w:rsidP="00FC3217">
      <w:pPr>
        <w:pStyle w:val="21"/>
        <w:tabs>
          <w:tab w:val="right" w:leader="dot" w:pos="8296"/>
        </w:tabs>
        <w:rPr>
          <w:rFonts w:asciiTheme="minorHAnsi" w:eastAsiaTheme="minorEastAsia" w:hAnsiTheme="minorHAnsi" w:cstheme="minorBidi"/>
          <w:noProof/>
        </w:rPr>
      </w:pPr>
      <w:hyperlink w:anchor="_Toc23947001" w:history="1">
        <w:r w:rsidR="00FC3217" w:rsidRPr="005341B5">
          <w:rPr>
            <w:rStyle w:val="a9"/>
            <w:rFonts w:hint="eastAsia"/>
            <w:noProof/>
          </w:rPr>
          <w:t>二、投资者行权及交收日风险管理</w:t>
        </w:r>
        <w:r w:rsidR="00FC3217">
          <w:rPr>
            <w:noProof/>
          </w:rPr>
          <w:tab/>
        </w:r>
        <w:r>
          <w:rPr>
            <w:noProof/>
          </w:rPr>
          <w:fldChar w:fldCharType="begin"/>
        </w:r>
        <w:r w:rsidR="00FC3217">
          <w:rPr>
            <w:noProof/>
          </w:rPr>
          <w:instrText xml:space="preserve"> PAGEREF _Toc23947001 \h </w:instrText>
        </w:r>
        <w:r>
          <w:rPr>
            <w:noProof/>
          </w:rPr>
        </w:r>
        <w:r>
          <w:rPr>
            <w:noProof/>
          </w:rPr>
          <w:fldChar w:fldCharType="separate"/>
        </w:r>
        <w:r w:rsidR="00021BE0">
          <w:rPr>
            <w:noProof/>
          </w:rPr>
          <w:t>70</w:t>
        </w:r>
        <w:r>
          <w:rPr>
            <w:noProof/>
          </w:rPr>
          <w:fldChar w:fldCharType="end"/>
        </w:r>
      </w:hyperlink>
    </w:p>
    <w:p w:rsidR="00FC3217" w:rsidRDefault="00777240" w:rsidP="00FC3217">
      <w:pPr>
        <w:pStyle w:val="21"/>
        <w:tabs>
          <w:tab w:val="right" w:leader="dot" w:pos="8296"/>
        </w:tabs>
        <w:rPr>
          <w:rFonts w:asciiTheme="minorHAnsi" w:eastAsiaTheme="minorEastAsia" w:hAnsiTheme="minorHAnsi" w:cstheme="minorBidi"/>
          <w:noProof/>
        </w:rPr>
      </w:pPr>
      <w:hyperlink w:anchor="_Toc23947002" w:history="1">
        <w:r w:rsidR="00FC3217" w:rsidRPr="005341B5">
          <w:rPr>
            <w:rStyle w:val="a9"/>
            <w:rFonts w:hint="eastAsia"/>
            <w:noProof/>
          </w:rPr>
          <w:t>三、行权日前调整保证金参数水平提醒</w:t>
        </w:r>
        <w:r w:rsidR="00FC3217">
          <w:rPr>
            <w:noProof/>
          </w:rPr>
          <w:tab/>
        </w:r>
        <w:r>
          <w:rPr>
            <w:noProof/>
          </w:rPr>
          <w:fldChar w:fldCharType="begin"/>
        </w:r>
        <w:r w:rsidR="00FC3217">
          <w:rPr>
            <w:noProof/>
          </w:rPr>
          <w:instrText xml:space="preserve"> PAGEREF _Toc23947002 \h </w:instrText>
        </w:r>
        <w:r>
          <w:rPr>
            <w:noProof/>
          </w:rPr>
        </w:r>
        <w:r>
          <w:rPr>
            <w:noProof/>
          </w:rPr>
          <w:fldChar w:fldCharType="separate"/>
        </w:r>
        <w:r w:rsidR="00021BE0">
          <w:rPr>
            <w:noProof/>
          </w:rPr>
          <w:t>72</w:t>
        </w:r>
        <w:r>
          <w:rPr>
            <w:noProof/>
          </w:rPr>
          <w:fldChar w:fldCharType="end"/>
        </w:r>
      </w:hyperlink>
    </w:p>
    <w:p w:rsidR="00FC3217" w:rsidRDefault="00777240" w:rsidP="00FC3217">
      <w:pPr>
        <w:pStyle w:val="21"/>
        <w:tabs>
          <w:tab w:val="right" w:leader="dot" w:pos="8296"/>
        </w:tabs>
        <w:rPr>
          <w:rFonts w:asciiTheme="minorHAnsi" w:eastAsiaTheme="minorEastAsia" w:hAnsiTheme="minorHAnsi" w:cstheme="minorBidi"/>
          <w:noProof/>
        </w:rPr>
      </w:pPr>
      <w:hyperlink w:anchor="_Toc23947003" w:history="1">
        <w:r w:rsidR="00FC3217" w:rsidRPr="005341B5">
          <w:rPr>
            <w:rStyle w:val="a9"/>
            <w:rFonts w:hint="eastAsia"/>
            <w:noProof/>
          </w:rPr>
          <w:t>四、行权指令合并申报</w:t>
        </w:r>
        <w:r w:rsidR="00FC3217">
          <w:rPr>
            <w:noProof/>
          </w:rPr>
          <w:tab/>
        </w:r>
        <w:r>
          <w:rPr>
            <w:noProof/>
          </w:rPr>
          <w:fldChar w:fldCharType="begin"/>
        </w:r>
        <w:r w:rsidR="00FC3217">
          <w:rPr>
            <w:noProof/>
          </w:rPr>
          <w:instrText xml:space="preserve"> PAGEREF _Toc23947003 \h </w:instrText>
        </w:r>
        <w:r>
          <w:rPr>
            <w:noProof/>
          </w:rPr>
        </w:r>
        <w:r>
          <w:rPr>
            <w:noProof/>
          </w:rPr>
          <w:fldChar w:fldCharType="separate"/>
        </w:r>
        <w:r w:rsidR="00021BE0">
          <w:rPr>
            <w:noProof/>
          </w:rPr>
          <w:t>72</w:t>
        </w:r>
        <w:r>
          <w:rPr>
            <w:noProof/>
          </w:rPr>
          <w:fldChar w:fldCharType="end"/>
        </w:r>
      </w:hyperlink>
    </w:p>
    <w:p w:rsidR="00FC3217" w:rsidRDefault="00777240" w:rsidP="00FC3217">
      <w:pPr>
        <w:pStyle w:val="21"/>
        <w:tabs>
          <w:tab w:val="right" w:leader="dot" w:pos="8296"/>
        </w:tabs>
        <w:rPr>
          <w:rFonts w:asciiTheme="minorHAnsi" w:eastAsiaTheme="minorEastAsia" w:hAnsiTheme="minorHAnsi" w:cstheme="minorBidi"/>
          <w:noProof/>
        </w:rPr>
      </w:pPr>
      <w:hyperlink w:anchor="_Toc23947004" w:history="1">
        <w:r w:rsidR="00FC3217" w:rsidRPr="005341B5">
          <w:rPr>
            <w:rStyle w:val="a9"/>
            <w:rFonts w:ascii="黑体" w:eastAsia="黑体" w:hAnsi="黑体" w:hint="eastAsia"/>
            <w:noProof/>
          </w:rPr>
          <w:t>第十章</w:t>
        </w:r>
        <w:r w:rsidR="00FC3217" w:rsidRPr="005341B5">
          <w:rPr>
            <w:rStyle w:val="a9"/>
            <w:rFonts w:ascii="黑体" w:eastAsia="黑体" w:hAnsi="黑体"/>
            <w:noProof/>
          </w:rPr>
          <w:t xml:space="preserve"> </w:t>
        </w:r>
        <w:r w:rsidR="00FC3217" w:rsidRPr="005341B5">
          <w:rPr>
            <w:rStyle w:val="a9"/>
            <w:rFonts w:ascii="黑体" w:eastAsia="黑体" w:hAnsi="黑体" w:hint="eastAsia"/>
            <w:noProof/>
          </w:rPr>
          <w:t>协议行权</w:t>
        </w:r>
        <w:r w:rsidR="00FC3217">
          <w:rPr>
            <w:noProof/>
          </w:rPr>
          <w:tab/>
        </w:r>
        <w:r>
          <w:rPr>
            <w:noProof/>
          </w:rPr>
          <w:fldChar w:fldCharType="begin"/>
        </w:r>
        <w:r w:rsidR="00FC3217">
          <w:rPr>
            <w:noProof/>
          </w:rPr>
          <w:instrText xml:space="preserve"> PAGEREF _Toc23947004 \h </w:instrText>
        </w:r>
        <w:r>
          <w:rPr>
            <w:noProof/>
          </w:rPr>
        </w:r>
        <w:r>
          <w:rPr>
            <w:noProof/>
          </w:rPr>
          <w:fldChar w:fldCharType="separate"/>
        </w:r>
        <w:r w:rsidR="00021BE0">
          <w:rPr>
            <w:noProof/>
          </w:rPr>
          <w:t>74</w:t>
        </w:r>
        <w:r>
          <w:rPr>
            <w:noProof/>
          </w:rPr>
          <w:fldChar w:fldCharType="end"/>
        </w:r>
      </w:hyperlink>
    </w:p>
    <w:p w:rsidR="00FC3217" w:rsidRDefault="00777240" w:rsidP="00FC3217">
      <w:pPr>
        <w:pStyle w:val="21"/>
        <w:tabs>
          <w:tab w:val="right" w:leader="dot" w:pos="8296"/>
        </w:tabs>
        <w:rPr>
          <w:rFonts w:asciiTheme="minorHAnsi" w:eastAsiaTheme="minorEastAsia" w:hAnsiTheme="minorHAnsi" w:cstheme="minorBidi"/>
          <w:noProof/>
        </w:rPr>
      </w:pPr>
      <w:hyperlink w:anchor="_Toc23947005" w:history="1">
        <w:r w:rsidR="00FC3217" w:rsidRPr="005341B5">
          <w:rPr>
            <w:rStyle w:val="a9"/>
            <w:rFonts w:hint="eastAsia"/>
            <w:noProof/>
          </w:rPr>
          <w:t>一、协议行权策略</w:t>
        </w:r>
        <w:r w:rsidR="00FC3217">
          <w:rPr>
            <w:noProof/>
          </w:rPr>
          <w:tab/>
        </w:r>
        <w:r>
          <w:rPr>
            <w:noProof/>
          </w:rPr>
          <w:fldChar w:fldCharType="begin"/>
        </w:r>
        <w:r w:rsidR="00FC3217">
          <w:rPr>
            <w:noProof/>
          </w:rPr>
          <w:instrText xml:space="preserve"> PAGEREF _Toc23947005 \h </w:instrText>
        </w:r>
        <w:r>
          <w:rPr>
            <w:noProof/>
          </w:rPr>
        </w:r>
        <w:r>
          <w:rPr>
            <w:noProof/>
          </w:rPr>
          <w:fldChar w:fldCharType="separate"/>
        </w:r>
        <w:r w:rsidR="00021BE0">
          <w:rPr>
            <w:noProof/>
          </w:rPr>
          <w:t>75</w:t>
        </w:r>
        <w:r>
          <w:rPr>
            <w:noProof/>
          </w:rPr>
          <w:fldChar w:fldCharType="end"/>
        </w:r>
      </w:hyperlink>
    </w:p>
    <w:p w:rsidR="00FC3217" w:rsidRDefault="00777240" w:rsidP="00FC3217">
      <w:pPr>
        <w:pStyle w:val="21"/>
        <w:tabs>
          <w:tab w:val="right" w:leader="dot" w:pos="8296"/>
        </w:tabs>
        <w:rPr>
          <w:rFonts w:asciiTheme="minorHAnsi" w:eastAsiaTheme="minorEastAsia" w:hAnsiTheme="minorHAnsi" w:cstheme="minorBidi"/>
          <w:noProof/>
        </w:rPr>
      </w:pPr>
      <w:hyperlink w:anchor="_Toc23947006" w:history="1">
        <w:r w:rsidR="00FC3217" w:rsidRPr="005341B5">
          <w:rPr>
            <w:rStyle w:val="a9"/>
            <w:rFonts w:hint="eastAsia"/>
            <w:noProof/>
          </w:rPr>
          <w:t>二、协议行权注意事项</w:t>
        </w:r>
        <w:r w:rsidR="00FC3217">
          <w:rPr>
            <w:noProof/>
          </w:rPr>
          <w:tab/>
        </w:r>
        <w:r>
          <w:rPr>
            <w:noProof/>
          </w:rPr>
          <w:fldChar w:fldCharType="begin"/>
        </w:r>
        <w:r w:rsidR="00FC3217">
          <w:rPr>
            <w:noProof/>
          </w:rPr>
          <w:instrText xml:space="preserve"> PAGEREF _Toc23947006 \h </w:instrText>
        </w:r>
        <w:r>
          <w:rPr>
            <w:noProof/>
          </w:rPr>
        </w:r>
        <w:r>
          <w:rPr>
            <w:noProof/>
          </w:rPr>
          <w:fldChar w:fldCharType="separate"/>
        </w:r>
        <w:r w:rsidR="00021BE0">
          <w:rPr>
            <w:noProof/>
          </w:rPr>
          <w:t>76</w:t>
        </w:r>
        <w:r>
          <w:rPr>
            <w:noProof/>
          </w:rPr>
          <w:fldChar w:fldCharType="end"/>
        </w:r>
      </w:hyperlink>
    </w:p>
    <w:p w:rsidR="00FC3217" w:rsidRDefault="00777240" w:rsidP="00FC3217">
      <w:pPr>
        <w:pStyle w:val="21"/>
        <w:tabs>
          <w:tab w:val="right" w:leader="dot" w:pos="8296"/>
        </w:tabs>
        <w:rPr>
          <w:rFonts w:asciiTheme="minorHAnsi" w:eastAsiaTheme="minorEastAsia" w:hAnsiTheme="minorHAnsi" w:cstheme="minorBidi"/>
          <w:noProof/>
        </w:rPr>
      </w:pPr>
      <w:hyperlink w:anchor="_Toc23947007" w:history="1">
        <w:r w:rsidR="00FC3217" w:rsidRPr="005341B5">
          <w:rPr>
            <w:rStyle w:val="a9"/>
            <w:rFonts w:ascii="黑体" w:eastAsia="黑体" w:hAnsi="黑体" w:hint="eastAsia"/>
            <w:noProof/>
          </w:rPr>
          <w:t>第十一章</w:t>
        </w:r>
        <w:r w:rsidR="00FC3217" w:rsidRPr="005341B5">
          <w:rPr>
            <w:rStyle w:val="a9"/>
            <w:rFonts w:ascii="黑体" w:eastAsia="黑体" w:hAnsi="黑体"/>
            <w:noProof/>
          </w:rPr>
          <w:t xml:space="preserve"> </w:t>
        </w:r>
        <w:r w:rsidR="00FC3217" w:rsidRPr="005341B5">
          <w:rPr>
            <w:rStyle w:val="a9"/>
            <w:rFonts w:ascii="黑体" w:eastAsia="黑体" w:hAnsi="黑体" w:hint="eastAsia"/>
            <w:noProof/>
          </w:rPr>
          <w:t>客户资金划转与结算</w:t>
        </w:r>
        <w:r w:rsidR="00FC3217">
          <w:rPr>
            <w:noProof/>
          </w:rPr>
          <w:tab/>
        </w:r>
        <w:r>
          <w:rPr>
            <w:noProof/>
          </w:rPr>
          <w:fldChar w:fldCharType="begin"/>
        </w:r>
        <w:r w:rsidR="00FC3217">
          <w:rPr>
            <w:noProof/>
          </w:rPr>
          <w:instrText xml:space="preserve"> PAGEREF _Toc23947007 \h </w:instrText>
        </w:r>
        <w:r>
          <w:rPr>
            <w:noProof/>
          </w:rPr>
        </w:r>
        <w:r>
          <w:rPr>
            <w:noProof/>
          </w:rPr>
          <w:fldChar w:fldCharType="separate"/>
        </w:r>
        <w:r w:rsidR="00021BE0">
          <w:rPr>
            <w:noProof/>
          </w:rPr>
          <w:t>76</w:t>
        </w:r>
        <w:r>
          <w:rPr>
            <w:noProof/>
          </w:rPr>
          <w:fldChar w:fldCharType="end"/>
        </w:r>
      </w:hyperlink>
    </w:p>
    <w:p w:rsidR="00FC3217" w:rsidRDefault="00777240" w:rsidP="00FC3217">
      <w:pPr>
        <w:pStyle w:val="21"/>
        <w:tabs>
          <w:tab w:val="right" w:leader="dot" w:pos="8296"/>
        </w:tabs>
        <w:rPr>
          <w:rFonts w:asciiTheme="minorHAnsi" w:eastAsiaTheme="minorEastAsia" w:hAnsiTheme="minorHAnsi" w:cstheme="minorBidi"/>
          <w:noProof/>
        </w:rPr>
      </w:pPr>
      <w:hyperlink w:anchor="_Toc23947008" w:history="1">
        <w:r w:rsidR="00FC3217" w:rsidRPr="005341B5">
          <w:rPr>
            <w:rStyle w:val="a9"/>
            <w:rFonts w:hint="eastAsia"/>
            <w:noProof/>
          </w:rPr>
          <w:t>一、资金划转</w:t>
        </w:r>
        <w:r w:rsidR="00FC3217">
          <w:rPr>
            <w:noProof/>
          </w:rPr>
          <w:tab/>
        </w:r>
        <w:r>
          <w:rPr>
            <w:noProof/>
          </w:rPr>
          <w:fldChar w:fldCharType="begin"/>
        </w:r>
        <w:r w:rsidR="00FC3217">
          <w:rPr>
            <w:noProof/>
          </w:rPr>
          <w:instrText xml:space="preserve"> PAGEREF _Toc23947008 \h </w:instrText>
        </w:r>
        <w:r>
          <w:rPr>
            <w:noProof/>
          </w:rPr>
        </w:r>
        <w:r>
          <w:rPr>
            <w:noProof/>
          </w:rPr>
          <w:fldChar w:fldCharType="separate"/>
        </w:r>
        <w:r w:rsidR="00021BE0">
          <w:rPr>
            <w:noProof/>
          </w:rPr>
          <w:t>76</w:t>
        </w:r>
        <w:r>
          <w:rPr>
            <w:noProof/>
          </w:rPr>
          <w:fldChar w:fldCharType="end"/>
        </w:r>
      </w:hyperlink>
    </w:p>
    <w:p w:rsidR="00FC3217" w:rsidRDefault="00777240" w:rsidP="00FC3217">
      <w:pPr>
        <w:pStyle w:val="21"/>
        <w:tabs>
          <w:tab w:val="right" w:leader="dot" w:pos="8296"/>
        </w:tabs>
        <w:rPr>
          <w:rFonts w:asciiTheme="minorHAnsi" w:eastAsiaTheme="minorEastAsia" w:hAnsiTheme="minorHAnsi" w:cstheme="minorBidi"/>
          <w:noProof/>
        </w:rPr>
      </w:pPr>
      <w:hyperlink w:anchor="_Toc23947009" w:history="1">
        <w:r w:rsidR="00FC3217" w:rsidRPr="005341B5">
          <w:rPr>
            <w:rStyle w:val="a9"/>
            <w:rFonts w:hint="eastAsia"/>
            <w:noProof/>
          </w:rPr>
          <w:t>二、日常交易清算</w:t>
        </w:r>
        <w:r w:rsidR="00FC3217">
          <w:rPr>
            <w:noProof/>
          </w:rPr>
          <w:tab/>
        </w:r>
        <w:r>
          <w:rPr>
            <w:noProof/>
          </w:rPr>
          <w:fldChar w:fldCharType="begin"/>
        </w:r>
        <w:r w:rsidR="00FC3217">
          <w:rPr>
            <w:noProof/>
          </w:rPr>
          <w:instrText xml:space="preserve"> PAGEREF _Toc23947009 \h </w:instrText>
        </w:r>
        <w:r>
          <w:rPr>
            <w:noProof/>
          </w:rPr>
        </w:r>
        <w:r>
          <w:rPr>
            <w:noProof/>
          </w:rPr>
          <w:fldChar w:fldCharType="separate"/>
        </w:r>
        <w:r w:rsidR="00021BE0">
          <w:rPr>
            <w:noProof/>
          </w:rPr>
          <w:t>77</w:t>
        </w:r>
        <w:r>
          <w:rPr>
            <w:noProof/>
          </w:rPr>
          <w:fldChar w:fldCharType="end"/>
        </w:r>
      </w:hyperlink>
    </w:p>
    <w:p w:rsidR="00FC3217" w:rsidRDefault="00777240" w:rsidP="00FC3217">
      <w:pPr>
        <w:pStyle w:val="21"/>
        <w:tabs>
          <w:tab w:val="right" w:leader="dot" w:pos="8296"/>
        </w:tabs>
        <w:rPr>
          <w:rFonts w:asciiTheme="minorHAnsi" w:eastAsiaTheme="minorEastAsia" w:hAnsiTheme="minorHAnsi" w:cstheme="minorBidi"/>
          <w:noProof/>
        </w:rPr>
      </w:pPr>
      <w:hyperlink w:anchor="_Toc23947010" w:history="1">
        <w:r w:rsidR="00FC3217" w:rsidRPr="005341B5">
          <w:rPr>
            <w:rStyle w:val="a9"/>
            <w:rFonts w:hint="eastAsia"/>
            <w:noProof/>
          </w:rPr>
          <w:t>三、清算后数据对账</w:t>
        </w:r>
        <w:r w:rsidR="00FC3217">
          <w:rPr>
            <w:noProof/>
          </w:rPr>
          <w:tab/>
        </w:r>
        <w:r>
          <w:rPr>
            <w:noProof/>
          </w:rPr>
          <w:fldChar w:fldCharType="begin"/>
        </w:r>
        <w:r w:rsidR="00FC3217">
          <w:rPr>
            <w:noProof/>
          </w:rPr>
          <w:instrText xml:space="preserve"> PAGEREF _Toc23947010 \h </w:instrText>
        </w:r>
        <w:r>
          <w:rPr>
            <w:noProof/>
          </w:rPr>
        </w:r>
        <w:r>
          <w:rPr>
            <w:noProof/>
          </w:rPr>
          <w:fldChar w:fldCharType="separate"/>
        </w:r>
        <w:r w:rsidR="00021BE0">
          <w:rPr>
            <w:noProof/>
          </w:rPr>
          <w:t>78</w:t>
        </w:r>
        <w:r>
          <w:rPr>
            <w:noProof/>
          </w:rPr>
          <w:fldChar w:fldCharType="end"/>
        </w:r>
      </w:hyperlink>
    </w:p>
    <w:p w:rsidR="00FC3217" w:rsidRDefault="00777240" w:rsidP="00FC3217">
      <w:pPr>
        <w:pStyle w:val="21"/>
        <w:tabs>
          <w:tab w:val="right" w:leader="dot" w:pos="8296"/>
        </w:tabs>
        <w:rPr>
          <w:rFonts w:asciiTheme="minorHAnsi" w:eastAsiaTheme="minorEastAsia" w:hAnsiTheme="minorHAnsi" w:cstheme="minorBidi"/>
          <w:noProof/>
        </w:rPr>
      </w:pPr>
      <w:hyperlink w:anchor="_Toc23947011" w:history="1">
        <w:r w:rsidR="00FC3217" w:rsidRPr="005341B5">
          <w:rPr>
            <w:rStyle w:val="a9"/>
            <w:rFonts w:hint="eastAsia"/>
            <w:noProof/>
          </w:rPr>
          <w:t>四、日常交易交收</w:t>
        </w:r>
        <w:r w:rsidR="00FC3217">
          <w:rPr>
            <w:noProof/>
          </w:rPr>
          <w:tab/>
        </w:r>
        <w:r>
          <w:rPr>
            <w:noProof/>
          </w:rPr>
          <w:fldChar w:fldCharType="begin"/>
        </w:r>
        <w:r w:rsidR="00FC3217">
          <w:rPr>
            <w:noProof/>
          </w:rPr>
          <w:instrText xml:space="preserve"> PAGEREF _Toc23947011 \h </w:instrText>
        </w:r>
        <w:r>
          <w:rPr>
            <w:noProof/>
          </w:rPr>
        </w:r>
        <w:r>
          <w:rPr>
            <w:noProof/>
          </w:rPr>
          <w:fldChar w:fldCharType="separate"/>
        </w:r>
        <w:r w:rsidR="00021BE0">
          <w:rPr>
            <w:noProof/>
          </w:rPr>
          <w:t>78</w:t>
        </w:r>
        <w:r>
          <w:rPr>
            <w:noProof/>
          </w:rPr>
          <w:fldChar w:fldCharType="end"/>
        </w:r>
      </w:hyperlink>
    </w:p>
    <w:p w:rsidR="00FC3217" w:rsidRDefault="00777240" w:rsidP="00FC3217">
      <w:pPr>
        <w:pStyle w:val="21"/>
        <w:tabs>
          <w:tab w:val="right" w:leader="dot" w:pos="8296"/>
        </w:tabs>
        <w:rPr>
          <w:rFonts w:asciiTheme="minorHAnsi" w:eastAsiaTheme="minorEastAsia" w:hAnsiTheme="minorHAnsi" w:cstheme="minorBidi"/>
          <w:noProof/>
        </w:rPr>
      </w:pPr>
      <w:hyperlink w:anchor="_Toc23947012" w:history="1">
        <w:r w:rsidR="00FC3217" w:rsidRPr="005341B5">
          <w:rPr>
            <w:rStyle w:val="a9"/>
            <w:rFonts w:ascii="黑体" w:eastAsia="黑体" w:hAnsi="黑体" w:hint="eastAsia"/>
            <w:noProof/>
          </w:rPr>
          <w:t>第十二章</w:t>
        </w:r>
        <w:r w:rsidR="00FC3217" w:rsidRPr="005341B5">
          <w:rPr>
            <w:rStyle w:val="a9"/>
            <w:rFonts w:ascii="黑体" w:eastAsia="黑体" w:hAnsi="黑体"/>
            <w:noProof/>
          </w:rPr>
          <w:t xml:space="preserve"> </w:t>
        </w:r>
        <w:r w:rsidR="00FC3217" w:rsidRPr="005341B5">
          <w:rPr>
            <w:rStyle w:val="a9"/>
            <w:rFonts w:ascii="黑体" w:eastAsia="黑体" w:hAnsi="黑体" w:hint="eastAsia"/>
            <w:noProof/>
          </w:rPr>
          <w:t>投资者数据报备</w:t>
        </w:r>
        <w:r w:rsidR="00FC3217">
          <w:rPr>
            <w:noProof/>
          </w:rPr>
          <w:tab/>
        </w:r>
        <w:r>
          <w:rPr>
            <w:noProof/>
          </w:rPr>
          <w:fldChar w:fldCharType="begin"/>
        </w:r>
        <w:r w:rsidR="00FC3217">
          <w:rPr>
            <w:noProof/>
          </w:rPr>
          <w:instrText xml:space="preserve"> PAGEREF _Toc23947012 \h </w:instrText>
        </w:r>
        <w:r>
          <w:rPr>
            <w:noProof/>
          </w:rPr>
        </w:r>
        <w:r>
          <w:rPr>
            <w:noProof/>
          </w:rPr>
          <w:fldChar w:fldCharType="separate"/>
        </w:r>
        <w:r w:rsidR="00021BE0">
          <w:rPr>
            <w:noProof/>
          </w:rPr>
          <w:t>80</w:t>
        </w:r>
        <w:r>
          <w:rPr>
            <w:noProof/>
          </w:rPr>
          <w:fldChar w:fldCharType="end"/>
        </w:r>
      </w:hyperlink>
    </w:p>
    <w:p w:rsidR="00FC3217" w:rsidRDefault="00777240" w:rsidP="00FC3217">
      <w:pPr>
        <w:pStyle w:val="21"/>
        <w:tabs>
          <w:tab w:val="right" w:leader="dot" w:pos="8296"/>
        </w:tabs>
        <w:rPr>
          <w:rFonts w:asciiTheme="minorHAnsi" w:eastAsiaTheme="minorEastAsia" w:hAnsiTheme="minorHAnsi" w:cstheme="minorBidi"/>
          <w:noProof/>
        </w:rPr>
      </w:pPr>
      <w:hyperlink w:anchor="_Toc23947013" w:history="1">
        <w:r w:rsidR="00FC3217" w:rsidRPr="005341B5">
          <w:rPr>
            <w:rStyle w:val="a9"/>
            <w:rFonts w:ascii="黑体" w:eastAsia="黑体" w:hAnsi="黑体" w:hint="eastAsia"/>
            <w:noProof/>
          </w:rPr>
          <w:t>第十三章</w:t>
        </w:r>
        <w:r w:rsidR="00FC3217" w:rsidRPr="005341B5">
          <w:rPr>
            <w:rStyle w:val="a9"/>
            <w:rFonts w:ascii="黑体" w:eastAsia="黑体" w:hAnsi="黑体"/>
            <w:noProof/>
          </w:rPr>
          <w:t xml:space="preserve"> </w:t>
        </w:r>
        <w:r w:rsidR="00FC3217" w:rsidRPr="005341B5">
          <w:rPr>
            <w:rStyle w:val="a9"/>
            <w:rFonts w:ascii="黑体" w:eastAsia="黑体" w:hAnsi="黑体" w:hint="eastAsia"/>
            <w:noProof/>
          </w:rPr>
          <w:t>程序交易报备</w:t>
        </w:r>
        <w:r w:rsidR="00FC3217">
          <w:rPr>
            <w:noProof/>
          </w:rPr>
          <w:tab/>
        </w:r>
        <w:r>
          <w:rPr>
            <w:noProof/>
          </w:rPr>
          <w:fldChar w:fldCharType="begin"/>
        </w:r>
        <w:r w:rsidR="00FC3217">
          <w:rPr>
            <w:noProof/>
          </w:rPr>
          <w:instrText xml:space="preserve"> PAGEREF _Toc23947013 \h </w:instrText>
        </w:r>
        <w:r>
          <w:rPr>
            <w:noProof/>
          </w:rPr>
        </w:r>
        <w:r>
          <w:rPr>
            <w:noProof/>
          </w:rPr>
          <w:fldChar w:fldCharType="separate"/>
        </w:r>
        <w:r w:rsidR="00021BE0">
          <w:rPr>
            <w:noProof/>
          </w:rPr>
          <w:t>81</w:t>
        </w:r>
        <w:r>
          <w:rPr>
            <w:noProof/>
          </w:rPr>
          <w:fldChar w:fldCharType="end"/>
        </w:r>
      </w:hyperlink>
    </w:p>
    <w:p w:rsidR="00FC3217" w:rsidRDefault="00777240" w:rsidP="00FC3217">
      <w:pPr>
        <w:pStyle w:val="21"/>
        <w:tabs>
          <w:tab w:val="right" w:leader="dot" w:pos="8296"/>
        </w:tabs>
        <w:rPr>
          <w:rFonts w:asciiTheme="minorHAnsi" w:eastAsiaTheme="minorEastAsia" w:hAnsiTheme="minorHAnsi" w:cstheme="minorBidi"/>
          <w:noProof/>
        </w:rPr>
      </w:pPr>
      <w:hyperlink w:anchor="_Toc23947014" w:history="1">
        <w:r w:rsidR="00FC3217" w:rsidRPr="005341B5">
          <w:rPr>
            <w:rStyle w:val="a9"/>
            <w:rFonts w:hint="eastAsia"/>
            <w:noProof/>
          </w:rPr>
          <w:t>一、程序交易接入管理要求</w:t>
        </w:r>
        <w:r w:rsidR="00FC3217">
          <w:rPr>
            <w:noProof/>
          </w:rPr>
          <w:tab/>
        </w:r>
        <w:r>
          <w:rPr>
            <w:noProof/>
          </w:rPr>
          <w:fldChar w:fldCharType="begin"/>
        </w:r>
        <w:r w:rsidR="00FC3217">
          <w:rPr>
            <w:noProof/>
          </w:rPr>
          <w:instrText xml:space="preserve"> PAGEREF _Toc23947014 \h </w:instrText>
        </w:r>
        <w:r>
          <w:rPr>
            <w:noProof/>
          </w:rPr>
        </w:r>
        <w:r>
          <w:rPr>
            <w:noProof/>
          </w:rPr>
          <w:fldChar w:fldCharType="separate"/>
        </w:r>
        <w:r w:rsidR="00021BE0">
          <w:rPr>
            <w:noProof/>
          </w:rPr>
          <w:t>81</w:t>
        </w:r>
        <w:r>
          <w:rPr>
            <w:noProof/>
          </w:rPr>
          <w:fldChar w:fldCharType="end"/>
        </w:r>
      </w:hyperlink>
    </w:p>
    <w:p w:rsidR="00FC3217" w:rsidRDefault="00777240" w:rsidP="00FC3217">
      <w:pPr>
        <w:pStyle w:val="21"/>
        <w:tabs>
          <w:tab w:val="right" w:leader="dot" w:pos="8296"/>
        </w:tabs>
        <w:rPr>
          <w:rFonts w:asciiTheme="minorHAnsi" w:eastAsiaTheme="minorEastAsia" w:hAnsiTheme="minorHAnsi" w:cstheme="minorBidi"/>
          <w:noProof/>
        </w:rPr>
      </w:pPr>
      <w:hyperlink w:anchor="_Toc23947015" w:history="1">
        <w:r w:rsidR="00FC3217" w:rsidRPr="005341B5">
          <w:rPr>
            <w:rStyle w:val="a9"/>
            <w:rFonts w:hint="eastAsia"/>
            <w:noProof/>
          </w:rPr>
          <w:t>二、程序交易报备管理要求</w:t>
        </w:r>
        <w:r w:rsidR="00FC3217">
          <w:rPr>
            <w:noProof/>
          </w:rPr>
          <w:tab/>
        </w:r>
        <w:r>
          <w:rPr>
            <w:noProof/>
          </w:rPr>
          <w:fldChar w:fldCharType="begin"/>
        </w:r>
        <w:r w:rsidR="00FC3217">
          <w:rPr>
            <w:noProof/>
          </w:rPr>
          <w:instrText xml:space="preserve"> PAGEREF _Toc23947015 \h </w:instrText>
        </w:r>
        <w:r>
          <w:rPr>
            <w:noProof/>
          </w:rPr>
        </w:r>
        <w:r>
          <w:rPr>
            <w:noProof/>
          </w:rPr>
          <w:fldChar w:fldCharType="separate"/>
        </w:r>
        <w:r w:rsidR="00021BE0">
          <w:rPr>
            <w:noProof/>
          </w:rPr>
          <w:t>82</w:t>
        </w:r>
        <w:r>
          <w:rPr>
            <w:noProof/>
          </w:rPr>
          <w:fldChar w:fldCharType="end"/>
        </w:r>
      </w:hyperlink>
    </w:p>
    <w:p w:rsidR="00FC3217" w:rsidRDefault="00777240" w:rsidP="00FC3217">
      <w:pPr>
        <w:pStyle w:val="21"/>
        <w:tabs>
          <w:tab w:val="right" w:leader="dot" w:pos="8296"/>
        </w:tabs>
        <w:rPr>
          <w:rFonts w:asciiTheme="minorHAnsi" w:eastAsiaTheme="minorEastAsia" w:hAnsiTheme="minorHAnsi" w:cstheme="minorBidi"/>
          <w:noProof/>
        </w:rPr>
      </w:pPr>
      <w:hyperlink w:anchor="_Toc23947016" w:history="1">
        <w:r w:rsidR="00FC3217" w:rsidRPr="005341B5">
          <w:rPr>
            <w:rStyle w:val="a9"/>
            <w:rFonts w:hint="eastAsia"/>
            <w:noProof/>
          </w:rPr>
          <w:t>三、变更报备</w:t>
        </w:r>
        <w:r w:rsidR="00FC3217">
          <w:rPr>
            <w:noProof/>
          </w:rPr>
          <w:tab/>
        </w:r>
        <w:r>
          <w:rPr>
            <w:noProof/>
          </w:rPr>
          <w:fldChar w:fldCharType="begin"/>
        </w:r>
        <w:r w:rsidR="00FC3217">
          <w:rPr>
            <w:noProof/>
          </w:rPr>
          <w:instrText xml:space="preserve"> PAGEREF _Toc23947016 \h </w:instrText>
        </w:r>
        <w:r>
          <w:rPr>
            <w:noProof/>
          </w:rPr>
        </w:r>
        <w:r>
          <w:rPr>
            <w:noProof/>
          </w:rPr>
          <w:fldChar w:fldCharType="separate"/>
        </w:r>
        <w:r w:rsidR="00021BE0">
          <w:rPr>
            <w:noProof/>
          </w:rPr>
          <w:t>82</w:t>
        </w:r>
        <w:r>
          <w:rPr>
            <w:noProof/>
          </w:rPr>
          <w:fldChar w:fldCharType="end"/>
        </w:r>
      </w:hyperlink>
    </w:p>
    <w:p w:rsidR="00FC3217" w:rsidRDefault="00777240" w:rsidP="00FC3217">
      <w:pPr>
        <w:pStyle w:val="21"/>
        <w:tabs>
          <w:tab w:val="right" w:leader="dot" w:pos="8296"/>
        </w:tabs>
        <w:rPr>
          <w:rFonts w:asciiTheme="minorHAnsi" w:eastAsiaTheme="minorEastAsia" w:hAnsiTheme="minorHAnsi" w:cstheme="minorBidi"/>
          <w:noProof/>
        </w:rPr>
      </w:pPr>
      <w:hyperlink w:anchor="_Toc23947017" w:history="1">
        <w:r w:rsidR="00FC3217" w:rsidRPr="005341B5">
          <w:rPr>
            <w:rStyle w:val="a9"/>
            <w:rFonts w:hint="eastAsia"/>
            <w:noProof/>
            <w:lang w:val="zh-CN"/>
          </w:rPr>
          <w:t>四、程序交易的监管</w:t>
        </w:r>
        <w:r w:rsidR="00FC3217">
          <w:rPr>
            <w:noProof/>
          </w:rPr>
          <w:tab/>
        </w:r>
        <w:r>
          <w:rPr>
            <w:noProof/>
          </w:rPr>
          <w:fldChar w:fldCharType="begin"/>
        </w:r>
        <w:r w:rsidR="00FC3217">
          <w:rPr>
            <w:noProof/>
          </w:rPr>
          <w:instrText xml:space="preserve"> PAGEREF _Toc23947017 \h </w:instrText>
        </w:r>
        <w:r>
          <w:rPr>
            <w:noProof/>
          </w:rPr>
        </w:r>
        <w:r>
          <w:rPr>
            <w:noProof/>
          </w:rPr>
          <w:fldChar w:fldCharType="separate"/>
        </w:r>
        <w:r w:rsidR="00021BE0">
          <w:rPr>
            <w:noProof/>
          </w:rPr>
          <w:t>83</w:t>
        </w:r>
        <w:r>
          <w:rPr>
            <w:noProof/>
          </w:rPr>
          <w:fldChar w:fldCharType="end"/>
        </w:r>
      </w:hyperlink>
    </w:p>
    <w:p w:rsidR="00FC3217" w:rsidRDefault="00777240" w:rsidP="00FC3217">
      <w:pPr>
        <w:pStyle w:val="21"/>
        <w:tabs>
          <w:tab w:val="right" w:leader="dot" w:pos="8296"/>
        </w:tabs>
        <w:rPr>
          <w:rFonts w:asciiTheme="minorHAnsi" w:eastAsiaTheme="minorEastAsia" w:hAnsiTheme="minorHAnsi" w:cstheme="minorBidi"/>
          <w:noProof/>
        </w:rPr>
      </w:pPr>
      <w:hyperlink w:anchor="_Toc23947018" w:history="1">
        <w:r w:rsidR="00FC3217" w:rsidRPr="005341B5">
          <w:rPr>
            <w:rStyle w:val="a9"/>
            <w:rFonts w:ascii="黑体" w:eastAsia="黑体" w:hAnsi="黑体" w:hint="eastAsia"/>
            <w:noProof/>
          </w:rPr>
          <w:t>第十四章</w:t>
        </w:r>
        <w:r w:rsidR="00FC3217" w:rsidRPr="005341B5">
          <w:rPr>
            <w:rStyle w:val="a9"/>
            <w:rFonts w:ascii="黑体" w:eastAsia="黑体" w:hAnsi="黑体"/>
            <w:noProof/>
          </w:rPr>
          <w:t xml:space="preserve">  </w:t>
        </w:r>
        <w:r w:rsidR="00FC3217" w:rsidRPr="005341B5">
          <w:rPr>
            <w:rStyle w:val="a9"/>
            <w:rFonts w:ascii="黑体" w:eastAsia="黑体" w:hAnsi="黑体" w:hint="eastAsia"/>
            <w:noProof/>
          </w:rPr>
          <w:t>大户报告</w:t>
        </w:r>
        <w:r w:rsidR="00FC3217">
          <w:rPr>
            <w:noProof/>
          </w:rPr>
          <w:tab/>
        </w:r>
        <w:r>
          <w:rPr>
            <w:noProof/>
          </w:rPr>
          <w:fldChar w:fldCharType="begin"/>
        </w:r>
        <w:r w:rsidR="00FC3217">
          <w:rPr>
            <w:noProof/>
          </w:rPr>
          <w:instrText xml:space="preserve"> PAGEREF _Toc23947018 \h </w:instrText>
        </w:r>
        <w:r>
          <w:rPr>
            <w:noProof/>
          </w:rPr>
        </w:r>
        <w:r>
          <w:rPr>
            <w:noProof/>
          </w:rPr>
          <w:fldChar w:fldCharType="separate"/>
        </w:r>
        <w:r w:rsidR="00021BE0">
          <w:rPr>
            <w:noProof/>
          </w:rPr>
          <w:t>84</w:t>
        </w:r>
        <w:r>
          <w:rPr>
            <w:noProof/>
          </w:rPr>
          <w:fldChar w:fldCharType="end"/>
        </w:r>
      </w:hyperlink>
    </w:p>
    <w:p w:rsidR="00FC3217" w:rsidRDefault="00777240" w:rsidP="00FC3217">
      <w:pPr>
        <w:pStyle w:val="21"/>
        <w:tabs>
          <w:tab w:val="right" w:leader="dot" w:pos="8296"/>
        </w:tabs>
        <w:rPr>
          <w:rFonts w:asciiTheme="minorHAnsi" w:eastAsiaTheme="minorEastAsia" w:hAnsiTheme="minorHAnsi" w:cstheme="minorBidi"/>
          <w:noProof/>
        </w:rPr>
      </w:pPr>
      <w:hyperlink w:anchor="_Toc23947019" w:history="1">
        <w:r w:rsidR="00FC3217" w:rsidRPr="005341B5">
          <w:rPr>
            <w:rStyle w:val="a9"/>
            <w:rFonts w:ascii="黑体" w:eastAsia="黑体" w:hAnsi="黑体" w:hint="eastAsia"/>
            <w:noProof/>
          </w:rPr>
          <w:t>第十五章</w:t>
        </w:r>
        <w:r w:rsidR="00FC3217" w:rsidRPr="005341B5">
          <w:rPr>
            <w:rStyle w:val="a9"/>
            <w:rFonts w:ascii="黑体" w:eastAsia="黑体" w:hAnsi="黑体"/>
            <w:noProof/>
          </w:rPr>
          <w:t xml:space="preserve"> </w:t>
        </w:r>
        <w:r w:rsidR="00FC3217" w:rsidRPr="005341B5">
          <w:rPr>
            <w:rStyle w:val="a9"/>
            <w:rFonts w:ascii="黑体" w:eastAsia="黑体" w:hAnsi="黑体" w:hint="eastAsia"/>
            <w:noProof/>
          </w:rPr>
          <w:t>应急预案</w:t>
        </w:r>
        <w:r w:rsidR="00FC3217">
          <w:rPr>
            <w:noProof/>
          </w:rPr>
          <w:tab/>
        </w:r>
        <w:r>
          <w:rPr>
            <w:noProof/>
          </w:rPr>
          <w:fldChar w:fldCharType="begin"/>
        </w:r>
        <w:r w:rsidR="00FC3217">
          <w:rPr>
            <w:noProof/>
          </w:rPr>
          <w:instrText xml:space="preserve"> PAGEREF _Toc23947019 \h </w:instrText>
        </w:r>
        <w:r>
          <w:rPr>
            <w:noProof/>
          </w:rPr>
        </w:r>
        <w:r>
          <w:rPr>
            <w:noProof/>
          </w:rPr>
          <w:fldChar w:fldCharType="separate"/>
        </w:r>
        <w:r w:rsidR="00021BE0">
          <w:rPr>
            <w:noProof/>
          </w:rPr>
          <w:t>85</w:t>
        </w:r>
        <w:r>
          <w:rPr>
            <w:noProof/>
          </w:rPr>
          <w:fldChar w:fldCharType="end"/>
        </w:r>
      </w:hyperlink>
    </w:p>
    <w:p w:rsidR="00FC3217" w:rsidRDefault="00777240" w:rsidP="00FC3217">
      <w:pPr>
        <w:pStyle w:val="21"/>
        <w:tabs>
          <w:tab w:val="right" w:leader="dot" w:pos="8296"/>
        </w:tabs>
        <w:rPr>
          <w:rFonts w:asciiTheme="minorHAnsi" w:eastAsiaTheme="minorEastAsia" w:hAnsiTheme="minorHAnsi" w:cstheme="minorBidi"/>
          <w:noProof/>
        </w:rPr>
      </w:pPr>
      <w:hyperlink w:anchor="_Toc23947020" w:history="1">
        <w:r w:rsidR="00FC3217" w:rsidRPr="005341B5">
          <w:rPr>
            <w:rStyle w:val="a9"/>
            <w:rFonts w:hint="eastAsia"/>
            <w:noProof/>
          </w:rPr>
          <w:t>一、业务人员操作应急事件</w:t>
        </w:r>
        <w:r w:rsidR="00FC3217">
          <w:rPr>
            <w:noProof/>
          </w:rPr>
          <w:tab/>
        </w:r>
        <w:r>
          <w:rPr>
            <w:noProof/>
          </w:rPr>
          <w:fldChar w:fldCharType="begin"/>
        </w:r>
        <w:r w:rsidR="00FC3217">
          <w:rPr>
            <w:noProof/>
          </w:rPr>
          <w:instrText xml:space="preserve"> PAGEREF _Toc23947020 \h </w:instrText>
        </w:r>
        <w:r>
          <w:rPr>
            <w:noProof/>
          </w:rPr>
        </w:r>
        <w:r>
          <w:rPr>
            <w:noProof/>
          </w:rPr>
          <w:fldChar w:fldCharType="separate"/>
        </w:r>
        <w:r w:rsidR="00021BE0">
          <w:rPr>
            <w:noProof/>
          </w:rPr>
          <w:t>86</w:t>
        </w:r>
        <w:r>
          <w:rPr>
            <w:noProof/>
          </w:rPr>
          <w:fldChar w:fldCharType="end"/>
        </w:r>
      </w:hyperlink>
    </w:p>
    <w:p w:rsidR="00FC3217" w:rsidRDefault="00777240" w:rsidP="00FC3217">
      <w:pPr>
        <w:pStyle w:val="21"/>
        <w:tabs>
          <w:tab w:val="right" w:leader="dot" w:pos="8296"/>
        </w:tabs>
        <w:rPr>
          <w:rFonts w:asciiTheme="minorHAnsi" w:eastAsiaTheme="minorEastAsia" w:hAnsiTheme="minorHAnsi" w:cstheme="minorBidi"/>
          <w:noProof/>
        </w:rPr>
      </w:pPr>
      <w:hyperlink w:anchor="_Toc23947021" w:history="1">
        <w:r w:rsidR="00FC3217" w:rsidRPr="005341B5">
          <w:rPr>
            <w:rStyle w:val="a9"/>
            <w:rFonts w:hint="eastAsia"/>
            <w:noProof/>
          </w:rPr>
          <w:t>二、系统技术应急事件</w:t>
        </w:r>
        <w:r w:rsidR="00FC3217">
          <w:rPr>
            <w:noProof/>
          </w:rPr>
          <w:tab/>
        </w:r>
        <w:r>
          <w:rPr>
            <w:noProof/>
          </w:rPr>
          <w:fldChar w:fldCharType="begin"/>
        </w:r>
        <w:r w:rsidR="00FC3217">
          <w:rPr>
            <w:noProof/>
          </w:rPr>
          <w:instrText xml:space="preserve"> PAGEREF _Toc23947021 \h </w:instrText>
        </w:r>
        <w:r>
          <w:rPr>
            <w:noProof/>
          </w:rPr>
        </w:r>
        <w:r>
          <w:rPr>
            <w:noProof/>
          </w:rPr>
          <w:fldChar w:fldCharType="separate"/>
        </w:r>
        <w:r w:rsidR="00021BE0">
          <w:rPr>
            <w:noProof/>
          </w:rPr>
          <w:t>86</w:t>
        </w:r>
        <w:r>
          <w:rPr>
            <w:noProof/>
          </w:rPr>
          <w:fldChar w:fldCharType="end"/>
        </w:r>
      </w:hyperlink>
    </w:p>
    <w:p w:rsidR="00FC3217" w:rsidRDefault="00777240" w:rsidP="00FC3217">
      <w:pPr>
        <w:pStyle w:val="21"/>
        <w:tabs>
          <w:tab w:val="right" w:leader="dot" w:pos="8296"/>
        </w:tabs>
        <w:rPr>
          <w:rFonts w:asciiTheme="minorHAnsi" w:eastAsiaTheme="minorEastAsia" w:hAnsiTheme="minorHAnsi" w:cstheme="minorBidi"/>
          <w:noProof/>
        </w:rPr>
      </w:pPr>
      <w:hyperlink w:anchor="_Toc23947022" w:history="1">
        <w:r w:rsidR="00FC3217" w:rsidRPr="005341B5">
          <w:rPr>
            <w:rStyle w:val="a9"/>
            <w:rFonts w:hint="eastAsia"/>
            <w:noProof/>
          </w:rPr>
          <w:t>三、交易异常事件</w:t>
        </w:r>
        <w:r w:rsidR="00FC3217">
          <w:rPr>
            <w:noProof/>
          </w:rPr>
          <w:tab/>
        </w:r>
        <w:r>
          <w:rPr>
            <w:noProof/>
          </w:rPr>
          <w:fldChar w:fldCharType="begin"/>
        </w:r>
        <w:r w:rsidR="00FC3217">
          <w:rPr>
            <w:noProof/>
          </w:rPr>
          <w:instrText xml:space="preserve"> PAGEREF _Toc23947022 \h </w:instrText>
        </w:r>
        <w:r>
          <w:rPr>
            <w:noProof/>
          </w:rPr>
        </w:r>
        <w:r>
          <w:rPr>
            <w:noProof/>
          </w:rPr>
          <w:fldChar w:fldCharType="separate"/>
        </w:r>
        <w:r w:rsidR="00021BE0">
          <w:rPr>
            <w:noProof/>
          </w:rPr>
          <w:t>87</w:t>
        </w:r>
        <w:r>
          <w:rPr>
            <w:noProof/>
          </w:rPr>
          <w:fldChar w:fldCharType="end"/>
        </w:r>
      </w:hyperlink>
    </w:p>
    <w:p w:rsidR="00FC3217" w:rsidRDefault="00777240" w:rsidP="00FC3217">
      <w:pPr>
        <w:pStyle w:val="21"/>
        <w:tabs>
          <w:tab w:val="right" w:leader="dot" w:pos="8296"/>
        </w:tabs>
        <w:rPr>
          <w:rFonts w:asciiTheme="minorHAnsi" w:eastAsiaTheme="minorEastAsia" w:hAnsiTheme="minorHAnsi" w:cstheme="minorBidi"/>
          <w:noProof/>
        </w:rPr>
      </w:pPr>
      <w:hyperlink w:anchor="_Toc23947023" w:history="1">
        <w:r w:rsidR="00FC3217" w:rsidRPr="005341B5">
          <w:rPr>
            <w:rStyle w:val="a9"/>
            <w:rFonts w:hint="eastAsia"/>
            <w:noProof/>
          </w:rPr>
          <w:t>四、结算异常事件</w:t>
        </w:r>
        <w:r w:rsidR="00FC3217">
          <w:rPr>
            <w:noProof/>
          </w:rPr>
          <w:tab/>
        </w:r>
        <w:r>
          <w:rPr>
            <w:noProof/>
          </w:rPr>
          <w:fldChar w:fldCharType="begin"/>
        </w:r>
        <w:r w:rsidR="00FC3217">
          <w:rPr>
            <w:noProof/>
          </w:rPr>
          <w:instrText xml:space="preserve"> PAGEREF _Toc23947023 \h </w:instrText>
        </w:r>
        <w:r>
          <w:rPr>
            <w:noProof/>
          </w:rPr>
        </w:r>
        <w:r>
          <w:rPr>
            <w:noProof/>
          </w:rPr>
          <w:fldChar w:fldCharType="separate"/>
        </w:r>
        <w:r w:rsidR="00021BE0">
          <w:rPr>
            <w:noProof/>
          </w:rPr>
          <w:t>87</w:t>
        </w:r>
        <w:r>
          <w:rPr>
            <w:noProof/>
          </w:rPr>
          <w:fldChar w:fldCharType="end"/>
        </w:r>
      </w:hyperlink>
    </w:p>
    <w:p w:rsidR="00FC3217" w:rsidRDefault="00777240" w:rsidP="00FC3217">
      <w:pPr>
        <w:pStyle w:val="21"/>
        <w:tabs>
          <w:tab w:val="right" w:leader="dot" w:pos="8296"/>
        </w:tabs>
        <w:rPr>
          <w:rFonts w:asciiTheme="minorHAnsi" w:eastAsiaTheme="minorEastAsia" w:hAnsiTheme="minorHAnsi" w:cstheme="minorBidi"/>
          <w:noProof/>
        </w:rPr>
      </w:pPr>
      <w:hyperlink w:anchor="_Toc23947024" w:history="1">
        <w:r w:rsidR="00FC3217" w:rsidRPr="005341B5">
          <w:rPr>
            <w:rStyle w:val="a9"/>
            <w:rFonts w:ascii="黑体" w:eastAsia="黑体" w:hAnsi="黑体" w:hint="eastAsia"/>
            <w:noProof/>
          </w:rPr>
          <w:t>第十六章</w:t>
        </w:r>
        <w:r w:rsidR="00FC3217" w:rsidRPr="005341B5">
          <w:rPr>
            <w:rStyle w:val="a9"/>
            <w:rFonts w:ascii="黑体" w:eastAsia="黑体" w:hAnsi="黑体"/>
            <w:noProof/>
          </w:rPr>
          <w:t xml:space="preserve"> </w:t>
        </w:r>
        <w:r w:rsidR="00FC3217" w:rsidRPr="005341B5">
          <w:rPr>
            <w:rStyle w:val="a9"/>
            <w:rFonts w:ascii="黑体" w:eastAsia="黑体" w:hAnsi="黑体" w:hint="eastAsia"/>
            <w:noProof/>
          </w:rPr>
          <w:t>交易信息及提醒及期权基础信息接口文件</w:t>
        </w:r>
        <w:r w:rsidR="00FC3217">
          <w:rPr>
            <w:rStyle w:val="a9"/>
            <w:rFonts w:ascii="黑体" w:eastAsia="黑体" w:hAnsi="黑体" w:hint="eastAsia"/>
            <w:noProof/>
          </w:rPr>
          <w:t>说明</w:t>
        </w:r>
        <w:r w:rsidR="00FC3217">
          <w:rPr>
            <w:noProof/>
          </w:rPr>
          <w:tab/>
        </w:r>
        <w:r>
          <w:rPr>
            <w:noProof/>
          </w:rPr>
          <w:fldChar w:fldCharType="begin"/>
        </w:r>
        <w:r w:rsidR="00FC3217">
          <w:rPr>
            <w:noProof/>
          </w:rPr>
          <w:instrText xml:space="preserve"> PAGEREF _Toc23947024 \h </w:instrText>
        </w:r>
        <w:r>
          <w:rPr>
            <w:noProof/>
          </w:rPr>
        </w:r>
        <w:r>
          <w:rPr>
            <w:noProof/>
          </w:rPr>
          <w:fldChar w:fldCharType="separate"/>
        </w:r>
        <w:r w:rsidR="00021BE0">
          <w:rPr>
            <w:noProof/>
          </w:rPr>
          <w:t>88</w:t>
        </w:r>
        <w:r>
          <w:rPr>
            <w:noProof/>
          </w:rPr>
          <w:fldChar w:fldCharType="end"/>
        </w:r>
      </w:hyperlink>
    </w:p>
    <w:p w:rsidR="00FC3217" w:rsidRDefault="00777240" w:rsidP="00FC3217">
      <w:pPr>
        <w:pStyle w:val="21"/>
        <w:tabs>
          <w:tab w:val="right" w:leader="dot" w:pos="8296"/>
        </w:tabs>
        <w:rPr>
          <w:rFonts w:asciiTheme="minorHAnsi" w:eastAsiaTheme="minorEastAsia" w:hAnsiTheme="minorHAnsi" w:cstheme="minorBidi"/>
          <w:noProof/>
        </w:rPr>
      </w:pPr>
      <w:hyperlink w:anchor="_Toc23947026" w:history="1">
        <w:r w:rsidR="00FC3217" w:rsidRPr="005341B5">
          <w:rPr>
            <w:rStyle w:val="a9"/>
            <w:rFonts w:hint="eastAsia"/>
            <w:noProof/>
          </w:rPr>
          <w:t>一、交易信息内容</w:t>
        </w:r>
        <w:r w:rsidR="00FC3217">
          <w:rPr>
            <w:noProof/>
          </w:rPr>
          <w:tab/>
        </w:r>
        <w:r>
          <w:rPr>
            <w:noProof/>
          </w:rPr>
          <w:fldChar w:fldCharType="begin"/>
        </w:r>
        <w:r w:rsidR="00FC3217">
          <w:rPr>
            <w:noProof/>
          </w:rPr>
          <w:instrText xml:space="preserve"> PAGEREF _Toc23947026 \h </w:instrText>
        </w:r>
        <w:r>
          <w:rPr>
            <w:noProof/>
          </w:rPr>
        </w:r>
        <w:r>
          <w:rPr>
            <w:noProof/>
          </w:rPr>
          <w:fldChar w:fldCharType="separate"/>
        </w:r>
        <w:r w:rsidR="00021BE0">
          <w:rPr>
            <w:noProof/>
          </w:rPr>
          <w:t>88</w:t>
        </w:r>
        <w:r>
          <w:rPr>
            <w:noProof/>
          </w:rPr>
          <w:fldChar w:fldCharType="end"/>
        </w:r>
      </w:hyperlink>
    </w:p>
    <w:p w:rsidR="00FC3217" w:rsidRDefault="00777240" w:rsidP="00FC3217">
      <w:pPr>
        <w:pStyle w:val="21"/>
        <w:tabs>
          <w:tab w:val="right" w:leader="dot" w:pos="8296"/>
        </w:tabs>
        <w:rPr>
          <w:rFonts w:asciiTheme="minorHAnsi" w:eastAsiaTheme="minorEastAsia" w:hAnsiTheme="minorHAnsi" w:cstheme="minorBidi"/>
          <w:noProof/>
        </w:rPr>
      </w:pPr>
      <w:hyperlink w:anchor="_Toc23947027" w:history="1">
        <w:r w:rsidR="00FC3217" w:rsidRPr="005341B5">
          <w:rPr>
            <w:rStyle w:val="a9"/>
            <w:rFonts w:hint="eastAsia"/>
            <w:noProof/>
          </w:rPr>
          <w:t>二、信息公告与提醒</w:t>
        </w:r>
        <w:r w:rsidR="00FC3217">
          <w:rPr>
            <w:noProof/>
          </w:rPr>
          <w:tab/>
        </w:r>
        <w:r>
          <w:rPr>
            <w:noProof/>
          </w:rPr>
          <w:fldChar w:fldCharType="begin"/>
        </w:r>
        <w:r w:rsidR="00FC3217">
          <w:rPr>
            <w:noProof/>
          </w:rPr>
          <w:instrText xml:space="preserve"> PAGEREF _Toc23947027 \h </w:instrText>
        </w:r>
        <w:r>
          <w:rPr>
            <w:noProof/>
          </w:rPr>
        </w:r>
        <w:r>
          <w:rPr>
            <w:noProof/>
          </w:rPr>
          <w:fldChar w:fldCharType="separate"/>
        </w:r>
        <w:r w:rsidR="00021BE0">
          <w:rPr>
            <w:noProof/>
          </w:rPr>
          <w:t>88</w:t>
        </w:r>
        <w:r>
          <w:rPr>
            <w:noProof/>
          </w:rPr>
          <w:fldChar w:fldCharType="end"/>
        </w:r>
      </w:hyperlink>
    </w:p>
    <w:p w:rsidR="00FC3217" w:rsidRDefault="00777240" w:rsidP="00FC3217">
      <w:pPr>
        <w:pStyle w:val="21"/>
        <w:tabs>
          <w:tab w:val="right" w:leader="dot" w:pos="8296"/>
        </w:tabs>
        <w:rPr>
          <w:rFonts w:asciiTheme="minorHAnsi" w:eastAsiaTheme="minorEastAsia" w:hAnsiTheme="minorHAnsi" w:cstheme="minorBidi"/>
          <w:noProof/>
        </w:rPr>
      </w:pPr>
      <w:hyperlink w:anchor="_Toc23947028" w:history="1">
        <w:r w:rsidR="00FC3217" w:rsidRPr="005341B5">
          <w:rPr>
            <w:rStyle w:val="a9"/>
            <w:rFonts w:hint="eastAsia"/>
            <w:noProof/>
          </w:rPr>
          <w:t>三、期权基础信息接口文件</w:t>
        </w:r>
        <w:r w:rsidR="00FC3217">
          <w:rPr>
            <w:noProof/>
          </w:rPr>
          <w:tab/>
        </w:r>
        <w:r>
          <w:rPr>
            <w:noProof/>
          </w:rPr>
          <w:fldChar w:fldCharType="begin"/>
        </w:r>
        <w:r w:rsidR="00FC3217">
          <w:rPr>
            <w:noProof/>
          </w:rPr>
          <w:instrText xml:space="preserve"> PAGEREF _Toc23947028 \h </w:instrText>
        </w:r>
        <w:r>
          <w:rPr>
            <w:noProof/>
          </w:rPr>
        </w:r>
        <w:r>
          <w:rPr>
            <w:noProof/>
          </w:rPr>
          <w:fldChar w:fldCharType="separate"/>
        </w:r>
        <w:r w:rsidR="00021BE0">
          <w:rPr>
            <w:noProof/>
          </w:rPr>
          <w:t>90</w:t>
        </w:r>
        <w:r>
          <w:rPr>
            <w:noProof/>
          </w:rPr>
          <w:fldChar w:fldCharType="end"/>
        </w:r>
      </w:hyperlink>
    </w:p>
    <w:p w:rsidR="00FC3217" w:rsidRDefault="00777240" w:rsidP="00FC3217">
      <w:pPr>
        <w:pStyle w:val="21"/>
        <w:tabs>
          <w:tab w:val="right" w:leader="dot" w:pos="8296"/>
        </w:tabs>
        <w:rPr>
          <w:rFonts w:asciiTheme="minorHAnsi" w:eastAsiaTheme="minorEastAsia" w:hAnsiTheme="minorHAnsi" w:cstheme="minorBidi"/>
          <w:noProof/>
        </w:rPr>
      </w:pPr>
      <w:hyperlink w:anchor="_Toc23947029" w:history="1">
        <w:r w:rsidR="00FC3217" w:rsidRPr="005341B5">
          <w:rPr>
            <w:rStyle w:val="a9"/>
            <w:rFonts w:ascii="黑体" w:eastAsia="黑体" w:hAnsi="黑体" w:hint="eastAsia"/>
            <w:noProof/>
          </w:rPr>
          <w:t>第十七章</w:t>
        </w:r>
        <w:r w:rsidR="00FC3217" w:rsidRPr="005341B5">
          <w:rPr>
            <w:rStyle w:val="a9"/>
            <w:rFonts w:ascii="黑体" w:eastAsia="黑体" w:hAnsi="黑体"/>
            <w:noProof/>
          </w:rPr>
          <w:t xml:space="preserve"> </w:t>
        </w:r>
        <w:r w:rsidR="00FC3217" w:rsidRPr="005341B5">
          <w:rPr>
            <w:rStyle w:val="a9"/>
            <w:rFonts w:ascii="黑体" w:eastAsia="黑体" w:hAnsi="黑体" w:hint="eastAsia"/>
            <w:noProof/>
          </w:rPr>
          <w:t>标的证券监管与保证金监控</w:t>
        </w:r>
        <w:r w:rsidR="00FC3217">
          <w:rPr>
            <w:noProof/>
          </w:rPr>
          <w:tab/>
        </w:r>
        <w:r>
          <w:rPr>
            <w:noProof/>
          </w:rPr>
          <w:fldChar w:fldCharType="begin"/>
        </w:r>
        <w:r w:rsidR="00FC3217">
          <w:rPr>
            <w:noProof/>
          </w:rPr>
          <w:instrText xml:space="preserve"> PAGEREF _Toc23947029 \h </w:instrText>
        </w:r>
        <w:r>
          <w:rPr>
            <w:noProof/>
          </w:rPr>
        </w:r>
        <w:r>
          <w:rPr>
            <w:noProof/>
          </w:rPr>
          <w:fldChar w:fldCharType="separate"/>
        </w:r>
        <w:r w:rsidR="00021BE0">
          <w:rPr>
            <w:noProof/>
          </w:rPr>
          <w:t>92</w:t>
        </w:r>
        <w:r>
          <w:rPr>
            <w:noProof/>
          </w:rPr>
          <w:fldChar w:fldCharType="end"/>
        </w:r>
      </w:hyperlink>
    </w:p>
    <w:p w:rsidR="00FC3217" w:rsidRDefault="00777240" w:rsidP="00FC3217">
      <w:pPr>
        <w:pStyle w:val="21"/>
        <w:tabs>
          <w:tab w:val="right" w:leader="dot" w:pos="8296"/>
        </w:tabs>
        <w:rPr>
          <w:rFonts w:asciiTheme="minorHAnsi" w:eastAsiaTheme="minorEastAsia" w:hAnsiTheme="minorHAnsi" w:cstheme="minorBidi"/>
          <w:noProof/>
        </w:rPr>
      </w:pPr>
      <w:hyperlink w:anchor="_Toc23947030" w:history="1">
        <w:r w:rsidR="00FC3217" w:rsidRPr="005341B5">
          <w:rPr>
            <w:rStyle w:val="a9"/>
            <w:rFonts w:hint="eastAsia"/>
            <w:noProof/>
          </w:rPr>
          <w:t>一、标的证券监管</w:t>
        </w:r>
        <w:r w:rsidR="00FC3217">
          <w:rPr>
            <w:noProof/>
          </w:rPr>
          <w:tab/>
        </w:r>
        <w:r>
          <w:rPr>
            <w:noProof/>
          </w:rPr>
          <w:fldChar w:fldCharType="begin"/>
        </w:r>
        <w:r w:rsidR="00FC3217">
          <w:rPr>
            <w:noProof/>
          </w:rPr>
          <w:instrText xml:space="preserve"> PAGEREF _Toc23947030 \h </w:instrText>
        </w:r>
        <w:r>
          <w:rPr>
            <w:noProof/>
          </w:rPr>
        </w:r>
        <w:r>
          <w:rPr>
            <w:noProof/>
          </w:rPr>
          <w:fldChar w:fldCharType="separate"/>
        </w:r>
        <w:r w:rsidR="00021BE0">
          <w:rPr>
            <w:noProof/>
          </w:rPr>
          <w:t>92</w:t>
        </w:r>
        <w:r>
          <w:rPr>
            <w:noProof/>
          </w:rPr>
          <w:fldChar w:fldCharType="end"/>
        </w:r>
      </w:hyperlink>
    </w:p>
    <w:p w:rsidR="00FC3217" w:rsidRDefault="00777240" w:rsidP="00FC3217">
      <w:pPr>
        <w:pStyle w:val="21"/>
        <w:tabs>
          <w:tab w:val="right" w:leader="dot" w:pos="8296"/>
        </w:tabs>
        <w:rPr>
          <w:rFonts w:asciiTheme="minorHAnsi" w:eastAsiaTheme="minorEastAsia" w:hAnsiTheme="minorHAnsi" w:cstheme="minorBidi"/>
          <w:noProof/>
        </w:rPr>
      </w:pPr>
      <w:hyperlink w:anchor="_Toc23947031" w:history="1">
        <w:r w:rsidR="00FC3217" w:rsidRPr="005341B5">
          <w:rPr>
            <w:rStyle w:val="a9"/>
            <w:rFonts w:hint="eastAsia"/>
            <w:noProof/>
          </w:rPr>
          <w:t>二、保证金监控</w:t>
        </w:r>
        <w:r w:rsidR="00FC3217">
          <w:rPr>
            <w:noProof/>
          </w:rPr>
          <w:tab/>
        </w:r>
        <w:r>
          <w:rPr>
            <w:noProof/>
          </w:rPr>
          <w:fldChar w:fldCharType="begin"/>
        </w:r>
        <w:r w:rsidR="00FC3217">
          <w:rPr>
            <w:noProof/>
          </w:rPr>
          <w:instrText xml:space="preserve"> PAGEREF _Toc23947031 \h </w:instrText>
        </w:r>
        <w:r>
          <w:rPr>
            <w:noProof/>
          </w:rPr>
        </w:r>
        <w:r>
          <w:rPr>
            <w:noProof/>
          </w:rPr>
          <w:fldChar w:fldCharType="separate"/>
        </w:r>
        <w:r w:rsidR="00021BE0">
          <w:rPr>
            <w:noProof/>
          </w:rPr>
          <w:t>92</w:t>
        </w:r>
        <w:r>
          <w:rPr>
            <w:noProof/>
          </w:rPr>
          <w:fldChar w:fldCharType="end"/>
        </w:r>
      </w:hyperlink>
    </w:p>
    <w:p w:rsidR="00FC3217" w:rsidRDefault="00777240" w:rsidP="00FC3217">
      <w:pPr>
        <w:pStyle w:val="21"/>
        <w:tabs>
          <w:tab w:val="right" w:leader="dot" w:pos="8296"/>
        </w:tabs>
        <w:rPr>
          <w:rFonts w:asciiTheme="minorHAnsi" w:eastAsiaTheme="minorEastAsia" w:hAnsiTheme="minorHAnsi" w:cstheme="minorBidi"/>
          <w:noProof/>
        </w:rPr>
      </w:pPr>
      <w:hyperlink w:anchor="_Toc23947032" w:history="1">
        <w:r w:rsidR="00FC3217" w:rsidRPr="005341B5">
          <w:rPr>
            <w:rStyle w:val="a9"/>
            <w:rFonts w:ascii="黑体" w:eastAsia="黑体" w:hAnsi="黑体" w:hint="eastAsia"/>
            <w:noProof/>
          </w:rPr>
          <w:t>第十八章</w:t>
        </w:r>
        <w:r w:rsidR="00FC3217" w:rsidRPr="005341B5">
          <w:rPr>
            <w:rStyle w:val="a9"/>
            <w:rFonts w:ascii="黑体" w:eastAsia="黑体" w:hAnsi="黑体"/>
            <w:noProof/>
          </w:rPr>
          <w:t xml:space="preserve"> </w:t>
        </w:r>
        <w:r w:rsidR="00FC3217" w:rsidRPr="005341B5">
          <w:rPr>
            <w:rStyle w:val="a9"/>
            <w:rFonts w:ascii="黑体" w:eastAsia="黑体" w:hAnsi="黑体" w:hint="eastAsia"/>
            <w:noProof/>
          </w:rPr>
          <w:t>投资者教育与客户投诉处理</w:t>
        </w:r>
        <w:r w:rsidR="00FC3217">
          <w:rPr>
            <w:noProof/>
          </w:rPr>
          <w:tab/>
        </w:r>
        <w:r>
          <w:rPr>
            <w:noProof/>
          </w:rPr>
          <w:fldChar w:fldCharType="begin"/>
        </w:r>
        <w:r w:rsidR="00FC3217">
          <w:rPr>
            <w:noProof/>
          </w:rPr>
          <w:instrText xml:space="preserve"> PAGEREF _Toc23947032 \h </w:instrText>
        </w:r>
        <w:r>
          <w:rPr>
            <w:noProof/>
          </w:rPr>
        </w:r>
        <w:r>
          <w:rPr>
            <w:noProof/>
          </w:rPr>
          <w:fldChar w:fldCharType="separate"/>
        </w:r>
        <w:r w:rsidR="00021BE0">
          <w:rPr>
            <w:noProof/>
          </w:rPr>
          <w:t>92</w:t>
        </w:r>
        <w:r>
          <w:rPr>
            <w:noProof/>
          </w:rPr>
          <w:fldChar w:fldCharType="end"/>
        </w:r>
      </w:hyperlink>
    </w:p>
    <w:p w:rsidR="00FC3217" w:rsidRDefault="00777240" w:rsidP="00FC3217">
      <w:pPr>
        <w:pStyle w:val="21"/>
        <w:tabs>
          <w:tab w:val="right" w:leader="dot" w:pos="8296"/>
        </w:tabs>
        <w:rPr>
          <w:rFonts w:asciiTheme="minorHAnsi" w:eastAsiaTheme="minorEastAsia" w:hAnsiTheme="minorHAnsi" w:cstheme="minorBidi"/>
          <w:noProof/>
        </w:rPr>
      </w:pPr>
      <w:hyperlink w:anchor="_Toc23947033" w:history="1">
        <w:r w:rsidR="00FC3217" w:rsidRPr="005341B5">
          <w:rPr>
            <w:rStyle w:val="a9"/>
            <w:rFonts w:hint="eastAsia"/>
            <w:noProof/>
          </w:rPr>
          <w:t>一、投资者教育</w:t>
        </w:r>
        <w:r w:rsidR="00FC3217">
          <w:rPr>
            <w:noProof/>
          </w:rPr>
          <w:tab/>
        </w:r>
        <w:r>
          <w:rPr>
            <w:noProof/>
          </w:rPr>
          <w:fldChar w:fldCharType="begin"/>
        </w:r>
        <w:r w:rsidR="00FC3217">
          <w:rPr>
            <w:noProof/>
          </w:rPr>
          <w:instrText xml:space="preserve"> PAGEREF _Toc23947033 \h </w:instrText>
        </w:r>
        <w:r>
          <w:rPr>
            <w:noProof/>
          </w:rPr>
        </w:r>
        <w:r>
          <w:rPr>
            <w:noProof/>
          </w:rPr>
          <w:fldChar w:fldCharType="separate"/>
        </w:r>
        <w:r w:rsidR="00021BE0">
          <w:rPr>
            <w:noProof/>
          </w:rPr>
          <w:t>92</w:t>
        </w:r>
        <w:r>
          <w:rPr>
            <w:noProof/>
          </w:rPr>
          <w:fldChar w:fldCharType="end"/>
        </w:r>
      </w:hyperlink>
    </w:p>
    <w:p w:rsidR="00FC3217" w:rsidRDefault="00777240" w:rsidP="00FC3217">
      <w:pPr>
        <w:pStyle w:val="21"/>
        <w:tabs>
          <w:tab w:val="right" w:leader="dot" w:pos="8296"/>
        </w:tabs>
        <w:rPr>
          <w:rFonts w:asciiTheme="minorHAnsi" w:eastAsiaTheme="minorEastAsia" w:hAnsiTheme="minorHAnsi" w:cstheme="minorBidi"/>
          <w:noProof/>
        </w:rPr>
      </w:pPr>
      <w:hyperlink w:anchor="_Toc23947034" w:history="1">
        <w:r w:rsidR="00FC3217" w:rsidRPr="005341B5">
          <w:rPr>
            <w:rStyle w:val="a9"/>
            <w:rFonts w:hint="eastAsia"/>
            <w:noProof/>
          </w:rPr>
          <w:t>二、客户投诉处理</w:t>
        </w:r>
        <w:r w:rsidR="00FC3217">
          <w:rPr>
            <w:noProof/>
          </w:rPr>
          <w:tab/>
        </w:r>
        <w:r>
          <w:rPr>
            <w:noProof/>
          </w:rPr>
          <w:fldChar w:fldCharType="begin"/>
        </w:r>
        <w:r w:rsidR="00FC3217">
          <w:rPr>
            <w:noProof/>
          </w:rPr>
          <w:instrText xml:space="preserve"> PAGEREF _Toc23947034 \h </w:instrText>
        </w:r>
        <w:r>
          <w:rPr>
            <w:noProof/>
          </w:rPr>
        </w:r>
        <w:r>
          <w:rPr>
            <w:noProof/>
          </w:rPr>
          <w:fldChar w:fldCharType="separate"/>
        </w:r>
        <w:r w:rsidR="00021BE0">
          <w:rPr>
            <w:noProof/>
          </w:rPr>
          <w:t>94</w:t>
        </w:r>
        <w:r>
          <w:rPr>
            <w:noProof/>
          </w:rPr>
          <w:fldChar w:fldCharType="end"/>
        </w:r>
      </w:hyperlink>
    </w:p>
    <w:p w:rsidR="00FC3217" w:rsidRDefault="00777240" w:rsidP="00FC3217">
      <w:pPr>
        <w:pStyle w:val="21"/>
        <w:tabs>
          <w:tab w:val="right" w:leader="dot" w:pos="8296"/>
        </w:tabs>
        <w:rPr>
          <w:rFonts w:asciiTheme="minorHAnsi" w:eastAsiaTheme="minorEastAsia" w:hAnsiTheme="minorHAnsi" w:cstheme="minorBidi"/>
          <w:noProof/>
        </w:rPr>
      </w:pPr>
      <w:hyperlink w:anchor="_Toc23947035" w:history="1">
        <w:r w:rsidR="00FC3217" w:rsidRPr="005341B5">
          <w:rPr>
            <w:rStyle w:val="a9"/>
            <w:rFonts w:ascii="黑体" w:eastAsia="黑体" w:hAnsi="黑体" w:hint="eastAsia"/>
            <w:noProof/>
          </w:rPr>
          <w:t>第十九章</w:t>
        </w:r>
        <w:r w:rsidR="00FC3217" w:rsidRPr="005341B5">
          <w:rPr>
            <w:rStyle w:val="a9"/>
            <w:rFonts w:ascii="黑体" w:eastAsia="黑体" w:hAnsi="黑体"/>
            <w:noProof/>
          </w:rPr>
          <w:t xml:space="preserve"> </w:t>
        </w:r>
        <w:r w:rsidR="00FC3217" w:rsidRPr="005341B5">
          <w:rPr>
            <w:rStyle w:val="a9"/>
            <w:rFonts w:ascii="黑体" w:eastAsia="黑体" w:hAnsi="黑体" w:hint="eastAsia"/>
            <w:noProof/>
          </w:rPr>
          <w:t>股票期权介绍业务</w:t>
        </w:r>
        <w:r w:rsidR="00FC3217">
          <w:rPr>
            <w:noProof/>
          </w:rPr>
          <w:tab/>
        </w:r>
        <w:r>
          <w:rPr>
            <w:noProof/>
          </w:rPr>
          <w:fldChar w:fldCharType="begin"/>
        </w:r>
        <w:r w:rsidR="00FC3217">
          <w:rPr>
            <w:noProof/>
          </w:rPr>
          <w:instrText xml:space="preserve"> PAGEREF _Toc23947035 \h </w:instrText>
        </w:r>
        <w:r>
          <w:rPr>
            <w:noProof/>
          </w:rPr>
        </w:r>
        <w:r>
          <w:rPr>
            <w:noProof/>
          </w:rPr>
          <w:fldChar w:fldCharType="separate"/>
        </w:r>
        <w:r w:rsidR="00021BE0">
          <w:rPr>
            <w:noProof/>
          </w:rPr>
          <w:t>96</w:t>
        </w:r>
        <w:r>
          <w:rPr>
            <w:noProof/>
          </w:rPr>
          <w:fldChar w:fldCharType="end"/>
        </w:r>
      </w:hyperlink>
    </w:p>
    <w:p w:rsidR="00FC3217" w:rsidRDefault="00777240" w:rsidP="00FC3217">
      <w:pPr>
        <w:pStyle w:val="21"/>
        <w:tabs>
          <w:tab w:val="right" w:leader="dot" w:pos="8296"/>
        </w:tabs>
        <w:rPr>
          <w:rFonts w:asciiTheme="minorHAnsi" w:eastAsiaTheme="minorEastAsia" w:hAnsiTheme="minorHAnsi" w:cstheme="minorBidi"/>
          <w:noProof/>
        </w:rPr>
      </w:pPr>
      <w:hyperlink w:anchor="_Toc23947036" w:history="1">
        <w:r w:rsidR="00FC3217" w:rsidRPr="005341B5">
          <w:rPr>
            <w:rStyle w:val="a9"/>
            <w:rFonts w:hint="eastAsia"/>
            <w:noProof/>
          </w:rPr>
          <w:t>一、基本要求</w:t>
        </w:r>
        <w:r w:rsidR="00FC3217">
          <w:rPr>
            <w:noProof/>
          </w:rPr>
          <w:tab/>
        </w:r>
        <w:r>
          <w:rPr>
            <w:noProof/>
          </w:rPr>
          <w:fldChar w:fldCharType="begin"/>
        </w:r>
        <w:r w:rsidR="00FC3217">
          <w:rPr>
            <w:noProof/>
          </w:rPr>
          <w:instrText xml:space="preserve"> PAGEREF _Toc23947036 \h </w:instrText>
        </w:r>
        <w:r>
          <w:rPr>
            <w:noProof/>
          </w:rPr>
        </w:r>
        <w:r>
          <w:rPr>
            <w:noProof/>
          </w:rPr>
          <w:fldChar w:fldCharType="separate"/>
        </w:r>
        <w:r w:rsidR="00021BE0">
          <w:rPr>
            <w:noProof/>
          </w:rPr>
          <w:t>96</w:t>
        </w:r>
        <w:r>
          <w:rPr>
            <w:noProof/>
          </w:rPr>
          <w:fldChar w:fldCharType="end"/>
        </w:r>
      </w:hyperlink>
    </w:p>
    <w:p w:rsidR="00FC3217" w:rsidRDefault="00777240" w:rsidP="00FC3217">
      <w:pPr>
        <w:pStyle w:val="21"/>
        <w:tabs>
          <w:tab w:val="right" w:leader="dot" w:pos="8296"/>
        </w:tabs>
        <w:rPr>
          <w:rFonts w:asciiTheme="minorHAnsi" w:eastAsiaTheme="minorEastAsia" w:hAnsiTheme="minorHAnsi" w:cstheme="minorBidi"/>
          <w:noProof/>
        </w:rPr>
      </w:pPr>
      <w:hyperlink w:anchor="_Toc23947037" w:history="1">
        <w:r w:rsidR="00FC3217" w:rsidRPr="005341B5">
          <w:rPr>
            <w:rStyle w:val="a9"/>
            <w:rFonts w:hint="eastAsia"/>
            <w:noProof/>
          </w:rPr>
          <w:t>二、介绍业务协议</w:t>
        </w:r>
        <w:r w:rsidR="00FC3217">
          <w:rPr>
            <w:noProof/>
          </w:rPr>
          <w:tab/>
        </w:r>
        <w:r>
          <w:rPr>
            <w:noProof/>
          </w:rPr>
          <w:fldChar w:fldCharType="begin"/>
        </w:r>
        <w:r w:rsidR="00FC3217">
          <w:rPr>
            <w:noProof/>
          </w:rPr>
          <w:instrText xml:space="preserve"> PAGEREF _Toc23947037 \h </w:instrText>
        </w:r>
        <w:r>
          <w:rPr>
            <w:noProof/>
          </w:rPr>
        </w:r>
        <w:r>
          <w:rPr>
            <w:noProof/>
          </w:rPr>
          <w:fldChar w:fldCharType="separate"/>
        </w:r>
        <w:r w:rsidR="00021BE0">
          <w:rPr>
            <w:noProof/>
          </w:rPr>
          <w:t>97</w:t>
        </w:r>
        <w:r>
          <w:rPr>
            <w:noProof/>
          </w:rPr>
          <w:fldChar w:fldCharType="end"/>
        </w:r>
      </w:hyperlink>
    </w:p>
    <w:p w:rsidR="00FC3217" w:rsidRDefault="00777240" w:rsidP="00FC3217">
      <w:pPr>
        <w:pStyle w:val="21"/>
        <w:tabs>
          <w:tab w:val="right" w:leader="dot" w:pos="8296"/>
        </w:tabs>
        <w:rPr>
          <w:rFonts w:asciiTheme="minorHAnsi" w:eastAsiaTheme="minorEastAsia" w:hAnsiTheme="minorHAnsi" w:cstheme="minorBidi"/>
          <w:noProof/>
        </w:rPr>
      </w:pPr>
      <w:hyperlink w:anchor="_Toc23947038" w:history="1">
        <w:r w:rsidR="00FC3217" w:rsidRPr="005341B5">
          <w:rPr>
            <w:rStyle w:val="a9"/>
            <w:rFonts w:hint="eastAsia"/>
            <w:noProof/>
          </w:rPr>
          <w:t>三、介绍业务规则</w:t>
        </w:r>
        <w:r w:rsidR="00FC3217">
          <w:rPr>
            <w:noProof/>
          </w:rPr>
          <w:tab/>
        </w:r>
        <w:r>
          <w:rPr>
            <w:noProof/>
          </w:rPr>
          <w:fldChar w:fldCharType="begin"/>
        </w:r>
        <w:r w:rsidR="00FC3217">
          <w:rPr>
            <w:noProof/>
          </w:rPr>
          <w:instrText xml:space="preserve"> PAGEREF _Toc23947038 \h </w:instrText>
        </w:r>
        <w:r>
          <w:rPr>
            <w:noProof/>
          </w:rPr>
        </w:r>
        <w:r>
          <w:rPr>
            <w:noProof/>
          </w:rPr>
          <w:fldChar w:fldCharType="separate"/>
        </w:r>
        <w:r w:rsidR="00021BE0">
          <w:rPr>
            <w:noProof/>
          </w:rPr>
          <w:t>98</w:t>
        </w:r>
        <w:r>
          <w:rPr>
            <w:noProof/>
          </w:rPr>
          <w:fldChar w:fldCharType="end"/>
        </w:r>
      </w:hyperlink>
    </w:p>
    <w:p w:rsidR="00FC3217" w:rsidRDefault="00777240" w:rsidP="00FC3217">
      <w:pPr>
        <w:pStyle w:val="21"/>
        <w:tabs>
          <w:tab w:val="right" w:leader="dot" w:pos="8296"/>
        </w:tabs>
        <w:rPr>
          <w:rFonts w:asciiTheme="minorHAnsi" w:eastAsiaTheme="minorEastAsia" w:hAnsiTheme="minorHAnsi" w:cstheme="minorBidi"/>
          <w:noProof/>
        </w:rPr>
      </w:pPr>
      <w:hyperlink w:anchor="_Toc23947039" w:history="1">
        <w:r w:rsidR="00FC3217" w:rsidRPr="005341B5">
          <w:rPr>
            <w:rStyle w:val="a9"/>
            <w:rFonts w:hint="eastAsia"/>
            <w:noProof/>
          </w:rPr>
          <w:t>附件一：期货公司股票期权经纪业务人员情况表</w:t>
        </w:r>
        <w:r w:rsidR="00FC3217">
          <w:rPr>
            <w:noProof/>
          </w:rPr>
          <w:tab/>
        </w:r>
        <w:r>
          <w:rPr>
            <w:noProof/>
          </w:rPr>
          <w:fldChar w:fldCharType="begin"/>
        </w:r>
        <w:r w:rsidR="00FC3217">
          <w:rPr>
            <w:noProof/>
          </w:rPr>
          <w:instrText xml:space="preserve"> PAGEREF _Toc23947039 \h </w:instrText>
        </w:r>
        <w:r>
          <w:rPr>
            <w:noProof/>
          </w:rPr>
        </w:r>
        <w:r>
          <w:rPr>
            <w:noProof/>
          </w:rPr>
          <w:fldChar w:fldCharType="separate"/>
        </w:r>
        <w:r w:rsidR="00021BE0">
          <w:rPr>
            <w:noProof/>
          </w:rPr>
          <w:t>100</w:t>
        </w:r>
        <w:r>
          <w:rPr>
            <w:noProof/>
          </w:rPr>
          <w:fldChar w:fldCharType="end"/>
        </w:r>
      </w:hyperlink>
    </w:p>
    <w:p w:rsidR="00FC3217" w:rsidRDefault="00777240" w:rsidP="00FC3217">
      <w:pPr>
        <w:pStyle w:val="21"/>
        <w:tabs>
          <w:tab w:val="right" w:leader="dot" w:pos="8296"/>
        </w:tabs>
        <w:rPr>
          <w:rFonts w:asciiTheme="minorHAnsi" w:eastAsiaTheme="minorEastAsia" w:hAnsiTheme="minorHAnsi" w:cstheme="minorBidi"/>
          <w:noProof/>
        </w:rPr>
      </w:pPr>
      <w:hyperlink w:anchor="_Toc23947040" w:history="1">
        <w:r w:rsidR="00FC3217" w:rsidRPr="005341B5">
          <w:rPr>
            <w:rStyle w:val="a9"/>
            <w:rFonts w:hint="eastAsia"/>
            <w:noProof/>
          </w:rPr>
          <w:t>附件二：适当性综合评估样表</w:t>
        </w:r>
        <w:r w:rsidR="00FC3217">
          <w:rPr>
            <w:noProof/>
          </w:rPr>
          <w:tab/>
        </w:r>
        <w:r>
          <w:rPr>
            <w:noProof/>
          </w:rPr>
          <w:fldChar w:fldCharType="begin"/>
        </w:r>
        <w:r w:rsidR="00FC3217">
          <w:rPr>
            <w:noProof/>
          </w:rPr>
          <w:instrText xml:space="preserve"> PAGEREF _Toc23947040 \h </w:instrText>
        </w:r>
        <w:r>
          <w:rPr>
            <w:noProof/>
          </w:rPr>
        </w:r>
        <w:r>
          <w:rPr>
            <w:noProof/>
          </w:rPr>
          <w:fldChar w:fldCharType="separate"/>
        </w:r>
        <w:r w:rsidR="00021BE0">
          <w:rPr>
            <w:noProof/>
          </w:rPr>
          <w:t>101</w:t>
        </w:r>
        <w:r>
          <w:rPr>
            <w:noProof/>
          </w:rPr>
          <w:fldChar w:fldCharType="end"/>
        </w:r>
      </w:hyperlink>
    </w:p>
    <w:p w:rsidR="00FC3217" w:rsidRDefault="00777240" w:rsidP="00FC3217">
      <w:pPr>
        <w:pStyle w:val="21"/>
        <w:tabs>
          <w:tab w:val="right" w:leader="dot" w:pos="8296"/>
        </w:tabs>
        <w:rPr>
          <w:rFonts w:asciiTheme="minorHAnsi" w:eastAsiaTheme="minorEastAsia" w:hAnsiTheme="minorHAnsi" w:cstheme="minorBidi"/>
          <w:noProof/>
        </w:rPr>
      </w:pPr>
      <w:hyperlink w:anchor="_Toc23947041" w:history="1">
        <w:r w:rsidR="00FC3217" w:rsidRPr="005341B5">
          <w:rPr>
            <w:rStyle w:val="a9"/>
            <w:rFonts w:hint="eastAsia"/>
            <w:noProof/>
          </w:rPr>
          <w:t>附件三：上海证券交易所股票期权经纪业务申请流程图</w:t>
        </w:r>
        <w:r w:rsidR="00FC3217">
          <w:rPr>
            <w:noProof/>
          </w:rPr>
          <w:tab/>
        </w:r>
        <w:r>
          <w:rPr>
            <w:noProof/>
          </w:rPr>
          <w:fldChar w:fldCharType="begin"/>
        </w:r>
        <w:r w:rsidR="00FC3217">
          <w:rPr>
            <w:noProof/>
          </w:rPr>
          <w:instrText xml:space="preserve"> PAGEREF _Toc23947041 \h </w:instrText>
        </w:r>
        <w:r>
          <w:rPr>
            <w:noProof/>
          </w:rPr>
        </w:r>
        <w:r>
          <w:rPr>
            <w:noProof/>
          </w:rPr>
          <w:fldChar w:fldCharType="separate"/>
        </w:r>
        <w:r w:rsidR="00021BE0">
          <w:rPr>
            <w:noProof/>
          </w:rPr>
          <w:t>102</w:t>
        </w:r>
        <w:r>
          <w:rPr>
            <w:noProof/>
          </w:rPr>
          <w:fldChar w:fldCharType="end"/>
        </w:r>
      </w:hyperlink>
    </w:p>
    <w:p w:rsidR="00FC3217" w:rsidRDefault="00777240" w:rsidP="00FC3217">
      <w:pPr>
        <w:pStyle w:val="21"/>
        <w:tabs>
          <w:tab w:val="right" w:leader="dot" w:pos="8296"/>
        </w:tabs>
        <w:rPr>
          <w:rFonts w:asciiTheme="minorHAnsi" w:eastAsiaTheme="minorEastAsia" w:hAnsiTheme="minorHAnsi" w:cstheme="minorBidi"/>
          <w:noProof/>
        </w:rPr>
      </w:pPr>
      <w:hyperlink w:anchor="_Toc23947042" w:history="1">
        <w:r w:rsidR="00FC3217" w:rsidRPr="005341B5">
          <w:rPr>
            <w:rStyle w:val="a9"/>
            <w:rFonts w:hint="eastAsia"/>
            <w:noProof/>
          </w:rPr>
          <w:t>附件四</w:t>
        </w:r>
        <w:r w:rsidR="00FC3217">
          <w:rPr>
            <w:rStyle w:val="a9"/>
            <w:rFonts w:hint="eastAsia"/>
            <w:noProof/>
          </w:rPr>
          <w:t>：</w:t>
        </w:r>
        <w:r w:rsidR="00FC3217" w:rsidRPr="00F96B8A">
          <w:rPr>
            <w:rStyle w:val="a9"/>
            <w:rFonts w:hint="eastAsia"/>
            <w:noProof/>
          </w:rPr>
          <w:t>股票期权业务程序交易报备表</w:t>
        </w:r>
        <w:r w:rsidR="00FC3217">
          <w:rPr>
            <w:noProof/>
          </w:rPr>
          <w:tab/>
        </w:r>
        <w:r>
          <w:rPr>
            <w:noProof/>
          </w:rPr>
          <w:fldChar w:fldCharType="begin"/>
        </w:r>
        <w:r w:rsidR="00FC3217">
          <w:rPr>
            <w:noProof/>
          </w:rPr>
          <w:instrText xml:space="preserve"> PAGEREF _Toc23947042 \h </w:instrText>
        </w:r>
        <w:r>
          <w:rPr>
            <w:noProof/>
          </w:rPr>
        </w:r>
        <w:r>
          <w:rPr>
            <w:noProof/>
          </w:rPr>
          <w:fldChar w:fldCharType="separate"/>
        </w:r>
        <w:r w:rsidR="00021BE0">
          <w:rPr>
            <w:noProof/>
          </w:rPr>
          <w:t>103</w:t>
        </w:r>
        <w:r>
          <w:rPr>
            <w:noProof/>
          </w:rPr>
          <w:fldChar w:fldCharType="end"/>
        </w:r>
      </w:hyperlink>
    </w:p>
    <w:p w:rsidR="00FC3217" w:rsidRDefault="00777240" w:rsidP="00FC3217">
      <w:pPr>
        <w:pStyle w:val="21"/>
        <w:tabs>
          <w:tab w:val="right" w:leader="dot" w:pos="8296"/>
        </w:tabs>
        <w:rPr>
          <w:rFonts w:asciiTheme="minorHAnsi" w:eastAsiaTheme="minorEastAsia" w:hAnsiTheme="minorHAnsi" w:cstheme="minorBidi"/>
          <w:noProof/>
        </w:rPr>
      </w:pPr>
      <w:hyperlink w:anchor="_Toc23947044" w:history="1">
        <w:r w:rsidR="00FC3217" w:rsidRPr="005341B5">
          <w:rPr>
            <w:rStyle w:val="a9"/>
            <w:rFonts w:hint="eastAsia"/>
            <w:noProof/>
          </w:rPr>
          <w:t>附件五：</w:t>
        </w:r>
        <w:r w:rsidR="00FC3217" w:rsidRPr="005341B5">
          <w:rPr>
            <w:rStyle w:val="a9"/>
            <w:noProof/>
          </w:rPr>
          <w:t xml:space="preserve"> </w:t>
        </w:r>
        <w:r w:rsidR="00FC3217" w:rsidRPr="005341B5">
          <w:rPr>
            <w:rStyle w:val="a9"/>
            <w:rFonts w:hint="eastAsia"/>
            <w:noProof/>
          </w:rPr>
          <w:t>大户持仓报告表</w:t>
        </w:r>
        <w:r w:rsidR="00FC3217">
          <w:rPr>
            <w:noProof/>
          </w:rPr>
          <w:tab/>
        </w:r>
        <w:r>
          <w:rPr>
            <w:noProof/>
          </w:rPr>
          <w:fldChar w:fldCharType="begin"/>
        </w:r>
        <w:r w:rsidR="00FC3217">
          <w:rPr>
            <w:noProof/>
          </w:rPr>
          <w:instrText xml:space="preserve"> PAGEREF _Toc23947044 \h </w:instrText>
        </w:r>
        <w:r>
          <w:rPr>
            <w:noProof/>
          </w:rPr>
        </w:r>
        <w:r>
          <w:rPr>
            <w:noProof/>
          </w:rPr>
          <w:fldChar w:fldCharType="separate"/>
        </w:r>
        <w:r w:rsidR="00021BE0">
          <w:rPr>
            <w:noProof/>
          </w:rPr>
          <w:t>106</w:t>
        </w:r>
        <w:r>
          <w:rPr>
            <w:noProof/>
          </w:rPr>
          <w:fldChar w:fldCharType="end"/>
        </w:r>
      </w:hyperlink>
    </w:p>
    <w:p w:rsidR="00FC3217" w:rsidRDefault="00777240" w:rsidP="00FC3217">
      <w:pPr>
        <w:pStyle w:val="21"/>
        <w:tabs>
          <w:tab w:val="right" w:leader="dot" w:pos="8296"/>
        </w:tabs>
        <w:rPr>
          <w:rFonts w:asciiTheme="minorHAnsi" w:eastAsiaTheme="minorEastAsia" w:hAnsiTheme="minorHAnsi" w:cstheme="minorBidi"/>
          <w:noProof/>
        </w:rPr>
      </w:pPr>
      <w:hyperlink w:anchor="_Toc23947045" w:history="1">
        <w:r w:rsidR="00FC3217" w:rsidRPr="005341B5">
          <w:rPr>
            <w:rStyle w:val="a9"/>
            <w:rFonts w:hint="eastAsia"/>
            <w:noProof/>
          </w:rPr>
          <w:t>附件六：中间介绍业务协议范本</w:t>
        </w:r>
        <w:r w:rsidR="00FC3217">
          <w:rPr>
            <w:noProof/>
          </w:rPr>
          <w:tab/>
        </w:r>
        <w:r>
          <w:rPr>
            <w:noProof/>
          </w:rPr>
          <w:fldChar w:fldCharType="begin"/>
        </w:r>
        <w:r w:rsidR="00FC3217">
          <w:rPr>
            <w:noProof/>
          </w:rPr>
          <w:instrText xml:space="preserve"> PAGEREF _Toc23947045 \h </w:instrText>
        </w:r>
        <w:r>
          <w:rPr>
            <w:noProof/>
          </w:rPr>
        </w:r>
        <w:r>
          <w:rPr>
            <w:noProof/>
          </w:rPr>
          <w:fldChar w:fldCharType="separate"/>
        </w:r>
        <w:r w:rsidR="00021BE0">
          <w:rPr>
            <w:noProof/>
          </w:rPr>
          <w:t>108</w:t>
        </w:r>
        <w:r>
          <w:rPr>
            <w:noProof/>
          </w:rPr>
          <w:fldChar w:fldCharType="end"/>
        </w:r>
      </w:hyperlink>
    </w:p>
    <w:p w:rsidR="00FC3217" w:rsidRDefault="00777240" w:rsidP="00FC3217">
      <w:pPr>
        <w:pStyle w:val="21"/>
        <w:tabs>
          <w:tab w:val="right" w:leader="dot" w:pos="8296"/>
        </w:tabs>
        <w:rPr>
          <w:rFonts w:ascii="仿宋_GB2312" w:eastAsia="仿宋_GB2312" w:hAnsi="Times New Roman"/>
          <w:sz w:val="44"/>
          <w:szCs w:val="44"/>
        </w:rPr>
        <w:sectPr w:rsidR="00FC3217">
          <w:footerReference w:type="default" r:id="rId13"/>
          <w:footerReference w:type="first" r:id="rId14"/>
          <w:pgSz w:w="11906" w:h="16838"/>
          <w:pgMar w:top="1440" w:right="1800" w:bottom="1440" w:left="1800" w:header="851" w:footer="992" w:gutter="0"/>
          <w:cols w:space="720"/>
          <w:titlePg/>
          <w:docGrid w:type="lines" w:linePitch="312"/>
        </w:sectPr>
      </w:pPr>
      <w:r>
        <w:rPr>
          <w:rFonts w:hint="eastAsia"/>
        </w:rPr>
        <w:fldChar w:fldCharType="end"/>
      </w:r>
    </w:p>
    <w:p w:rsidR="00FC3217" w:rsidRDefault="00FC3217" w:rsidP="00FC3217">
      <w:pPr>
        <w:widowControl/>
        <w:jc w:val="center"/>
        <w:rPr>
          <w:rFonts w:ascii="仿宋_GB2312" w:eastAsia="仿宋_GB2312" w:hAnsi="Times New Roman"/>
          <w:sz w:val="44"/>
          <w:szCs w:val="44"/>
        </w:rPr>
      </w:pPr>
    </w:p>
    <w:p w:rsidR="00FC3217" w:rsidRDefault="00FC3217" w:rsidP="00FC3217">
      <w:pPr>
        <w:jc w:val="center"/>
        <w:outlineLvl w:val="0"/>
        <w:rPr>
          <w:rFonts w:ascii="Times New Roman" w:eastAsia="黑体" w:hAnsi="Times New Roman"/>
          <w:b/>
          <w:bCs/>
          <w:sz w:val="32"/>
          <w:szCs w:val="24"/>
        </w:rPr>
      </w:pPr>
      <w:bookmarkStart w:id="1" w:name="_Toc408665026"/>
      <w:bookmarkStart w:id="2" w:name="_Toc408749898"/>
      <w:bookmarkStart w:id="3" w:name="_Toc29381"/>
      <w:bookmarkStart w:id="4" w:name="_Toc5087"/>
      <w:bookmarkStart w:id="5" w:name="_Toc7983"/>
      <w:bookmarkStart w:id="6" w:name="_Toc19590"/>
      <w:bookmarkStart w:id="7" w:name="_Toc23946955"/>
      <w:r>
        <w:rPr>
          <w:rFonts w:ascii="Times New Roman" w:eastAsia="黑体" w:hAnsi="Times New Roman" w:hint="eastAsia"/>
          <w:b/>
          <w:bCs/>
          <w:sz w:val="32"/>
          <w:szCs w:val="24"/>
        </w:rPr>
        <w:t>说明及声明</w:t>
      </w:r>
      <w:bookmarkEnd w:id="1"/>
      <w:bookmarkEnd w:id="2"/>
      <w:bookmarkEnd w:id="3"/>
      <w:bookmarkEnd w:id="4"/>
      <w:bookmarkEnd w:id="5"/>
      <w:bookmarkEnd w:id="6"/>
      <w:bookmarkEnd w:id="7"/>
    </w:p>
    <w:p w:rsidR="00FC3217" w:rsidRDefault="00FC3217" w:rsidP="00FC3217">
      <w:pPr>
        <w:ind w:firstLineChars="189" w:firstLine="529"/>
        <w:rPr>
          <w:rFonts w:ascii="仿宋_GB2312" w:eastAsia="仿宋_GB2312" w:hAnsi="宋体"/>
          <w:sz w:val="28"/>
          <w:szCs w:val="28"/>
        </w:rPr>
      </w:pPr>
      <w:r>
        <w:rPr>
          <w:rFonts w:ascii="仿宋_GB2312" w:eastAsia="仿宋_GB2312" w:hAnsi="宋体" w:hint="eastAsia"/>
          <w:sz w:val="28"/>
          <w:szCs w:val="28"/>
        </w:rPr>
        <w:t>为便于期货公司参与上海证券交易所（以下简称“本所”）股票期权业务，规范开展股票期权经纪业务，有效防范业务风险，根据《上海证券交易所股票期权试点交易规则》(以下简称“《交易规则》”)、《上海证券交易所股票期权试点投资者适当性管理指引》、《上海证券交易所、中国证券登记结算有限责任公司股票期权试点风险控制管理办法》、《中国证券登记结算有限责任公司关于上海证券交易所股票期权试点结算规则》等，制定本指南，供期货公司开展股票期权经纪业务时参考。本指南如有内容与本所股票期权业务规则不一致，以本所股票期权业务规则为准。</w:t>
      </w:r>
    </w:p>
    <w:p w:rsidR="00FC3217" w:rsidRDefault="00FC3217" w:rsidP="00FC3217">
      <w:pPr>
        <w:pStyle w:val="Default"/>
        <w:ind w:firstLineChars="200" w:firstLine="560"/>
        <w:rPr>
          <w:rFonts w:ascii="仿宋_GB2312" w:eastAsia="仿宋_GB2312" w:hAnsi="宋体" w:cs="Times New Roman"/>
          <w:color w:val="auto"/>
          <w:kern w:val="2"/>
          <w:sz w:val="28"/>
          <w:szCs w:val="28"/>
        </w:rPr>
      </w:pPr>
      <w:r>
        <w:rPr>
          <w:rFonts w:ascii="仿宋_GB2312" w:eastAsia="仿宋_GB2312" w:hAnsi="宋体" w:cs="Times New Roman" w:hint="eastAsia"/>
          <w:color w:val="auto"/>
          <w:kern w:val="2"/>
          <w:sz w:val="28"/>
          <w:szCs w:val="28"/>
        </w:rPr>
        <w:t>期货公司与客户之间经纪业务关系以其与客户签订的经纪合同中约定为准，本指南不作为处理相关纠纷的依据。</w:t>
      </w:r>
      <w:r>
        <w:rPr>
          <w:rFonts w:ascii="仿宋_GB2312" w:eastAsia="仿宋_GB2312" w:hint="eastAsia"/>
          <w:sz w:val="28"/>
          <w:szCs w:val="28"/>
        </w:rPr>
        <w:t>上交所将根据股票期权业务的进展情况，对本指南进行持续更新和调整。</w:t>
      </w:r>
    </w:p>
    <w:p w:rsidR="00FC3217" w:rsidRDefault="00FC3217" w:rsidP="00FC3217">
      <w:pPr>
        <w:jc w:val="center"/>
        <w:outlineLvl w:val="0"/>
        <w:rPr>
          <w:rFonts w:ascii="Times New Roman" w:eastAsia="黑体" w:hAnsi="Times New Roman"/>
          <w:b/>
          <w:bCs/>
          <w:sz w:val="30"/>
          <w:szCs w:val="24"/>
        </w:rPr>
      </w:pPr>
      <w:bookmarkStart w:id="8" w:name="_Toc406436498"/>
      <w:bookmarkStart w:id="9" w:name="_Toc406438871"/>
      <w:bookmarkStart w:id="10" w:name="_Toc406438947"/>
      <w:bookmarkStart w:id="11" w:name="_Toc406439132"/>
    </w:p>
    <w:p w:rsidR="00FC3217" w:rsidRDefault="00FC3217" w:rsidP="00FC3217">
      <w:pPr>
        <w:pStyle w:val="2"/>
        <w:ind w:firstLine="643"/>
        <w:jc w:val="center"/>
        <w:rPr>
          <w:rFonts w:ascii="黑体" w:eastAsia="黑体" w:hAnsi="黑体"/>
          <w:sz w:val="32"/>
        </w:rPr>
      </w:pPr>
      <w:bookmarkStart w:id="12" w:name="_Toc408300961"/>
      <w:bookmarkStart w:id="13" w:name="_Toc408749899"/>
      <w:bookmarkStart w:id="14" w:name="_Toc30005"/>
      <w:bookmarkStart w:id="15" w:name="_Toc12723"/>
      <w:bookmarkStart w:id="16" w:name="_Toc28186"/>
      <w:bookmarkStart w:id="17" w:name="_Toc5608"/>
      <w:bookmarkStart w:id="18" w:name="_Toc23946956"/>
      <w:r>
        <w:rPr>
          <w:rFonts w:ascii="黑体" w:eastAsia="黑体" w:hAnsi="黑体" w:hint="eastAsia"/>
          <w:sz w:val="32"/>
        </w:rPr>
        <w:t>第一章</w:t>
      </w:r>
      <w:r>
        <w:rPr>
          <w:rFonts w:ascii="黑体" w:eastAsia="黑体" w:hAnsi="黑体"/>
          <w:sz w:val="32"/>
        </w:rPr>
        <w:t xml:space="preserve"> </w:t>
      </w:r>
      <w:r>
        <w:rPr>
          <w:rFonts w:ascii="黑体" w:eastAsia="黑体" w:hAnsi="黑体" w:hint="eastAsia"/>
          <w:sz w:val="32"/>
        </w:rPr>
        <w:t>总体要求</w:t>
      </w:r>
      <w:bookmarkEnd w:id="8"/>
      <w:bookmarkEnd w:id="9"/>
      <w:bookmarkEnd w:id="10"/>
      <w:bookmarkEnd w:id="11"/>
      <w:bookmarkEnd w:id="12"/>
      <w:bookmarkEnd w:id="13"/>
      <w:bookmarkEnd w:id="14"/>
      <w:bookmarkEnd w:id="15"/>
      <w:bookmarkEnd w:id="16"/>
      <w:bookmarkEnd w:id="17"/>
      <w:bookmarkEnd w:id="18"/>
    </w:p>
    <w:p w:rsidR="00FC3217" w:rsidRDefault="00FC3217" w:rsidP="00FC3217">
      <w:pPr>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期货公司应当根据上海证券交易所（以下简称“本所”）、中国证券登记结算有限责任公司（以下简称“中国结算”）股票期权业务相关规则，制定股票期权经纪业务交易、结算、风险控制等内部制度。期货公司应当合理设置期权业务的组织架构，组织架构和相关岗位的设置须考虑到期权业务和相关现货业务方面的隔离，明确期权经纪业</w:t>
      </w:r>
      <w:r>
        <w:rPr>
          <w:rFonts w:ascii="仿宋_GB2312" w:eastAsia="仿宋_GB2312" w:hAnsi="宋体" w:hint="eastAsia"/>
          <w:color w:val="000000"/>
          <w:sz w:val="28"/>
          <w:szCs w:val="28"/>
        </w:rPr>
        <w:lastRenderedPageBreak/>
        <w:t>务部门和各相关部门、分支机构的职责分工，并恰当安排股票期权业务相关岗位、</w:t>
      </w:r>
      <w:r>
        <w:rPr>
          <w:rFonts w:ascii="仿宋_GB2312" w:eastAsia="仿宋_GB2312" w:hAnsi="宋体" w:hint="eastAsia"/>
          <w:sz w:val="28"/>
          <w:szCs w:val="28"/>
        </w:rPr>
        <w:t>配备相关人员</w:t>
      </w:r>
      <w:r>
        <w:rPr>
          <w:rFonts w:ascii="仿宋_GB2312" w:eastAsia="仿宋_GB2312" w:hAnsi="宋体" w:hint="eastAsia"/>
          <w:color w:val="000000"/>
          <w:sz w:val="28"/>
          <w:szCs w:val="28"/>
        </w:rPr>
        <w:t>。</w:t>
      </w:r>
    </w:p>
    <w:p w:rsidR="00FC3217" w:rsidRDefault="00FC3217" w:rsidP="00FC3217">
      <w:pPr>
        <w:pStyle w:val="2"/>
        <w:ind w:firstLine="562"/>
      </w:pPr>
      <w:bookmarkStart w:id="19" w:name="_Toc406438872"/>
      <w:bookmarkStart w:id="20" w:name="_Toc408300962"/>
      <w:bookmarkStart w:id="21" w:name="_Toc408749900"/>
      <w:bookmarkStart w:id="22" w:name="_Toc1486"/>
      <w:bookmarkStart w:id="23" w:name="_Toc5786"/>
      <w:bookmarkStart w:id="24" w:name="_Toc14453"/>
      <w:bookmarkStart w:id="25" w:name="_Toc1715"/>
      <w:bookmarkStart w:id="26" w:name="_Toc23946957"/>
      <w:r>
        <w:rPr>
          <w:rFonts w:hint="eastAsia"/>
        </w:rPr>
        <w:t>一、组织架构和职责分工</w:t>
      </w:r>
      <w:bookmarkEnd w:id="19"/>
      <w:bookmarkEnd w:id="20"/>
      <w:bookmarkEnd w:id="21"/>
      <w:bookmarkEnd w:id="22"/>
      <w:bookmarkEnd w:id="23"/>
      <w:bookmarkEnd w:id="24"/>
      <w:bookmarkEnd w:id="25"/>
      <w:bookmarkEnd w:id="26"/>
    </w:p>
    <w:p w:rsidR="00FC3217" w:rsidRDefault="00FC3217" w:rsidP="00FC3217">
      <w:pPr>
        <w:widowControl/>
        <w:ind w:firstLineChars="200" w:firstLine="562"/>
        <w:jc w:val="left"/>
        <w:rPr>
          <w:rFonts w:ascii="仿宋_GB2312" w:eastAsia="仿宋_GB2312" w:hAnsi="宋体" w:cs="宋体"/>
          <w:b/>
          <w:color w:val="000000"/>
          <w:kern w:val="0"/>
          <w:sz w:val="28"/>
          <w:szCs w:val="28"/>
        </w:rPr>
      </w:pPr>
      <w:bookmarkStart w:id="27" w:name="_Toc406438873"/>
      <w:bookmarkStart w:id="28" w:name="_Toc408300963"/>
      <w:r>
        <w:rPr>
          <w:rFonts w:ascii="仿宋_GB2312" w:eastAsia="仿宋_GB2312" w:hAnsi="宋体" w:cs="宋体" w:hint="eastAsia"/>
          <w:b/>
          <w:color w:val="000000"/>
          <w:kern w:val="0"/>
          <w:sz w:val="28"/>
          <w:szCs w:val="28"/>
        </w:rPr>
        <w:t>（一）公司总部</w:t>
      </w:r>
      <w:bookmarkEnd w:id="27"/>
      <w:bookmarkEnd w:id="28"/>
    </w:p>
    <w:p w:rsidR="00FC3217" w:rsidRDefault="00FC3217" w:rsidP="00FC3217">
      <w:pPr>
        <w:widowControl/>
        <w:ind w:firstLineChars="200" w:firstLine="56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股票期权经纪业务由公司</w:t>
      </w:r>
      <w:r>
        <w:rPr>
          <w:rFonts w:ascii="仿宋_GB2312" w:eastAsia="仿宋_GB2312" w:hAnsi="宋体" w:cs="宋体"/>
          <w:color w:val="000000"/>
          <w:kern w:val="0"/>
          <w:sz w:val="28"/>
          <w:szCs w:val="28"/>
        </w:rPr>
        <w:t>总部统一集中管理</w:t>
      </w:r>
      <w:r>
        <w:rPr>
          <w:rFonts w:ascii="仿宋_GB2312" w:eastAsia="仿宋_GB2312" w:hAnsi="宋体" w:cs="宋体" w:hint="eastAsia"/>
          <w:color w:val="000000"/>
          <w:kern w:val="0"/>
          <w:sz w:val="28"/>
          <w:szCs w:val="28"/>
        </w:rPr>
        <w:t>。公司总部需要指定负责股票期权经纪业务的部门（一级或二级部门），部门职责可包括但不限于股票期权经纪业务制度与流程制定、业务统筹规划以及与股票期权业务密切相关的运营管理、风险管理、投资者适当性管理、客户关系管理、投资者教育等，并对分支机构开展股票期权业务进行管理和持续督导。公司总部应设立独立的证券经纪业务部门（一级或二级部门）专门从事股票期权相关现货业务。</w:t>
      </w:r>
    </w:p>
    <w:p w:rsidR="00FC3217" w:rsidRDefault="00FC3217" w:rsidP="00FC3217">
      <w:pPr>
        <w:widowControl/>
        <w:ind w:firstLineChars="200" w:firstLine="56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公司总部其他相关部门应承担与股票期权经纪业务相关的职责，包括但不限于合规管理、风险控制、资金清算、技术系统的开发与维护等。</w:t>
      </w:r>
    </w:p>
    <w:p w:rsidR="00FC3217" w:rsidRDefault="00FC3217" w:rsidP="00FC3217">
      <w:pPr>
        <w:widowControl/>
        <w:ind w:firstLineChars="200" w:firstLine="56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期货公司从事股票期权经纪业务的，应当建立健全并有效执行信息隔离制度，防止敏感信息的不当流动和使用，严格防范</w:t>
      </w:r>
      <w:r>
        <w:rPr>
          <w:rFonts w:ascii="仿宋_GB2312" w:eastAsia="仿宋_GB2312" w:hAnsi="宋体" w:cs="宋体" w:hint="eastAsia"/>
          <w:kern w:val="0"/>
          <w:sz w:val="28"/>
          <w:szCs w:val="28"/>
        </w:rPr>
        <w:t>损害客户利益</w:t>
      </w:r>
      <w:r>
        <w:rPr>
          <w:rFonts w:ascii="仿宋_GB2312" w:eastAsia="仿宋_GB2312" w:hAnsi="宋体" w:cs="宋体" w:hint="eastAsia"/>
          <w:color w:val="000000"/>
          <w:kern w:val="0"/>
          <w:sz w:val="28"/>
          <w:szCs w:val="28"/>
        </w:rPr>
        <w:t>。</w:t>
      </w:r>
    </w:p>
    <w:p w:rsidR="00FC3217" w:rsidRDefault="00FC3217" w:rsidP="00FC3217">
      <w:pPr>
        <w:widowControl/>
        <w:ind w:firstLineChars="200" w:firstLine="562"/>
        <w:jc w:val="left"/>
        <w:rPr>
          <w:rFonts w:ascii="仿宋_GB2312" w:eastAsia="仿宋_GB2312" w:hAnsi="宋体" w:cs="宋体"/>
          <w:b/>
          <w:color w:val="000000"/>
          <w:kern w:val="0"/>
          <w:sz w:val="28"/>
          <w:szCs w:val="28"/>
        </w:rPr>
      </w:pPr>
      <w:bookmarkStart w:id="29" w:name="_Toc406438874"/>
      <w:bookmarkStart w:id="30" w:name="_Toc408300964"/>
      <w:r>
        <w:rPr>
          <w:rFonts w:ascii="仿宋_GB2312" w:eastAsia="仿宋_GB2312" w:hAnsi="宋体" w:cs="宋体" w:hint="eastAsia"/>
          <w:b/>
          <w:color w:val="000000"/>
          <w:kern w:val="0"/>
          <w:sz w:val="28"/>
          <w:szCs w:val="28"/>
        </w:rPr>
        <w:t>（二）分支机构</w:t>
      </w:r>
      <w:bookmarkEnd w:id="29"/>
      <w:bookmarkEnd w:id="30"/>
    </w:p>
    <w:p w:rsidR="00FC3217" w:rsidRDefault="00FC3217" w:rsidP="00FC3217">
      <w:pPr>
        <w:widowControl/>
        <w:ind w:firstLineChars="200" w:firstLine="56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分支机构应在公司授权范围内规范开展股票期权经纪业务，负责本分支机构投资者期权和证券相关账户开立与日常管理、信息收集、</w:t>
      </w:r>
      <w:r>
        <w:rPr>
          <w:rFonts w:ascii="仿宋_GB2312" w:eastAsia="仿宋_GB2312" w:hAnsi="宋体" w:cs="宋体" w:hint="eastAsia"/>
          <w:color w:val="000000"/>
          <w:kern w:val="0"/>
          <w:sz w:val="28"/>
          <w:szCs w:val="28"/>
        </w:rPr>
        <w:lastRenderedPageBreak/>
        <w:t>投资者教育、投诉处理等工作，并协助总部落实本分支机构投资者适当性管理、档案管理、风险管理等工作。</w:t>
      </w:r>
    </w:p>
    <w:p w:rsidR="00FC3217" w:rsidRDefault="00FC3217" w:rsidP="00FC3217">
      <w:pPr>
        <w:pStyle w:val="2"/>
        <w:ind w:firstLine="562"/>
      </w:pPr>
      <w:bookmarkStart w:id="31" w:name="_Toc406438875"/>
      <w:bookmarkStart w:id="32" w:name="_Toc408300965"/>
      <w:bookmarkStart w:id="33" w:name="_Toc408749901"/>
      <w:bookmarkStart w:id="34" w:name="_Toc31415"/>
      <w:bookmarkStart w:id="35" w:name="_Toc17520"/>
      <w:bookmarkStart w:id="36" w:name="_Toc17278"/>
      <w:bookmarkStart w:id="37" w:name="_Toc2155"/>
      <w:bookmarkStart w:id="38" w:name="_Toc23946958"/>
      <w:r>
        <w:rPr>
          <w:rFonts w:hint="eastAsia"/>
        </w:rPr>
        <w:t>二、岗位设置</w:t>
      </w:r>
      <w:bookmarkEnd w:id="31"/>
      <w:bookmarkEnd w:id="32"/>
      <w:bookmarkEnd w:id="33"/>
      <w:bookmarkEnd w:id="34"/>
      <w:bookmarkEnd w:id="35"/>
      <w:bookmarkEnd w:id="36"/>
      <w:bookmarkEnd w:id="37"/>
      <w:bookmarkEnd w:id="38"/>
    </w:p>
    <w:p w:rsidR="00FC3217" w:rsidRDefault="00FC3217" w:rsidP="00FC3217">
      <w:pPr>
        <w:ind w:firstLineChars="200" w:firstLine="560"/>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期货公司应当恰当安排股票期权经纪业务相关岗位，明确岗位职能，建立岗位责任制度。</w:t>
      </w:r>
    </w:p>
    <w:p w:rsidR="00FC3217" w:rsidRDefault="00FC3217" w:rsidP="00FC3217">
      <w:pPr>
        <w:widowControl/>
        <w:ind w:firstLineChars="200" w:firstLine="562"/>
        <w:jc w:val="left"/>
        <w:rPr>
          <w:rFonts w:ascii="仿宋_GB2312" w:eastAsia="仿宋_GB2312" w:hAnsi="宋体" w:cs="宋体"/>
          <w:b/>
          <w:color w:val="000000"/>
          <w:kern w:val="0"/>
          <w:sz w:val="28"/>
          <w:szCs w:val="28"/>
        </w:rPr>
      </w:pPr>
      <w:bookmarkStart w:id="39" w:name="_Toc406438876"/>
      <w:bookmarkStart w:id="40" w:name="_Toc408300966"/>
      <w:r>
        <w:rPr>
          <w:rFonts w:ascii="仿宋_GB2312" w:eastAsia="仿宋_GB2312" w:hAnsi="宋体" w:cs="宋体" w:hint="eastAsia"/>
          <w:b/>
          <w:color w:val="000000"/>
          <w:kern w:val="0"/>
          <w:sz w:val="28"/>
          <w:szCs w:val="28"/>
        </w:rPr>
        <w:t>（一）公司总部</w:t>
      </w:r>
      <w:bookmarkEnd w:id="39"/>
      <w:bookmarkEnd w:id="40"/>
    </w:p>
    <w:p w:rsidR="00FC3217" w:rsidRDefault="00FC3217" w:rsidP="00FC3217">
      <w:pPr>
        <w:widowControl/>
        <w:spacing w:before="120" w:after="120"/>
        <w:ind w:firstLine="555"/>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股票期权经纪业务部门建议设立包括但不限于如下岗位</w:t>
      </w:r>
      <w:r>
        <w:rPr>
          <w:rFonts w:ascii="仿宋_GB2312" w:eastAsia="仿宋_GB2312" w:hAnsi="宋体" w:cs="宋体"/>
          <w:color w:val="000000"/>
          <w:kern w:val="0"/>
          <w:sz w:val="28"/>
          <w:szCs w:val="28"/>
        </w:rPr>
        <w:t>:</w:t>
      </w:r>
    </w:p>
    <w:p w:rsidR="00FC3217" w:rsidRDefault="00FC3217" w:rsidP="00FC3217">
      <w:pPr>
        <w:widowControl/>
        <w:numPr>
          <w:ilvl w:val="0"/>
          <w:numId w:val="1"/>
        </w:numPr>
        <w:ind w:firstLineChars="200" w:firstLine="56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客户适当性管理岗，主要职责包括投资者适当性综合评估、分级管理、额度核定与调整、持续适当性评估等；</w:t>
      </w:r>
    </w:p>
    <w:p w:rsidR="00FC3217" w:rsidRDefault="00FC3217" w:rsidP="00FC3217">
      <w:pPr>
        <w:widowControl/>
        <w:spacing w:before="120" w:after="120"/>
        <w:ind w:firstLineChars="202" w:firstLine="566"/>
        <w:jc w:val="left"/>
        <w:rPr>
          <w:rFonts w:ascii="仿宋_GB2312" w:eastAsia="仿宋_GB2312" w:hAnsi="宋体" w:cs="宋体"/>
          <w:color w:val="000000"/>
          <w:kern w:val="0"/>
          <w:sz w:val="28"/>
          <w:szCs w:val="28"/>
        </w:rPr>
      </w:pPr>
      <w:r>
        <w:rPr>
          <w:rFonts w:ascii="仿宋_GB2312" w:eastAsia="仿宋_GB2312" w:hAnsi="宋体" w:cs="宋体" w:hint="eastAsia"/>
          <w:kern w:val="0"/>
          <w:sz w:val="28"/>
          <w:szCs w:val="28"/>
        </w:rPr>
        <w:t>2、合规与风险管理岗，主要职责包括对公司期权业务合规审查、风险总控管理等；</w:t>
      </w:r>
    </w:p>
    <w:p w:rsidR="00FC3217" w:rsidRDefault="00FC3217" w:rsidP="00FC3217">
      <w:pPr>
        <w:widowControl/>
        <w:ind w:firstLineChars="200" w:firstLine="56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3、风险监控岗，主要职责包括对盘中交易风险、保证金风险、持仓风险等实时动态监控等；</w:t>
      </w:r>
    </w:p>
    <w:p w:rsidR="00FC3217" w:rsidRDefault="00FC3217" w:rsidP="00FC3217">
      <w:pPr>
        <w:widowControl/>
        <w:ind w:firstLineChars="200" w:firstLine="56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4、风险处置岗，主要职责包括风险警示与平仓通知、强行平仓、违约处置等；</w:t>
      </w:r>
    </w:p>
    <w:p w:rsidR="00FC3217" w:rsidRDefault="00FC3217" w:rsidP="00FC3217">
      <w:pPr>
        <w:widowControl/>
        <w:ind w:firstLineChars="200" w:firstLine="56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5、运行管理岗，主要职责包括业务流程管理、合约管理、参数管理等；</w:t>
      </w:r>
    </w:p>
    <w:p w:rsidR="00FC3217" w:rsidRDefault="00FC3217" w:rsidP="00FC3217">
      <w:pPr>
        <w:widowControl/>
        <w:ind w:firstLineChars="200" w:firstLine="56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6、投资者教育岗，主要职责包括统筹、规划、安排全公司及各分支机构的期权投资者教育工作等；</w:t>
      </w:r>
    </w:p>
    <w:p w:rsidR="00FC3217" w:rsidRDefault="00FC3217" w:rsidP="00FC3217">
      <w:pPr>
        <w:widowControl/>
        <w:ind w:firstLineChars="200" w:firstLine="56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lastRenderedPageBreak/>
        <w:t>7、资金管理岗，主要职责包括资金盯市、（发起）资金调度、客户资金流动性分析与管理、客户保证金缺口计算与垫资管理等。</w:t>
      </w:r>
    </w:p>
    <w:p w:rsidR="00FC3217" w:rsidRDefault="00FC3217" w:rsidP="00FC3217">
      <w:pPr>
        <w:widowControl/>
        <w:ind w:firstLineChars="200" w:firstLine="560"/>
        <w:jc w:val="left"/>
        <w:rPr>
          <w:rFonts w:ascii="仿宋_GB2312" w:eastAsia="仿宋_GB2312" w:hAnsi="Times New Roman"/>
          <w:color w:val="000000"/>
          <w:sz w:val="28"/>
          <w:szCs w:val="28"/>
        </w:rPr>
      </w:pPr>
      <w:r>
        <w:rPr>
          <w:rFonts w:ascii="仿宋_GB2312" w:eastAsia="仿宋_GB2312" w:hAnsi="Times New Roman" w:hint="eastAsia"/>
          <w:color w:val="000000"/>
          <w:sz w:val="28"/>
          <w:szCs w:val="28"/>
        </w:rPr>
        <w:t>对重点岗位如风险监控岗、风险处置岗、运行管理岗等，建立备岗制度。</w:t>
      </w:r>
    </w:p>
    <w:p w:rsidR="00FC3217" w:rsidRDefault="00FC3217" w:rsidP="00FC3217">
      <w:pPr>
        <w:widowControl/>
        <w:ind w:firstLineChars="200" w:firstLine="560"/>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总部其他相关部门应就期权经纪业务的风险管理、合规管理、清算与资金管理、技术开发等设立相关岗位。</w:t>
      </w:r>
    </w:p>
    <w:p w:rsidR="00FC3217" w:rsidRDefault="00FC3217" w:rsidP="00FC3217">
      <w:pPr>
        <w:ind w:firstLineChars="200" w:firstLine="560"/>
        <w:rPr>
          <w:rFonts w:ascii="仿宋_GB2312" w:eastAsia="仿宋_GB2312" w:hAnsi="Times New Roman"/>
          <w:color w:val="000000"/>
          <w:sz w:val="28"/>
          <w:szCs w:val="28"/>
        </w:rPr>
      </w:pPr>
      <w:r>
        <w:rPr>
          <w:rFonts w:ascii="仿宋_GB2312" w:eastAsia="仿宋_GB2312" w:hAnsi="Times New Roman" w:hint="eastAsia"/>
          <w:color w:val="000000"/>
          <w:sz w:val="28"/>
          <w:szCs w:val="28"/>
        </w:rPr>
        <w:t>股票期权经纪业务部门与总部其他相关部门应明确各岗位的权责关系，保障期权经纪业务有序、平稳开展。</w:t>
      </w:r>
    </w:p>
    <w:p w:rsidR="00FC3217" w:rsidRDefault="00FC3217" w:rsidP="00FC3217">
      <w:pPr>
        <w:ind w:firstLineChars="200" w:firstLine="560"/>
        <w:rPr>
          <w:rFonts w:ascii="仿宋_GB2312" w:eastAsia="仿宋_GB2312" w:hAnsi="Times New Roman"/>
          <w:color w:val="000000"/>
          <w:sz w:val="28"/>
          <w:szCs w:val="28"/>
        </w:rPr>
      </w:pPr>
      <w:r>
        <w:rPr>
          <w:rFonts w:ascii="仿宋_GB2312" w:eastAsia="仿宋_GB2312" w:hAnsi="Times New Roman" w:hint="eastAsia"/>
          <w:color w:val="000000"/>
          <w:sz w:val="28"/>
          <w:szCs w:val="28"/>
        </w:rPr>
        <w:t>证券经纪业务部门应当做好标的证券的管理工作，岗位设置包括但不限于运行管理岗、系统维护岗、资金管理岗等，确保与股票期权备兑开仓以及行权相关的证券现货经纪业务平稳、有序开展。</w:t>
      </w:r>
    </w:p>
    <w:p w:rsidR="00FC3217" w:rsidRDefault="00FC3217" w:rsidP="00FC3217">
      <w:pPr>
        <w:widowControl/>
        <w:ind w:firstLineChars="200" w:firstLine="562"/>
        <w:jc w:val="left"/>
        <w:rPr>
          <w:rFonts w:ascii="仿宋_GB2312" w:eastAsia="仿宋_GB2312" w:hAnsi="宋体" w:cs="宋体"/>
          <w:b/>
          <w:color w:val="000000"/>
          <w:kern w:val="0"/>
          <w:sz w:val="28"/>
          <w:szCs w:val="28"/>
        </w:rPr>
      </w:pPr>
      <w:bookmarkStart w:id="41" w:name="_Toc406438877"/>
      <w:bookmarkStart w:id="42" w:name="_Toc408300967"/>
      <w:r>
        <w:rPr>
          <w:rFonts w:ascii="仿宋_GB2312" w:eastAsia="仿宋_GB2312" w:hAnsi="宋体" w:cs="宋体" w:hint="eastAsia"/>
          <w:b/>
          <w:color w:val="000000"/>
          <w:kern w:val="0"/>
          <w:sz w:val="28"/>
          <w:szCs w:val="28"/>
        </w:rPr>
        <w:t>（二）分支机构</w:t>
      </w:r>
      <w:bookmarkEnd w:id="41"/>
      <w:bookmarkEnd w:id="42"/>
    </w:p>
    <w:p w:rsidR="00FC3217" w:rsidRDefault="00FC3217" w:rsidP="00FC3217">
      <w:pPr>
        <w:ind w:firstLineChars="200" w:firstLine="560"/>
        <w:rPr>
          <w:rFonts w:ascii="仿宋_GB2312" w:eastAsia="仿宋_GB2312" w:hAnsi="Times New Roman"/>
          <w:color w:val="000000"/>
          <w:sz w:val="28"/>
          <w:szCs w:val="28"/>
        </w:rPr>
      </w:pPr>
      <w:r>
        <w:rPr>
          <w:rFonts w:ascii="仿宋_GB2312" w:eastAsia="仿宋_GB2312" w:hAnsi="Times New Roman" w:hint="eastAsia"/>
          <w:color w:val="000000"/>
          <w:sz w:val="28"/>
          <w:szCs w:val="28"/>
        </w:rPr>
        <w:t>分支机构</w:t>
      </w:r>
      <w:r>
        <w:rPr>
          <w:rFonts w:ascii="仿宋_GB2312" w:eastAsia="仿宋_GB2312" w:hAnsi="宋体" w:cs="宋体" w:hint="eastAsia"/>
          <w:color w:val="000000"/>
          <w:kern w:val="0"/>
          <w:sz w:val="28"/>
          <w:szCs w:val="28"/>
        </w:rPr>
        <w:t>应指定期权和证券经纪业务负责人，可</w:t>
      </w:r>
      <w:r>
        <w:rPr>
          <w:rFonts w:ascii="仿宋_GB2312" w:eastAsia="仿宋_GB2312" w:hAnsi="宋体" w:cs="宋体" w:hint="eastAsia"/>
          <w:kern w:val="0"/>
          <w:sz w:val="28"/>
          <w:szCs w:val="28"/>
        </w:rPr>
        <w:t>根据需要</w:t>
      </w:r>
      <w:r>
        <w:rPr>
          <w:rFonts w:ascii="仿宋_GB2312" w:eastAsia="仿宋_GB2312" w:hAnsi="宋体" w:cs="宋体" w:hint="eastAsia"/>
          <w:color w:val="000000"/>
          <w:kern w:val="0"/>
          <w:sz w:val="28"/>
          <w:szCs w:val="28"/>
        </w:rPr>
        <w:t>设立股票期权与现货开户岗、</w:t>
      </w:r>
      <w:r>
        <w:rPr>
          <w:rFonts w:ascii="仿宋_GB2312" w:eastAsia="仿宋_GB2312" w:hAnsi="Times New Roman" w:hint="eastAsia"/>
          <w:color w:val="000000"/>
          <w:sz w:val="28"/>
          <w:szCs w:val="28"/>
        </w:rPr>
        <w:t>运营岗、合规与风险管理岗、</w:t>
      </w:r>
      <w:r>
        <w:rPr>
          <w:rFonts w:ascii="仿宋_GB2312" w:eastAsia="仿宋_GB2312" w:hAnsi="宋体" w:cs="宋体" w:hint="eastAsia"/>
          <w:color w:val="000000"/>
          <w:kern w:val="0"/>
          <w:sz w:val="28"/>
          <w:szCs w:val="28"/>
        </w:rPr>
        <w:t>投资者教育培训岗、客户回访岗、客户投诉处理岗</w:t>
      </w:r>
      <w:r>
        <w:rPr>
          <w:rFonts w:ascii="仿宋_GB2312" w:eastAsia="仿宋_GB2312" w:hAnsi="Times New Roman" w:hint="eastAsia"/>
          <w:color w:val="000000"/>
          <w:sz w:val="28"/>
          <w:szCs w:val="28"/>
        </w:rPr>
        <w:t>等岗位。</w:t>
      </w:r>
      <w:r>
        <w:rPr>
          <w:rFonts w:ascii="仿宋_GB2312" w:eastAsia="仿宋_GB2312" w:hAnsi="宋体" w:cs="宋体" w:hint="eastAsia"/>
          <w:color w:val="000000"/>
          <w:kern w:val="0"/>
          <w:sz w:val="28"/>
          <w:szCs w:val="28"/>
        </w:rPr>
        <w:t>开户岗和运营岗等岗位建立备岗机制。</w:t>
      </w:r>
      <w:r>
        <w:rPr>
          <w:rFonts w:ascii="仿宋_GB2312" w:eastAsia="仿宋_GB2312" w:hAnsi="Times New Roman" w:hint="eastAsia"/>
          <w:color w:val="000000"/>
          <w:sz w:val="28"/>
          <w:szCs w:val="28"/>
        </w:rPr>
        <w:t>分支机构可根据实际情况合理设置兼岗。</w:t>
      </w:r>
    </w:p>
    <w:p w:rsidR="00FC3217" w:rsidRDefault="00FC3217" w:rsidP="00FC3217">
      <w:pPr>
        <w:pStyle w:val="2"/>
        <w:ind w:firstLine="562"/>
      </w:pPr>
      <w:bookmarkStart w:id="43" w:name="_Toc406438878"/>
      <w:bookmarkStart w:id="44" w:name="_Toc408300968"/>
      <w:bookmarkStart w:id="45" w:name="_Toc408749902"/>
      <w:bookmarkStart w:id="46" w:name="_Toc7308"/>
      <w:bookmarkStart w:id="47" w:name="_Toc7744"/>
      <w:bookmarkStart w:id="48" w:name="_Toc30152"/>
      <w:bookmarkStart w:id="49" w:name="_Toc5669"/>
      <w:bookmarkStart w:id="50" w:name="_Toc23946959"/>
      <w:r>
        <w:rPr>
          <w:rFonts w:hint="eastAsia"/>
        </w:rPr>
        <w:t>三、制度与流程</w:t>
      </w:r>
      <w:bookmarkEnd w:id="43"/>
      <w:bookmarkEnd w:id="44"/>
      <w:bookmarkEnd w:id="45"/>
      <w:bookmarkEnd w:id="46"/>
      <w:bookmarkEnd w:id="47"/>
      <w:bookmarkEnd w:id="48"/>
      <w:bookmarkEnd w:id="49"/>
      <w:bookmarkEnd w:id="50"/>
    </w:p>
    <w:p w:rsidR="00FC3217" w:rsidRDefault="00FC3217" w:rsidP="00FC3217">
      <w:pPr>
        <w:ind w:firstLineChars="200" w:firstLine="560"/>
        <w:rPr>
          <w:rFonts w:ascii="仿宋_GB2312" w:eastAsia="仿宋_GB2312" w:hAnsi="Times New Roman"/>
          <w:color w:val="000000"/>
          <w:sz w:val="28"/>
          <w:szCs w:val="28"/>
        </w:rPr>
      </w:pPr>
      <w:r>
        <w:rPr>
          <w:rFonts w:ascii="仿宋_GB2312" w:eastAsia="仿宋_GB2312" w:hAnsi="Times New Roman" w:hint="eastAsia"/>
          <w:color w:val="000000"/>
          <w:sz w:val="28"/>
          <w:szCs w:val="28"/>
        </w:rPr>
        <w:t>期货公司应制定健全的业务制度和完备的业务流程，涵盖股票期权和相关现货业务的经纪业务管理、交易管理、客户适当性评估以及分级管理、结算、风险管理、内部控制制度、投资者教育、合规管理、分支机构相关业务管理、分支机构相关内部控制等各个环节。</w:t>
      </w:r>
    </w:p>
    <w:p w:rsidR="00FC3217" w:rsidRDefault="00FC3217" w:rsidP="00FC3217">
      <w:pPr>
        <w:ind w:firstLineChars="200" w:firstLine="560"/>
        <w:rPr>
          <w:rFonts w:ascii="仿宋_GB2312" w:eastAsia="仿宋_GB2312"/>
          <w:color w:val="000000"/>
          <w:sz w:val="28"/>
          <w:szCs w:val="28"/>
        </w:rPr>
      </w:pPr>
      <w:r>
        <w:rPr>
          <w:rFonts w:ascii="仿宋_GB2312" w:eastAsia="仿宋_GB2312" w:hAnsi="Times New Roman" w:hint="eastAsia"/>
          <w:color w:val="000000"/>
          <w:sz w:val="28"/>
          <w:szCs w:val="28"/>
        </w:rPr>
        <w:lastRenderedPageBreak/>
        <w:t>期货公司应制定股票期权</w:t>
      </w:r>
      <w:r>
        <w:rPr>
          <w:rFonts w:ascii="仿宋_GB2312" w:eastAsia="仿宋_GB2312" w:hint="eastAsia"/>
          <w:color w:val="000000"/>
          <w:sz w:val="28"/>
          <w:szCs w:val="28"/>
        </w:rPr>
        <w:t>经纪业务应急预案，以应对业务中的突发事件，保障业务平稳开展。</w:t>
      </w:r>
    </w:p>
    <w:p w:rsidR="00FC3217" w:rsidRDefault="00FC3217" w:rsidP="00FC3217">
      <w:pPr>
        <w:pStyle w:val="2"/>
        <w:ind w:firstLine="562"/>
      </w:pPr>
      <w:bookmarkStart w:id="51" w:name="_Toc5967"/>
      <w:bookmarkStart w:id="52" w:name="_Toc15367"/>
      <w:bookmarkStart w:id="53" w:name="_Toc28584"/>
      <w:bookmarkStart w:id="54" w:name="_Toc18115"/>
      <w:bookmarkStart w:id="55" w:name="_Toc23946960"/>
      <w:r>
        <w:rPr>
          <w:rFonts w:hint="eastAsia"/>
        </w:rPr>
        <w:t>四、合规与</w:t>
      </w:r>
      <w:r>
        <w:t>内控管理</w:t>
      </w:r>
      <w:bookmarkEnd w:id="51"/>
      <w:bookmarkEnd w:id="52"/>
      <w:bookmarkEnd w:id="53"/>
      <w:bookmarkEnd w:id="54"/>
      <w:bookmarkEnd w:id="55"/>
    </w:p>
    <w:p w:rsidR="00FC3217" w:rsidRDefault="00FC3217" w:rsidP="00021BE0">
      <w:pPr>
        <w:spacing w:beforeLines="50" w:afterLines="50"/>
        <w:ind w:firstLineChars="200" w:firstLine="562"/>
        <w:rPr>
          <w:rFonts w:ascii="仿宋_GB2312" w:eastAsia="仿宋_GB2312" w:cs="仿宋_GB2312"/>
          <w:b/>
          <w:bCs/>
          <w:sz w:val="28"/>
          <w:szCs w:val="28"/>
        </w:rPr>
      </w:pPr>
      <w:r>
        <w:rPr>
          <w:rFonts w:ascii="仿宋_GB2312" w:eastAsia="仿宋_GB2312" w:cs="仿宋_GB2312" w:hint="eastAsia"/>
          <w:b/>
          <w:bCs/>
          <w:sz w:val="28"/>
          <w:szCs w:val="28"/>
        </w:rPr>
        <w:t>（一）合规管理制度</w:t>
      </w:r>
    </w:p>
    <w:p w:rsidR="00173848" w:rsidRDefault="00FC3217" w:rsidP="00021BE0">
      <w:pPr>
        <w:spacing w:beforeLines="50" w:afterLines="50"/>
        <w:ind w:firstLineChars="200" w:firstLine="560"/>
        <w:rPr>
          <w:rFonts w:ascii="仿宋_GB2312" w:eastAsia="仿宋_GB2312" w:cs="仿宋_GB2312"/>
          <w:sz w:val="28"/>
          <w:szCs w:val="28"/>
        </w:rPr>
      </w:pPr>
      <w:r>
        <w:rPr>
          <w:rFonts w:ascii="仿宋_GB2312" w:eastAsia="仿宋_GB2312" w:cs="仿宋_GB2312" w:hint="eastAsia"/>
          <w:sz w:val="28"/>
          <w:szCs w:val="28"/>
        </w:rPr>
        <w:t>期货公司须建立防范利益冲突相关的合规制度，确保期权业务在信息、人员、系统、资金和账户等方面实现隔离，在业务开展中须防止敏感信息的不当流动，建立跨墙管理制度。同时，应防范不同利益主体之间的利益冲突。</w:t>
      </w:r>
    </w:p>
    <w:p w:rsidR="00173848" w:rsidRDefault="00FC3217" w:rsidP="00021BE0">
      <w:pPr>
        <w:spacing w:beforeLines="50" w:afterLines="50"/>
        <w:ind w:firstLineChars="200" w:firstLine="560"/>
        <w:rPr>
          <w:rFonts w:ascii="仿宋_GB2312" w:eastAsia="仿宋_GB2312" w:cs="仿宋_GB2312"/>
          <w:sz w:val="28"/>
          <w:szCs w:val="28"/>
        </w:rPr>
      </w:pPr>
      <w:r>
        <w:rPr>
          <w:rFonts w:ascii="仿宋_GB2312" w:eastAsia="仿宋_GB2312" w:cs="仿宋_GB2312" w:hint="eastAsia"/>
          <w:sz w:val="28"/>
          <w:szCs w:val="28"/>
        </w:rPr>
        <w:t>1、隔离制度</w:t>
      </w:r>
    </w:p>
    <w:p w:rsidR="00173848" w:rsidRDefault="00FC3217" w:rsidP="00021BE0">
      <w:pPr>
        <w:spacing w:beforeLines="50" w:afterLines="50" w:line="360" w:lineRule="auto"/>
        <w:ind w:firstLineChars="200" w:firstLine="560"/>
        <w:rPr>
          <w:rFonts w:ascii="仿宋_GB2312" w:eastAsia="仿宋_GB2312" w:hAnsi="Times New Roman"/>
          <w:sz w:val="28"/>
          <w:szCs w:val="28"/>
        </w:rPr>
      </w:pPr>
      <w:r>
        <w:rPr>
          <w:rFonts w:ascii="仿宋_GB2312" w:eastAsia="仿宋_GB2312" w:hAnsi="Times New Roman" w:hint="eastAsia"/>
          <w:sz w:val="28"/>
          <w:szCs w:val="28"/>
        </w:rPr>
        <w:t>从事期权的经纪业务部门应使用相对独立的办公场所；期权业务和风控系统与办公系统和外部互联网有效隔离。</w:t>
      </w:r>
    </w:p>
    <w:p w:rsidR="00173848" w:rsidRDefault="00FC3217" w:rsidP="00021BE0">
      <w:pPr>
        <w:spacing w:beforeLines="50" w:afterLines="50"/>
        <w:ind w:firstLineChars="200" w:firstLine="560"/>
        <w:rPr>
          <w:rFonts w:ascii="仿宋_GB2312" w:eastAsia="仿宋_GB2312" w:cs="仿宋_GB2312"/>
          <w:sz w:val="28"/>
          <w:szCs w:val="28"/>
        </w:rPr>
      </w:pPr>
      <w:r>
        <w:rPr>
          <w:rFonts w:ascii="仿宋_GB2312" w:eastAsia="仿宋_GB2312" w:cs="仿宋_GB2312" w:hint="eastAsia"/>
          <w:sz w:val="28"/>
          <w:szCs w:val="28"/>
        </w:rPr>
        <w:t>2、利益冲突防范制度</w:t>
      </w:r>
    </w:p>
    <w:p w:rsidR="00173848" w:rsidRDefault="00FC3217" w:rsidP="00021BE0">
      <w:pPr>
        <w:spacing w:beforeLines="50" w:afterLines="50"/>
        <w:ind w:firstLineChars="200" w:firstLine="560"/>
        <w:rPr>
          <w:rFonts w:ascii="仿宋_GB2312" w:eastAsia="仿宋_GB2312" w:cs="仿宋_GB2312"/>
          <w:sz w:val="28"/>
          <w:szCs w:val="28"/>
        </w:rPr>
      </w:pPr>
      <w:r>
        <w:rPr>
          <w:rFonts w:ascii="仿宋_GB2312" w:eastAsia="仿宋_GB2312" w:cs="仿宋_GB2312" w:hint="eastAsia"/>
          <w:sz w:val="28"/>
          <w:szCs w:val="28"/>
        </w:rPr>
        <w:t>公司应当针对期权的特点及监管要求，对开展期权业务所导致的利益冲突进行识别、评估、防范和管理，公司合规部应当在日常合规管理中保持对期权业务利益冲突的持续关注。</w:t>
      </w:r>
    </w:p>
    <w:p w:rsidR="00173848" w:rsidRDefault="00FC3217" w:rsidP="00021BE0">
      <w:pPr>
        <w:spacing w:beforeLines="50" w:afterLines="50"/>
        <w:ind w:firstLineChars="200" w:firstLine="560"/>
        <w:rPr>
          <w:rFonts w:ascii="仿宋_GB2312" w:eastAsia="仿宋_GB2312" w:cs="仿宋_GB2312"/>
          <w:sz w:val="28"/>
          <w:szCs w:val="28"/>
        </w:rPr>
      </w:pPr>
      <w:r>
        <w:rPr>
          <w:rFonts w:ascii="仿宋_GB2312" w:eastAsia="仿宋_GB2312" w:cs="仿宋_GB2312" w:hint="eastAsia"/>
          <w:sz w:val="28"/>
          <w:szCs w:val="28"/>
        </w:rPr>
        <w:t>3、合规检查制度</w:t>
      </w:r>
    </w:p>
    <w:p w:rsidR="00173848" w:rsidRDefault="00FC3217" w:rsidP="00021BE0">
      <w:pPr>
        <w:spacing w:beforeLines="50" w:afterLines="50"/>
        <w:ind w:firstLineChars="200" w:firstLine="560"/>
        <w:rPr>
          <w:rFonts w:ascii="仿宋_GB2312" w:eastAsia="仿宋_GB2312" w:cs="仿宋_GB2312"/>
          <w:sz w:val="28"/>
          <w:szCs w:val="28"/>
        </w:rPr>
      </w:pPr>
      <w:r>
        <w:rPr>
          <w:rFonts w:ascii="仿宋_GB2312" w:eastAsia="仿宋_GB2312" w:cs="仿宋_GB2312" w:hint="eastAsia"/>
          <w:sz w:val="28"/>
          <w:szCs w:val="28"/>
        </w:rPr>
        <w:t>公司应当安排例行检查和专项检查，并根据情况采取现场检查和非现场检查两种方式结合进行，内容包括相关制度和流程是否完备、各项工作开展是否符合合规要求、员工行为是否合规等。</w:t>
      </w:r>
    </w:p>
    <w:p w:rsidR="00173848" w:rsidRDefault="00FC3217" w:rsidP="00021BE0">
      <w:pPr>
        <w:spacing w:beforeLines="50" w:afterLines="50"/>
        <w:ind w:firstLineChars="200" w:firstLine="560"/>
        <w:rPr>
          <w:rFonts w:ascii="仿宋_GB2312" w:eastAsia="仿宋_GB2312" w:cs="仿宋_GB2312"/>
          <w:sz w:val="28"/>
          <w:szCs w:val="28"/>
        </w:rPr>
      </w:pPr>
      <w:r>
        <w:rPr>
          <w:rFonts w:ascii="仿宋_GB2312" w:eastAsia="仿宋_GB2312" w:cs="仿宋_GB2312" w:hint="eastAsia"/>
          <w:sz w:val="28"/>
          <w:szCs w:val="28"/>
        </w:rPr>
        <w:lastRenderedPageBreak/>
        <w:t>4、违规处罚</w:t>
      </w:r>
    </w:p>
    <w:p w:rsidR="00173848" w:rsidRDefault="00FC3217" w:rsidP="00021BE0">
      <w:pPr>
        <w:spacing w:beforeLines="50" w:afterLines="50"/>
        <w:ind w:firstLineChars="200" w:firstLine="560"/>
        <w:rPr>
          <w:rFonts w:ascii="仿宋_GB2312" w:eastAsia="仿宋_GB2312" w:cs="仿宋_GB2312"/>
          <w:sz w:val="28"/>
          <w:szCs w:val="28"/>
        </w:rPr>
      </w:pPr>
      <w:r>
        <w:rPr>
          <w:rFonts w:ascii="仿宋_GB2312" w:eastAsia="仿宋_GB2312" w:cs="仿宋_GB2312" w:hint="eastAsia"/>
          <w:sz w:val="28"/>
          <w:szCs w:val="28"/>
        </w:rPr>
        <w:t>公司应当进行合规考核与问责，对于严重的违规情况，应当给予相应的处罚。</w:t>
      </w:r>
    </w:p>
    <w:p w:rsidR="00173848" w:rsidRDefault="00FC3217" w:rsidP="00021BE0">
      <w:pPr>
        <w:spacing w:beforeLines="50" w:afterLines="50"/>
        <w:ind w:firstLineChars="200" w:firstLine="562"/>
        <w:rPr>
          <w:rFonts w:ascii="仿宋_GB2312" w:eastAsia="仿宋_GB2312" w:cs="仿宋_GB2312"/>
          <w:b/>
          <w:bCs/>
          <w:sz w:val="28"/>
          <w:szCs w:val="28"/>
        </w:rPr>
      </w:pPr>
      <w:r>
        <w:rPr>
          <w:rFonts w:ascii="仿宋_GB2312" w:eastAsia="仿宋_GB2312" w:cs="仿宋_GB2312" w:hint="eastAsia"/>
          <w:b/>
          <w:bCs/>
          <w:sz w:val="28"/>
          <w:szCs w:val="28"/>
        </w:rPr>
        <w:t>（二）期货公司制定期权业务的内控制度，应遵循如下原则：</w:t>
      </w:r>
    </w:p>
    <w:p w:rsidR="00173848" w:rsidRDefault="00FC3217" w:rsidP="00021BE0">
      <w:pPr>
        <w:spacing w:beforeLines="50" w:afterLines="50"/>
        <w:ind w:firstLineChars="200" w:firstLine="560"/>
        <w:rPr>
          <w:rFonts w:ascii="仿宋_GB2312" w:eastAsia="仿宋_GB2312" w:cs="仿宋_GB2312"/>
          <w:sz w:val="28"/>
          <w:szCs w:val="28"/>
        </w:rPr>
      </w:pPr>
      <w:r>
        <w:rPr>
          <w:rFonts w:ascii="仿宋_GB2312" w:eastAsia="仿宋_GB2312" w:cs="仿宋_GB2312" w:hint="eastAsia"/>
          <w:sz w:val="28"/>
          <w:szCs w:val="28"/>
        </w:rPr>
        <w:t>1、建立开展期权业务的决策、授权和业务执行机制；</w:t>
      </w:r>
    </w:p>
    <w:p w:rsidR="00173848" w:rsidRDefault="00FC3217" w:rsidP="00021BE0">
      <w:pPr>
        <w:spacing w:beforeLines="50" w:afterLines="50"/>
        <w:ind w:firstLineChars="200" w:firstLine="560"/>
        <w:rPr>
          <w:rFonts w:ascii="仿宋_GB2312" w:eastAsia="仿宋_GB2312" w:cs="仿宋_GB2312"/>
          <w:sz w:val="28"/>
          <w:szCs w:val="28"/>
        </w:rPr>
      </w:pPr>
      <w:r>
        <w:rPr>
          <w:rFonts w:ascii="仿宋_GB2312" w:eastAsia="仿宋_GB2312" w:cs="仿宋_GB2312" w:hint="eastAsia"/>
          <w:sz w:val="28"/>
          <w:szCs w:val="28"/>
        </w:rPr>
        <w:t>2、确保前、中、后台相互分离、相互制约，各主要环节分别由不同的部门和岗位负责，不得进行业务间的混合操作；</w:t>
      </w:r>
    </w:p>
    <w:p w:rsidR="00173848" w:rsidRDefault="00FC3217" w:rsidP="00021BE0">
      <w:pPr>
        <w:spacing w:beforeLines="50" w:afterLines="50"/>
        <w:ind w:firstLineChars="200" w:firstLine="560"/>
        <w:rPr>
          <w:rFonts w:ascii="仿宋_GB2312" w:eastAsia="仿宋_GB2312" w:cs="仿宋_GB2312"/>
          <w:sz w:val="28"/>
          <w:szCs w:val="28"/>
        </w:rPr>
      </w:pPr>
      <w:r>
        <w:rPr>
          <w:rFonts w:ascii="仿宋_GB2312" w:eastAsia="仿宋_GB2312" w:cs="仿宋_GB2312" w:hint="eastAsia"/>
          <w:sz w:val="28"/>
          <w:szCs w:val="28"/>
        </w:rPr>
        <w:t>3、建立事前防范、事中监控、事后处置的风险管理体系；</w:t>
      </w:r>
    </w:p>
    <w:p w:rsidR="00173848" w:rsidRDefault="00FC3217" w:rsidP="00021BE0">
      <w:pPr>
        <w:spacing w:beforeLines="50" w:afterLines="50"/>
        <w:ind w:firstLineChars="200" w:firstLine="560"/>
        <w:rPr>
          <w:rFonts w:ascii="仿宋_GB2312" w:eastAsia="仿宋_GB2312" w:cs="仿宋_GB2312"/>
          <w:sz w:val="28"/>
          <w:szCs w:val="28"/>
        </w:rPr>
      </w:pPr>
      <w:r>
        <w:rPr>
          <w:rFonts w:ascii="仿宋_GB2312" w:eastAsia="仿宋_GB2312" w:cs="仿宋_GB2312" w:hint="eastAsia"/>
          <w:sz w:val="28"/>
          <w:szCs w:val="28"/>
        </w:rPr>
        <w:t>4、对各流程运作设定控制点，做好流程的内部控制的管理制度，具体流程明确到部门、岗位和时间点。</w:t>
      </w:r>
    </w:p>
    <w:p w:rsidR="00173848" w:rsidRDefault="00FC3217" w:rsidP="00021BE0">
      <w:pPr>
        <w:spacing w:beforeLines="50" w:afterLines="50"/>
        <w:ind w:firstLineChars="200" w:firstLine="562"/>
        <w:rPr>
          <w:rFonts w:ascii="仿宋_GB2312" w:eastAsia="仿宋_GB2312" w:cs="仿宋_GB2312"/>
          <w:b/>
          <w:bCs/>
          <w:sz w:val="28"/>
          <w:szCs w:val="28"/>
        </w:rPr>
      </w:pPr>
      <w:r>
        <w:rPr>
          <w:rFonts w:ascii="仿宋_GB2312" w:eastAsia="仿宋_GB2312" w:cs="仿宋_GB2312" w:hint="eastAsia"/>
          <w:b/>
          <w:bCs/>
          <w:sz w:val="28"/>
          <w:szCs w:val="28"/>
        </w:rPr>
        <w:t>（三）期货公司制定期权业务的内控制度，至少包括以下内容：</w:t>
      </w:r>
    </w:p>
    <w:p w:rsidR="00173848" w:rsidRDefault="00FC3217" w:rsidP="00021BE0">
      <w:pPr>
        <w:spacing w:beforeLines="50" w:afterLines="50"/>
        <w:ind w:firstLineChars="200" w:firstLine="560"/>
        <w:rPr>
          <w:rFonts w:ascii="仿宋_GB2312" w:eastAsia="仿宋_GB2312" w:cs="仿宋_GB2312"/>
          <w:sz w:val="28"/>
          <w:szCs w:val="28"/>
        </w:rPr>
      </w:pPr>
      <w:r>
        <w:rPr>
          <w:rFonts w:ascii="仿宋_GB2312" w:eastAsia="仿宋_GB2312" w:cs="仿宋_GB2312" w:hint="eastAsia"/>
          <w:sz w:val="28"/>
          <w:szCs w:val="28"/>
        </w:rPr>
        <w:t>1、交易系统的内部控制，如交易委托管理和交易系统管理；</w:t>
      </w:r>
    </w:p>
    <w:p w:rsidR="00173848" w:rsidRDefault="00FC3217" w:rsidP="00021BE0">
      <w:pPr>
        <w:spacing w:beforeLines="50" w:afterLines="50"/>
        <w:ind w:firstLineChars="200" w:firstLine="560"/>
        <w:rPr>
          <w:rFonts w:ascii="仿宋_GB2312" w:eastAsia="仿宋_GB2312" w:cs="仿宋_GB2312"/>
          <w:sz w:val="28"/>
          <w:szCs w:val="28"/>
        </w:rPr>
      </w:pPr>
      <w:r>
        <w:rPr>
          <w:rFonts w:ascii="仿宋_GB2312" w:eastAsia="仿宋_GB2312" w:cs="仿宋_GB2312" w:hint="eastAsia"/>
          <w:sz w:val="28"/>
          <w:szCs w:val="28"/>
        </w:rPr>
        <w:t xml:space="preserve">2、风险监控、风险处置与应急管理的内部控制，要点包括保证金标准的制定与调整、盘中交易风险实时动态监控、强行平仓及监控、结算后对客户账户风险的分析预测及风险客户的平仓通知、违约处理等，以及对于各环节中可能出现的各种技术故障、通信故障，应制订可行的应急措施与方案等； </w:t>
      </w:r>
    </w:p>
    <w:p w:rsidR="00173848" w:rsidRDefault="00FC3217" w:rsidP="00021BE0">
      <w:pPr>
        <w:spacing w:beforeLines="50" w:afterLines="50"/>
        <w:ind w:firstLineChars="200" w:firstLine="560"/>
        <w:rPr>
          <w:rFonts w:ascii="仿宋_GB2312" w:eastAsia="仿宋_GB2312" w:cs="仿宋_GB2312"/>
          <w:sz w:val="28"/>
          <w:szCs w:val="28"/>
        </w:rPr>
      </w:pPr>
      <w:r>
        <w:rPr>
          <w:rFonts w:ascii="仿宋_GB2312" w:eastAsia="仿宋_GB2312" w:cs="仿宋_GB2312" w:hint="eastAsia"/>
          <w:sz w:val="28"/>
          <w:szCs w:val="28"/>
        </w:rPr>
        <w:t>3、客户选择与资信记录，制定包括投资者准入和分级、买入限额、教育与市场营销管理等制度；</w:t>
      </w:r>
    </w:p>
    <w:p w:rsidR="00173848" w:rsidRDefault="00FC3217" w:rsidP="00021BE0">
      <w:pPr>
        <w:spacing w:beforeLines="50" w:afterLines="50"/>
        <w:ind w:firstLineChars="200" w:firstLine="560"/>
        <w:rPr>
          <w:rFonts w:ascii="仿宋_GB2312" w:eastAsia="仿宋_GB2312" w:cs="仿宋_GB2312"/>
          <w:sz w:val="28"/>
          <w:szCs w:val="28"/>
        </w:rPr>
      </w:pPr>
      <w:r>
        <w:rPr>
          <w:rFonts w:ascii="仿宋_GB2312" w:eastAsia="仿宋_GB2312" w:cs="仿宋_GB2312" w:hint="eastAsia"/>
          <w:sz w:val="28"/>
          <w:szCs w:val="28"/>
        </w:rPr>
        <w:lastRenderedPageBreak/>
        <w:t>4、客户档案与客户投诉的内部控制，制定包括对于客户档案管理，开销户业务的要点，如资格认定、合同签署、账户申请、销户等，妥善保管合同和印章，以及现场投诉、专线投诉、信件投诉和监管机关转发投诉的受理和处理流程，对于投诉事项须定期检查和回访；</w:t>
      </w:r>
    </w:p>
    <w:p w:rsidR="00173848" w:rsidRDefault="00FC3217" w:rsidP="00021BE0">
      <w:pPr>
        <w:spacing w:beforeLines="50" w:afterLines="50"/>
        <w:ind w:firstLineChars="200" w:firstLine="560"/>
        <w:rPr>
          <w:rFonts w:ascii="仿宋_GB2312" w:eastAsia="仿宋_GB2312" w:cs="仿宋_GB2312"/>
          <w:sz w:val="28"/>
          <w:szCs w:val="28"/>
        </w:rPr>
      </w:pPr>
      <w:r>
        <w:rPr>
          <w:rFonts w:ascii="仿宋_GB2312" w:eastAsia="仿宋_GB2312" w:cs="仿宋_GB2312" w:hint="eastAsia"/>
          <w:sz w:val="28"/>
          <w:szCs w:val="28"/>
        </w:rPr>
        <w:t>5、客户回访及客户服务的内部控制，客户服务人员可以对追加保证金进程跟踪、强行平仓通知确认、账户发生重大或异常交易、资讯产品使用效果等进行跟踪回访，并建立客户服务记录的支持系统；</w:t>
      </w:r>
    </w:p>
    <w:p w:rsidR="00173848" w:rsidRDefault="00FC3217" w:rsidP="00021BE0">
      <w:pPr>
        <w:spacing w:beforeLines="50" w:afterLines="50"/>
        <w:ind w:firstLineChars="200" w:firstLine="560"/>
        <w:rPr>
          <w:rFonts w:ascii="仿宋_GB2312" w:eastAsia="仿宋_GB2312" w:cs="仿宋_GB2312"/>
          <w:sz w:val="28"/>
          <w:szCs w:val="28"/>
        </w:rPr>
      </w:pPr>
      <w:r>
        <w:rPr>
          <w:rFonts w:ascii="仿宋_GB2312" w:eastAsia="仿宋_GB2312" w:cs="仿宋_GB2312" w:hint="eastAsia"/>
          <w:sz w:val="28"/>
          <w:szCs w:val="28"/>
        </w:rPr>
        <w:t>6、行权、清算与结算过程的内部控制，要点包括参数配置与调整，行权处理、实物交收、结算数据接收、清算、汇总与复核等；</w:t>
      </w:r>
    </w:p>
    <w:p w:rsidR="00173848" w:rsidRDefault="00FC3217" w:rsidP="00021BE0">
      <w:pPr>
        <w:spacing w:beforeLines="50" w:afterLines="50"/>
        <w:ind w:firstLineChars="200" w:firstLine="560"/>
        <w:rPr>
          <w:rFonts w:ascii="仿宋_GB2312" w:eastAsia="仿宋_GB2312" w:cs="仿宋_GB2312"/>
          <w:sz w:val="28"/>
          <w:szCs w:val="28"/>
        </w:rPr>
      </w:pPr>
      <w:r>
        <w:rPr>
          <w:rFonts w:ascii="仿宋_GB2312" w:eastAsia="仿宋_GB2312" w:cs="仿宋_GB2312" w:hint="eastAsia"/>
          <w:sz w:val="28"/>
          <w:szCs w:val="28"/>
        </w:rPr>
        <w:t>7、财务、审计的内部控制；</w:t>
      </w:r>
    </w:p>
    <w:p w:rsidR="00173848" w:rsidRDefault="00FC3217" w:rsidP="00021BE0">
      <w:pPr>
        <w:spacing w:beforeLines="50" w:afterLines="50"/>
        <w:ind w:firstLineChars="200" w:firstLine="560"/>
        <w:rPr>
          <w:rFonts w:ascii="仿宋_GB2312" w:eastAsia="仿宋_GB2312" w:cs="仿宋_GB2312"/>
          <w:sz w:val="28"/>
          <w:szCs w:val="28"/>
        </w:rPr>
      </w:pPr>
      <w:r>
        <w:rPr>
          <w:rFonts w:ascii="仿宋_GB2312" w:eastAsia="仿宋_GB2312" w:cs="仿宋_GB2312" w:hint="eastAsia"/>
          <w:sz w:val="28"/>
          <w:szCs w:val="28"/>
        </w:rPr>
        <w:t>8、信息系统的内部控制，建立交易、结算、财务数据的备份制度；</w:t>
      </w:r>
    </w:p>
    <w:p w:rsidR="00173848" w:rsidRDefault="00FC3217" w:rsidP="00021BE0">
      <w:pPr>
        <w:spacing w:beforeLines="50" w:afterLines="50"/>
        <w:ind w:firstLineChars="200" w:firstLine="560"/>
        <w:rPr>
          <w:rFonts w:ascii="仿宋_GB2312" w:eastAsia="仿宋_GB2312" w:cs="仿宋_GB2312"/>
          <w:b/>
          <w:sz w:val="28"/>
          <w:szCs w:val="28"/>
        </w:rPr>
      </w:pPr>
      <w:r>
        <w:rPr>
          <w:rFonts w:ascii="仿宋_GB2312" w:eastAsia="仿宋_GB2312" w:cs="仿宋_GB2312" w:hint="eastAsia"/>
          <w:sz w:val="28"/>
          <w:szCs w:val="28"/>
        </w:rPr>
        <w:t>9、信息报送的内部控制，应按照规定及时向上交所报送客户限购额度、客户分级、衍生品业务风险管理部负责人与联系人相关信息等资料，做好保证金封闭管理的相关数据报送，应保证报送的数据真实、准确、完整、及时。</w:t>
      </w:r>
    </w:p>
    <w:p w:rsidR="00173848" w:rsidRDefault="00FC3217" w:rsidP="00021BE0">
      <w:pPr>
        <w:spacing w:beforeLines="50" w:afterLines="50"/>
        <w:ind w:firstLineChars="200" w:firstLine="562"/>
        <w:rPr>
          <w:rFonts w:ascii="仿宋_GB2312" w:eastAsia="仿宋_GB2312" w:cs="仿宋_GB2312"/>
          <w:b/>
          <w:bCs/>
          <w:sz w:val="28"/>
          <w:szCs w:val="28"/>
        </w:rPr>
      </w:pPr>
      <w:bookmarkStart w:id="56" w:name="_Toc8308"/>
      <w:bookmarkStart w:id="57" w:name="_Toc8576"/>
      <w:bookmarkStart w:id="58" w:name="_Toc28415"/>
      <w:bookmarkStart w:id="59" w:name="_Toc12344"/>
      <w:bookmarkStart w:id="60" w:name="_Toc14000"/>
      <w:bookmarkStart w:id="61" w:name="_Toc452021113"/>
      <w:bookmarkStart w:id="62" w:name="_Toc452021452"/>
      <w:r>
        <w:rPr>
          <w:rFonts w:ascii="仿宋_GB2312" w:eastAsia="仿宋_GB2312" w:cs="仿宋_GB2312" w:hint="eastAsia"/>
          <w:b/>
          <w:bCs/>
          <w:sz w:val="28"/>
          <w:szCs w:val="28"/>
        </w:rPr>
        <w:t>（四）风险管理岗位联系方式报备</w:t>
      </w:r>
      <w:bookmarkEnd w:id="56"/>
      <w:bookmarkEnd w:id="57"/>
      <w:bookmarkEnd w:id="58"/>
      <w:bookmarkEnd w:id="59"/>
      <w:bookmarkEnd w:id="60"/>
      <w:bookmarkEnd w:id="61"/>
      <w:bookmarkEnd w:id="62"/>
    </w:p>
    <w:p w:rsidR="00173848" w:rsidRDefault="00FC3217" w:rsidP="00021BE0">
      <w:pPr>
        <w:spacing w:beforeLines="50" w:afterLines="50"/>
        <w:ind w:firstLineChars="200" w:firstLine="560"/>
        <w:rPr>
          <w:rFonts w:ascii="仿宋_GB2312" w:eastAsia="仿宋_GB2312" w:cs="仿宋_GB2312"/>
          <w:sz w:val="28"/>
          <w:szCs w:val="28"/>
        </w:rPr>
      </w:pPr>
      <w:r>
        <w:rPr>
          <w:rFonts w:ascii="仿宋_GB2312" w:eastAsia="仿宋_GB2312" w:cs="仿宋_GB2312" w:hint="eastAsia"/>
          <w:sz w:val="28"/>
          <w:szCs w:val="28"/>
        </w:rPr>
        <w:t>期货公司应向上交所报备以下人员联系方式（包括联系电话、手机、邮箱、传真等）：期权业务异常情况应急负责人、期权业务风险管理负责人、期权经纪业务风险管理联系人、期权做市业务风险管理</w:t>
      </w:r>
      <w:r>
        <w:rPr>
          <w:rFonts w:ascii="仿宋_GB2312" w:eastAsia="仿宋_GB2312" w:cs="仿宋_GB2312" w:hint="eastAsia"/>
          <w:sz w:val="28"/>
          <w:szCs w:val="28"/>
        </w:rPr>
        <w:lastRenderedPageBreak/>
        <w:t>联系人（如有做市业务）。上述人员或联系方式如有变更，应于工作日15:00-17:00通过以下方式及时向本所更新。联系方式：021-68810582（电话），</w:t>
      </w:r>
      <w:r>
        <w:rPr>
          <w:rFonts w:ascii="仿宋_GB2312" w:eastAsia="仿宋_GB2312" w:hint="eastAsia"/>
          <w:sz w:val="28"/>
          <w:szCs w:val="28"/>
        </w:rPr>
        <w:t>021-68810528-62（传真），</w:t>
      </w:r>
      <w:hyperlink r:id="rId15" w:history="1">
        <w:r>
          <w:rPr>
            <w:rFonts w:cs="仿宋_GB2312" w:hint="eastAsia"/>
            <w:sz w:val="28"/>
          </w:rPr>
          <w:t>Riskdispose01@sse.com.cn</w:t>
        </w:r>
      </w:hyperlink>
      <w:r>
        <w:rPr>
          <w:rFonts w:ascii="仿宋_GB2312" w:eastAsia="仿宋_GB2312" w:cs="仿宋_GB2312" w:hint="eastAsia"/>
          <w:sz w:val="28"/>
          <w:szCs w:val="28"/>
        </w:rPr>
        <w:t>。</w:t>
      </w:r>
    </w:p>
    <w:p w:rsidR="00FC3217" w:rsidRDefault="00FC3217" w:rsidP="00FC3217">
      <w:pPr>
        <w:rPr>
          <w:rFonts w:ascii="仿宋_GB2312" w:eastAsia="仿宋_GB2312"/>
          <w:color w:val="000000"/>
          <w:sz w:val="28"/>
          <w:szCs w:val="28"/>
        </w:rPr>
      </w:pPr>
    </w:p>
    <w:p w:rsidR="00FC3217" w:rsidRDefault="00FC3217" w:rsidP="00FC3217">
      <w:pPr>
        <w:pStyle w:val="2"/>
        <w:ind w:firstLine="562"/>
      </w:pPr>
      <w:bookmarkStart w:id="63" w:name="_Toc408749903"/>
      <w:bookmarkStart w:id="64" w:name="_Toc2604"/>
      <w:bookmarkStart w:id="65" w:name="_Toc13142"/>
      <w:bookmarkStart w:id="66" w:name="_Toc3209"/>
      <w:bookmarkStart w:id="67" w:name="_Toc10200"/>
      <w:bookmarkStart w:id="68" w:name="_Toc23946961"/>
      <w:r>
        <w:rPr>
          <w:rFonts w:hint="eastAsia"/>
        </w:rPr>
        <w:t>五、技术系统</w:t>
      </w:r>
      <w:bookmarkEnd w:id="63"/>
      <w:bookmarkEnd w:id="64"/>
      <w:bookmarkEnd w:id="65"/>
      <w:bookmarkEnd w:id="66"/>
      <w:bookmarkEnd w:id="67"/>
      <w:bookmarkEnd w:id="68"/>
    </w:p>
    <w:p w:rsidR="00FC3217" w:rsidRDefault="00FC3217" w:rsidP="00FC3217">
      <w:pPr>
        <w:ind w:firstLineChars="200" w:firstLine="560"/>
        <w:rPr>
          <w:rFonts w:ascii="仿宋_GB2312" w:eastAsia="仿宋_GB2312" w:hAnsi="Times New Roman"/>
          <w:color w:val="000000"/>
          <w:sz w:val="28"/>
          <w:szCs w:val="28"/>
        </w:rPr>
      </w:pPr>
      <w:r>
        <w:rPr>
          <w:rFonts w:ascii="仿宋_GB2312" w:eastAsia="仿宋_GB2312" w:hAnsi="Times New Roman" w:hint="eastAsia"/>
          <w:color w:val="000000"/>
          <w:sz w:val="28"/>
          <w:szCs w:val="28"/>
        </w:rPr>
        <w:t>（一）股票期权经纪业务系统。期货公司应建立股票期权经纪业务系统，支持客户开户、分级管理、交易及非交易指令、日终结算、强行平仓等业务功能。</w:t>
      </w:r>
    </w:p>
    <w:p w:rsidR="00FC3217" w:rsidRDefault="00FC3217" w:rsidP="00FC3217">
      <w:pPr>
        <w:ind w:firstLineChars="200" w:firstLine="560"/>
        <w:rPr>
          <w:rFonts w:ascii="仿宋_GB2312" w:eastAsia="仿宋_GB2312" w:hAnsi="Times New Roman"/>
          <w:color w:val="000000"/>
          <w:sz w:val="28"/>
          <w:szCs w:val="28"/>
        </w:rPr>
      </w:pPr>
      <w:r>
        <w:rPr>
          <w:rFonts w:ascii="仿宋_GB2312" w:eastAsia="仿宋_GB2312" w:hAnsi="Times New Roman" w:hint="eastAsia"/>
          <w:color w:val="000000"/>
          <w:sz w:val="28"/>
          <w:szCs w:val="28"/>
        </w:rPr>
        <w:t>（二）股票现货业务系统。期货公司应配置股票经纪业务系统，并根据期货公司现货业务范围，相应设置系统交易权限。</w:t>
      </w:r>
    </w:p>
    <w:p w:rsidR="00FC3217" w:rsidRDefault="00FC3217" w:rsidP="00FC3217">
      <w:pPr>
        <w:ind w:firstLineChars="200" w:firstLine="560"/>
        <w:rPr>
          <w:rFonts w:ascii="仿宋_GB2312" w:eastAsia="仿宋_GB2312" w:hAnsi="Times New Roman"/>
          <w:color w:val="000000"/>
          <w:sz w:val="28"/>
          <w:szCs w:val="28"/>
        </w:rPr>
      </w:pPr>
      <w:r>
        <w:rPr>
          <w:rFonts w:ascii="仿宋_GB2312" w:eastAsia="仿宋_GB2312" w:hAnsi="Times New Roman" w:hint="eastAsia"/>
          <w:color w:val="000000"/>
          <w:sz w:val="28"/>
          <w:szCs w:val="28"/>
        </w:rPr>
        <w:t>（三）与登记结算相关的技术系统，支持股票期权和相关现货的清算、交收。</w:t>
      </w:r>
    </w:p>
    <w:p w:rsidR="00FC3217" w:rsidRDefault="00FC3217" w:rsidP="00FC3217">
      <w:pPr>
        <w:ind w:firstLineChars="200" w:firstLine="560"/>
        <w:rPr>
          <w:rFonts w:ascii="仿宋_GB2312" w:eastAsia="仿宋_GB2312" w:hAnsi="Times New Roman"/>
          <w:color w:val="000000"/>
          <w:sz w:val="28"/>
          <w:szCs w:val="28"/>
        </w:rPr>
      </w:pPr>
      <w:r>
        <w:rPr>
          <w:rFonts w:ascii="仿宋_GB2312" w:eastAsia="仿宋_GB2312" w:hAnsi="Times New Roman" w:hint="eastAsia"/>
          <w:color w:val="000000"/>
          <w:sz w:val="28"/>
          <w:szCs w:val="28"/>
        </w:rPr>
        <w:t>（四）期货公司应配置相应的通讯与行情链路。</w:t>
      </w:r>
    </w:p>
    <w:p w:rsidR="00FC3217" w:rsidRDefault="00FC3217" w:rsidP="00FC3217">
      <w:pPr>
        <w:ind w:firstLineChars="200" w:firstLine="560"/>
        <w:rPr>
          <w:rFonts w:ascii="仿宋_GB2312" w:eastAsia="仿宋_GB2312" w:hAnsi="Times New Roman"/>
          <w:color w:val="000000"/>
          <w:sz w:val="28"/>
          <w:szCs w:val="28"/>
        </w:rPr>
      </w:pPr>
      <w:r>
        <w:rPr>
          <w:rFonts w:ascii="仿宋_GB2312" w:eastAsia="仿宋_GB2312" w:hAnsi="Times New Roman" w:hint="eastAsia"/>
          <w:color w:val="000000"/>
          <w:sz w:val="28"/>
          <w:szCs w:val="28"/>
        </w:rPr>
        <w:t>（五）本所股票期权业务要求的其他技术系统准备。</w:t>
      </w:r>
    </w:p>
    <w:p w:rsidR="00FC3217" w:rsidRDefault="00FC3217" w:rsidP="00FC3217">
      <w:pPr>
        <w:ind w:firstLineChars="200" w:firstLine="560"/>
        <w:rPr>
          <w:rFonts w:ascii="仿宋_GB2312" w:eastAsia="仿宋_GB2312" w:hAnsi="Times New Roman"/>
          <w:color w:val="000000"/>
          <w:sz w:val="28"/>
          <w:szCs w:val="28"/>
        </w:rPr>
      </w:pPr>
    </w:p>
    <w:p w:rsidR="00FC3217" w:rsidRDefault="00FC3217" w:rsidP="00FC3217">
      <w:pPr>
        <w:pStyle w:val="2"/>
        <w:ind w:firstLine="562"/>
      </w:pPr>
      <w:bookmarkStart w:id="69" w:name="_Toc408749904"/>
      <w:bookmarkStart w:id="70" w:name="_Toc10557"/>
      <w:bookmarkStart w:id="71" w:name="_Toc31491"/>
      <w:bookmarkStart w:id="72" w:name="_Toc31216"/>
      <w:bookmarkStart w:id="73" w:name="_Toc29485"/>
      <w:bookmarkStart w:id="74" w:name="_Toc23946962"/>
      <w:r>
        <w:rPr>
          <w:rFonts w:hint="eastAsia"/>
        </w:rPr>
        <w:t>六、交易单元</w:t>
      </w:r>
      <w:bookmarkEnd w:id="69"/>
      <w:bookmarkEnd w:id="70"/>
      <w:bookmarkEnd w:id="71"/>
      <w:bookmarkEnd w:id="72"/>
      <w:bookmarkEnd w:id="73"/>
      <w:bookmarkEnd w:id="74"/>
    </w:p>
    <w:p w:rsidR="00FC3217" w:rsidRDefault="00FC3217" w:rsidP="00FC3217">
      <w:pPr>
        <w:ind w:firstLineChars="200" w:firstLine="560"/>
        <w:rPr>
          <w:rFonts w:ascii="仿宋_GB2312" w:eastAsia="仿宋_GB2312" w:hAnsi="Times New Roman"/>
          <w:color w:val="000000"/>
          <w:sz w:val="28"/>
          <w:szCs w:val="28"/>
        </w:rPr>
      </w:pPr>
      <w:r>
        <w:rPr>
          <w:rFonts w:ascii="仿宋_GB2312" w:eastAsia="仿宋_GB2312" w:hAnsi="Times New Roman" w:hint="eastAsia"/>
          <w:color w:val="000000"/>
          <w:sz w:val="28"/>
          <w:szCs w:val="28"/>
        </w:rPr>
        <w:t>期货公司申请成为本所期权交易参与人后，可申请交易单元从事股票期权经纪业务，以及与股票期权备兑开仓、行权相关的证券现货经纪业务。期货公司需要对证券现货交易进行前端控制（仅限交易与</w:t>
      </w:r>
      <w:r>
        <w:rPr>
          <w:rFonts w:ascii="仿宋_GB2312" w:eastAsia="仿宋_GB2312" w:hAnsi="Times New Roman" w:hint="eastAsia"/>
          <w:color w:val="000000"/>
          <w:sz w:val="28"/>
          <w:szCs w:val="28"/>
        </w:rPr>
        <w:lastRenderedPageBreak/>
        <w:t>股票期权相关标的）。如果标的是交易所交易基金的，只能做二级市场份额买卖，不能在一级市场进行申赎。期货公司交易单元收费比照会员收取，包括使用费、流量费、流速费。</w:t>
      </w:r>
    </w:p>
    <w:p w:rsidR="00FC3217" w:rsidRDefault="00FC3217" w:rsidP="00FC3217">
      <w:pPr>
        <w:jc w:val="center"/>
        <w:outlineLvl w:val="0"/>
        <w:rPr>
          <w:rFonts w:ascii="Times New Roman" w:eastAsia="黑体" w:hAnsi="Times New Roman"/>
          <w:b/>
          <w:bCs/>
          <w:sz w:val="30"/>
          <w:szCs w:val="24"/>
        </w:rPr>
      </w:pPr>
      <w:bookmarkStart w:id="75" w:name="_Toc406436499"/>
      <w:bookmarkStart w:id="76" w:name="_Toc406438879"/>
      <w:bookmarkStart w:id="77" w:name="_Toc406438948"/>
      <w:bookmarkStart w:id="78" w:name="_Toc406439133"/>
    </w:p>
    <w:p w:rsidR="00FC3217" w:rsidRDefault="00FC3217" w:rsidP="00FC3217">
      <w:pPr>
        <w:pStyle w:val="2"/>
        <w:ind w:firstLine="643"/>
        <w:jc w:val="center"/>
        <w:rPr>
          <w:rFonts w:ascii="黑体" w:eastAsia="黑体" w:hAnsi="黑体"/>
          <w:sz w:val="32"/>
        </w:rPr>
      </w:pPr>
      <w:bookmarkStart w:id="79" w:name="_Toc408300969"/>
      <w:bookmarkStart w:id="80" w:name="_Toc408749905"/>
      <w:bookmarkStart w:id="81" w:name="_Toc13386"/>
      <w:bookmarkStart w:id="82" w:name="_Toc8350"/>
      <w:bookmarkStart w:id="83" w:name="_Toc21916"/>
      <w:bookmarkStart w:id="84" w:name="_Toc20475"/>
      <w:bookmarkStart w:id="85" w:name="_Toc23946963"/>
      <w:r>
        <w:rPr>
          <w:rFonts w:ascii="黑体" w:eastAsia="黑体" w:hAnsi="黑体" w:hint="eastAsia"/>
          <w:sz w:val="32"/>
        </w:rPr>
        <w:t>第二章</w:t>
      </w:r>
      <w:r>
        <w:rPr>
          <w:rFonts w:ascii="黑体" w:eastAsia="黑体" w:hAnsi="黑体"/>
          <w:sz w:val="32"/>
        </w:rPr>
        <w:t xml:space="preserve"> 股票期权</w:t>
      </w:r>
      <w:r>
        <w:rPr>
          <w:rFonts w:ascii="黑体" w:eastAsia="黑体" w:hAnsi="黑体" w:hint="eastAsia"/>
          <w:sz w:val="32"/>
        </w:rPr>
        <w:t>经纪业务申请</w:t>
      </w:r>
      <w:bookmarkEnd w:id="75"/>
      <w:bookmarkEnd w:id="76"/>
      <w:bookmarkEnd w:id="77"/>
      <w:bookmarkEnd w:id="78"/>
      <w:bookmarkEnd w:id="79"/>
      <w:bookmarkEnd w:id="80"/>
      <w:bookmarkEnd w:id="81"/>
      <w:bookmarkEnd w:id="82"/>
      <w:bookmarkEnd w:id="83"/>
      <w:bookmarkEnd w:id="84"/>
      <w:bookmarkEnd w:id="85"/>
    </w:p>
    <w:p w:rsidR="00FC3217" w:rsidRDefault="00FC3217" w:rsidP="00FC3217">
      <w:pPr>
        <w:ind w:firstLineChars="200" w:firstLine="560"/>
        <w:rPr>
          <w:rFonts w:ascii="仿宋_GB2312" w:eastAsia="仿宋_GB2312"/>
          <w:color w:val="000000"/>
          <w:sz w:val="28"/>
          <w:szCs w:val="28"/>
        </w:rPr>
      </w:pPr>
      <w:r>
        <w:rPr>
          <w:rFonts w:ascii="仿宋_GB2312" w:eastAsia="仿宋_GB2312" w:hint="eastAsia"/>
          <w:color w:val="000000"/>
          <w:sz w:val="28"/>
          <w:szCs w:val="28"/>
        </w:rPr>
        <w:t>符合《证券期货经营机构参与股票期权交易试点指引》、《交易规则》相关要求的期货公司可以向本所申请股票期权经纪业务资格，具体流程如下：</w:t>
      </w:r>
    </w:p>
    <w:p w:rsidR="00FC3217" w:rsidRDefault="00FC3217" w:rsidP="00FC3217">
      <w:pPr>
        <w:pStyle w:val="2"/>
        <w:ind w:firstLine="562"/>
      </w:pPr>
      <w:bookmarkStart w:id="86" w:name="_Toc408749906"/>
      <w:bookmarkStart w:id="87" w:name="_Toc9105"/>
      <w:bookmarkStart w:id="88" w:name="_Toc7512"/>
      <w:bookmarkStart w:id="89" w:name="_Toc13601"/>
      <w:bookmarkStart w:id="90" w:name="_Toc15583"/>
      <w:bookmarkStart w:id="91" w:name="_Toc23946964"/>
      <w:bookmarkStart w:id="92" w:name="_Toc406438881"/>
      <w:bookmarkStart w:id="93" w:name="_Toc408300970"/>
      <w:r>
        <w:rPr>
          <w:rFonts w:hint="eastAsia"/>
        </w:rPr>
        <w:t>一、申请本所网站数字证书</w:t>
      </w:r>
      <w:bookmarkEnd w:id="86"/>
      <w:bookmarkEnd w:id="87"/>
      <w:bookmarkEnd w:id="88"/>
      <w:bookmarkEnd w:id="89"/>
      <w:bookmarkEnd w:id="90"/>
      <w:bookmarkEnd w:id="91"/>
    </w:p>
    <w:p w:rsidR="00FC3217" w:rsidRDefault="00FC3217" w:rsidP="00FC3217">
      <w:pPr>
        <w:ind w:firstLineChars="200" w:firstLine="560"/>
        <w:rPr>
          <w:rFonts w:ascii="仿宋_GB2312" w:eastAsia="仿宋_GB2312"/>
          <w:color w:val="000000"/>
          <w:sz w:val="28"/>
          <w:szCs w:val="28"/>
        </w:rPr>
      </w:pPr>
      <w:r>
        <w:rPr>
          <w:rFonts w:ascii="仿宋_GB2312" w:eastAsia="仿宋_GB2312" w:hint="eastAsia"/>
          <w:color w:val="000000"/>
          <w:sz w:val="28"/>
          <w:szCs w:val="28"/>
        </w:rPr>
        <w:t>申请数字证书的程序如下：</w:t>
      </w:r>
    </w:p>
    <w:p w:rsidR="00FC3217" w:rsidRDefault="00FC3217" w:rsidP="00FC3217">
      <w:pPr>
        <w:ind w:firstLineChars="200" w:firstLine="560"/>
        <w:rPr>
          <w:rFonts w:ascii="仿宋_GB2312" w:eastAsia="仿宋_GB2312"/>
          <w:color w:val="000000"/>
          <w:sz w:val="28"/>
          <w:szCs w:val="28"/>
        </w:rPr>
      </w:pPr>
      <w:r>
        <w:rPr>
          <w:rFonts w:ascii="仿宋_GB2312" w:eastAsia="仿宋_GB2312" w:hint="eastAsia"/>
          <w:color w:val="000000"/>
          <w:sz w:val="28"/>
          <w:szCs w:val="28"/>
        </w:rPr>
        <w:t>1.账号申请</w:t>
      </w:r>
    </w:p>
    <w:p w:rsidR="00FC3217" w:rsidRDefault="00FC3217" w:rsidP="00FC3217">
      <w:pPr>
        <w:ind w:firstLineChars="200" w:firstLine="560"/>
        <w:rPr>
          <w:rFonts w:ascii="仿宋_GB2312" w:eastAsia="仿宋_GB2312"/>
          <w:color w:val="000000"/>
          <w:sz w:val="28"/>
          <w:szCs w:val="28"/>
        </w:rPr>
      </w:pPr>
      <w:r>
        <w:rPr>
          <w:rFonts w:ascii="仿宋_GB2312" w:eastAsia="仿宋_GB2312" w:hint="eastAsia"/>
          <w:color w:val="000000"/>
          <w:sz w:val="28"/>
          <w:szCs w:val="28"/>
        </w:rPr>
        <w:t>从本所网站－会员/证券机构专区下载《新用户网站账号申请表》，填写盖章后传真至本所会员部（021－58878718）。</w:t>
      </w:r>
    </w:p>
    <w:p w:rsidR="00FC3217" w:rsidRDefault="00FC3217" w:rsidP="00FC3217">
      <w:pPr>
        <w:ind w:firstLineChars="200" w:firstLine="560"/>
        <w:rPr>
          <w:rFonts w:ascii="仿宋_GB2312" w:eastAsia="仿宋_GB2312"/>
          <w:color w:val="000000"/>
          <w:sz w:val="28"/>
          <w:szCs w:val="28"/>
        </w:rPr>
      </w:pPr>
      <w:r>
        <w:rPr>
          <w:rFonts w:ascii="仿宋_GB2312" w:eastAsia="仿宋_GB2312" w:hint="eastAsia"/>
          <w:color w:val="000000"/>
          <w:sz w:val="28"/>
          <w:szCs w:val="28"/>
        </w:rPr>
        <w:t>本所信息公司联系相应联系人，告知网站会员专区账号用户名和密码。</w:t>
      </w:r>
    </w:p>
    <w:p w:rsidR="00FC3217" w:rsidRDefault="00FC3217" w:rsidP="00FC3217">
      <w:pPr>
        <w:ind w:firstLineChars="200" w:firstLine="560"/>
        <w:rPr>
          <w:rFonts w:ascii="仿宋_GB2312" w:eastAsia="仿宋_GB2312"/>
          <w:color w:val="000000"/>
          <w:sz w:val="28"/>
          <w:szCs w:val="28"/>
        </w:rPr>
      </w:pPr>
      <w:r>
        <w:rPr>
          <w:rFonts w:ascii="仿宋_GB2312" w:eastAsia="仿宋_GB2312" w:hint="eastAsia"/>
          <w:color w:val="000000"/>
          <w:sz w:val="28"/>
          <w:szCs w:val="28"/>
        </w:rPr>
        <w:t>2.证书申请</w:t>
      </w:r>
    </w:p>
    <w:p w:rsidR="00FC3217" w:rsidRDefault="00FC3217" w:rsidP="00FC3217">
      <w:pPr>
        <w:ind w:firstLineChars="200" w:firstLine="560"/>
        <w:rPr>
          <w:rFonts w:ascii="仿宋_GB2312" w:eastAsia="仿宋_GB2312"/>
          <w:color w:val="000000"/>
          <w:sz w:val="28"/>
          <w:szCs w:val="28"/>
        </w:rPr>
      </w:pPr>
      <w:r>
        <w:rPr>
          <w:rFonts w:ascii="仿宋_GB2312" w:eastAsia="仿宋_GB2312" w:hint="eastAsia"/>
          <w:color w:val="000000"/>
          <w:sz w:val="28"/>
          <w:szCs w:val="28"/>
        </w:rPr>
        <w:t>从本所网站－CA中心专区下载《数字证书申请责任书》和《数字证书机构申请表》,按要求填写完成并加盖公章后传真至信息公司</w:t>
      </w:r>
    </w:p>
    <w:p w:rsidR="00FC3217" w:rsidRDefault="00FC3217" w:rsidP="00FC3217">
      <w:pPr>
        <w:rPr>
          <w:rFonts w:ascii="仿宋_GB2312" w:eastAsia="仿宋_GB2312"/>
          <w:color w:val="000000"/>
          <w:sz w:val="28"/>
          <w:szCs w:val="28"/>
        </w:rPr>
      </w:pPr>
      <w:r>
        <w:rPr>
          <w:rFonts w:ascii="仿宋_GB2312" w:eastAsia="仿宋_GB2312" w:hint="eastAsia"/>
          <w:color w:val="000000"/>
          <w:sz w:val="28"/>
          <w:szCs w:val="28"/>
        </w:rPr>
        <w:t>（021- 68819726）。</w:t>
      </w:r>
    </w:p>
    <w:p w:rsidR="00FC3217" w:rsidRDefault="00FC3217" w:rsidP="00FC3217">
      <w:pPr>
        <w:ind w:firstLineChars="200" w:firstLine="560"/>
        <w:rPr>
          <w:rFonts w:ascii="仿宋_GB2312" w:eastAsia="仿宋_GB2312"/>
          <w:color w:val="000000"/>
          <w:sz w:val="28"/>
          <w:szCs w:val="28"/>
        </w:rPr>
      </w:pPr>
      <w:r>
        <w:rPr>
          <w:rFonts w:ascii="仿宋_GB2312" w:eastAsia="仿宋_GB2312" w:hint="eastAsia"/>
          <w:color w:val="000000"/>
          <w:sz w:val="28"/>
          <w:szCs w:val="28"/>
        </w:rPr>
        <w:t>从本所网站－会员专区下载《用户EKEY及权限申请表》，填写盖</w:t>
      </w:r>
      <w:r>
        <w:rPr>
          <w:rFonts w:ascii="仿宋_GB2312" w:eastAsia="仿宋_GB2312" w:hint="eastAsia"/>
          <w:color w:val="000000"/>
          <w:sz w:val="28"/>
          <w:szCs w:val="28"/>
        </w:rPr>
        <w:lastRenderedPageBreak/>
        <w:t>章后将原件送交本所会员部。机构在会员专区所申请的首个Ekey为免费，后续申请的Ekey按上证所信息网络有限公司CnSCA中心相关规定进行收费。</w:t>
      </w:r>
    </w:p>
    <w:p w:rsidR="00FC3217" w:rsidRDefault="00FC3217" w:rsidP="00FC3217">
      <w:pPr>
        <w:ind w:firstLineChars="200" w:firstLine="560"/>
        <w:rPr>
          <w:rFonts w:ascii="仿宋_GB2312" w:eastAsia="仿宋_GB2312"/>
          <w:color w:val="000000"/>
          <w:sz w:val="28"/>
          <w:szCs w:val="28"/>
        </w:rPr>
      </w:pPr>
      <w:r>
        <w:rPr>
          <w:rFonts w:ascii="仿宋_GB2312" w:eastAsia="仿宋_GB2312" w:hint="eastAsia"/>
          <w:color w:val="000000"/>
          <w:sz w:val="28"/>
          <w:szCs w:val="28"/>
        </w:rPr>
        <w:t>3.领取证书</w:t>
      </w:r>
    </w:p>
    <w:p w:rsidR="00FC3217" w:rsidRDefault="00FC3217" w:rsidP="00FC3217">
      <w:pPr>
        <w:ind w:firstLineChars="200" w:firstLine="560"/>
        <w:rPr>
          <w:rFonts w:ascii="仿宋_GB2312" w:eastAsia="仿宋_GB2312"/>
          <w:color w:val="000000"/>
          <w:sz w:val="28"/>
          <w:szCs w:val="28"/>
        </w:rPr>
      </w:pPr>
      <w:r>
        <w:rPr>
          <w:rFonts w:ascii="仿宋_GB2312" w:eastAsia="仿宋_GB2312" w:hint="eastAsia"/>
          <w:color w:val="000000"/>
          <w:sz w:val="28"/>
          <w:szCs w:val="28"/>
        </w:rPr>
        <w:t>领取人凭已盖公章的《数字证书申请责任书》和《数字证书机构申请表》原件、单位介绍信、本人身份证件至信息公司领取数字证书。需提交已盖公章的《数字证书申请责任书》、《数字证书机构申请表》原件。</w:t>
      </w:r>
    </w:p>
    <w:p w:rsidR="00FC3217" w:rsidRDefault="00FC3217" w:rsidP="00FC3217">
      <w:pPr>
        <w:ind w:firstLineChars="200" w:firstLine="560"/>
        <w:rPr>
          <w:rFonts w:ascii="仿宋_GB2312" w:eastAsia="仿宋_GB2312"/>
          <w:color w:val="000000"/>
          <w:sz w:val="28"/>
          <w:szCs w:val="28"/>
        </w:rPr>
      </w:pPr>
      <w:r>
        <w:rPr>
          <w:rFonts w:ascii="仿宋_GB2312" w:eastAsia="仿宋_GB2312" w:hint="eastAsia"/>
          <w:color w:val="000000"/>
          <w:sz w:val="28"/>
          <w:szCs w:val="28"/>
        </w:rPr>
        <w:t>4.安装驱动程序</w:t>
      </w:r>
    </w:p>
    <w:p w:rsidR="00FC3217" w:rsidRDefault="00FC3217" w:rsidP="00FC3217">
      <w:pPr>
        <w:ind w:firstLineChars="200" w:firstLine="560"/>
        <w:rPr>
          <w:rFonts w:ascii="仿宋_GB2312" w:eastAsia="仿宋_GB2312"/>
          <w:color w:val="000000"/>
          <w:sz w:val="28"/>
          <w:szCs w:val="28"/>
        </w:rPr>
      </w:pPr>
      <w:r>
        <w:rPr>
          <w:rFonts w:ascii="仿宋_GB2312" w:eastAsia="仿宋_GB2312" w:hint="eastAsia"/>
          <w:color w:val="000000"/>
          <w:sz w:val="28"/>
          <w:szCs w:val="28"/>
        </w:rPr>
        <w:t>进入下载地址，根据型号下载驱动（下载地址：</w:t>
      </w:r>
      <w:hyperlink r:id="rId16" w:history="1">
        <w:r>
          <w:rPr>
            <w:rFonts w:ascii="仿宋_GB2312" w:eastAsia="仿宋_GB2312" w:hint="eastAsia"/>
            <w:color w:val="000000"/>
            <w:sz w:val="28"/>
            <w:szCs w:val="28"/>
          </w:rPr>
          <w:t>http://biz.sse.com.cn/sseportal/ps/zhs/ca/download.jsp</w:t>
        </w:r>
      </w:hyperlink>
      <w:r>
        <w:rPr>
          <w:rFonts w:ascii="仿宋_GB2312" w:eastAsia="仿宋_GB2312" w:hint="eastAsia"/>
          <w:color w:val="000000"/>
          <w:sz w:val="28"/>
          <w:szCs w:val="28"/>
        </w:rPr>
        <w:t>）。</w:t>
      </w:r>
    </w:p>
    <w:p w:rsidR="00FC3217" w:rsidRDefault="00FC3217" w:rsidP="00FC3217">
      <w:pPr>
        <w:pStyle w:val="2"/>
        <w:ind w:firstLine="562"/>
      </w:pPr>
      <w:bookmarkStart w:id="94" w:name="_Toc23946965"/>
      <w:r>
        <w:rPr>
          <w:rFonts w:hint="eastAsia"/>
        </w:rPr>
        <w:t>二、期货公司登记</w:t>
      </w:r>
      <w:bookmarkEnd w:id="94"/>
    </w:p>
    <w:p w:rsidR="00FC3217" w:rsidRDefault="00FC3217" w:rsidP="00FC3217">
      <w:pPr>
        <w:ind w:firstLineChars="200" w:firstLine="562"/>
        <w:rPr>
          <w:rFonts w:ascii="仿宋_GB2312" w:eastAsia="仿宋_GB2312"/>
          <w:color w:val="000000"/>
          <w:sz w:val="28"/>
          <w:szCs w:val="28"/>
        </w:rPr>
      </w:pPr>
      <w:r>
        <w:rPr>
          <w:rFonts w:ascii="仿宋_GB2312" w:eastAsia="仿宋_GB2312" w:hint="eastAsia"/>
          <w:b/>
          <w:color w:val="000000"/>
          <w:sz w:val="28"/>
          <w:szCs w:val="28"/>
        </w:rPr>
        <w:t>（一）所需材料及材料要求</w:t>
      </w:r>
    </w:p>
    <w:p w:rsidR="00FC3217" w:rsidRDefault="00FC3217" w:rsidP="00FC3217">
      <w:pPr>
        <w:ind w:firstLineChars="200" w:firstLine="560"/>
        <w:rPr>
          <w:rFonts w:ascii="仿宋_GB2312" w:eastAsia="仿宋_GB2312"/>
          <w:color w:val="000000"/>
          <w:sz w:val="28"/>
          <w:szCs w:val="28"/>
        </w:rPr>
      </w:pPr>
      <w:r>
        <w:rPr>
          <w:rFonts w:ascii="仿宋_GB2312" w:eastAsia="仿宋_GB2312" w:hint="eastAsia"/>
          <w:color w:val="000000"/>
          <w:sz w:val="28"/>
          <w:szCs w:val="28"/>
        </w:rPr>
        <w:t>向本所提交的材料具体如下：</w:t>
      </w:r>
    </w:p>
    <w:p w:rsidR="00FC3217" w:rsidRDefault="00FC3217" w:rsidP="00FC3217">
      <w:pPr>
        <w:numPr>
          <w:ilvl w:val="0"/>
          <w:numId w:val="2"/>
        </w:numPr>
        <w:rPr>
          <w:rFonts w:ascii="仿宋_GB2312" w:eastAsia="仿宋_GB2312"/>
          <w:color w:val="000000"/>
          <w:sz w:val="28"/>
          <w:szCs w:val="28"/>
        </w:rPr>
      </w:pPr>
      <w:r>
        <w:rPr>
          <w:rFonts w:ascii="仿宋_GB2312" w:eastAsia="仿宋_GB2312" w:hint="eastAsia"/>
          <w:color w:val="000000"/>
          <w:sz w:val="28"/>
          <w:szCs w:val="28"/>
        </w:rPr>
        <w:t>主管机关同意公司设立的批复（加盖公章）；</w:t>
      </w:r>
    </w:p>
    <w:p w:rsidR="00FC3217" w:rsidRDefault="00FC3217" w:rsidP="00FC3217">
      <w:pPr>
        <w:numPr>
          <w:ilvl w:val="0"/>
          <w:numId w:val="2"/>
        </w:numPr>
        <w:rPr>
          <w:rFonts w:ascii="仿宋_GB2312" w:eastAsia="仿宋_GB2312"/>
          <w:color w:val="000000"/>
          <w:sz w:val="28"/>
          <w:szCs w:val="28"/>
        </w:rPr>
      </w:pPr>
      <w:r>
        <w:rPr>
          <w:rFonts w:ascii="仿宋_GB2312" w:eastAsia="仿宋_GB2312" w:hint="eastAsia"/>
          <w:color w:val="000000"/>
          <w:sz w:val="28"/>
          <w:szCs w:val="28"/>
        </w:rPr>
        <w:t>金融许可证（加盖公章）；</w:t>
      </w:r>
    </w:p>
    <w:p w:rsidR="00FC3217" w:rsidRDefault="00FC3217" w:rsidP="00FC3217">
      <w:pPr>
        <w:ind w:firstLineChars="200" w:firstLine="560"/>
        <w:rPr>
          <w:rFonts w:ascii="仿宋_GB2312" w:eastAsia="仿宋_GB2312"/>
          <w:color w:val="000000"/>
          <w:sz w:val="28"/>
          <w:szCs w:val="28"/>
        </w:rPr>
      </w:pPr>
      <w:r>
        <w:rPr>
          <w:rFonts w:ascii="仿宋_GB2312" w:eastAsia="仿宋_GB2312" w:hint="eastAsia"/>
          <w:color w:val="000000"/>
          <w:sz w:val="28"/>
          <w:szCs w:val="28"/>
        </w:rPr>
        <w:t>3.企业法人营业执照（加盖公章）；</w:t>
      </w:r>
    </w:p>
    <w:p w:rsidR="00FC3217" w:rsidRDefault="00FC3217" w:rsidP="00FC3217">
      <w:pPr>
        <w:ind w:firstLineChars="200" w:firstLine="560"/>
        <w:rPr>
          <w:rFonts w:ascii="仿宋_GB2312" w:eastAsia="仿宋_GB2312"/>
          <w:color w:val="000000"/>
          <w:sz w:val="28"/>
          <w:szCs w:val="28"/>
        </w:rPr>
      </w:pPr>
      <w:r>
        <w:rPr>
          <w:rFonts w:ascii="仿宋_GB2312" w:eastAsia="仿宋_GB2312" w:hint="eastAsia"/>
          <w:color w:val="000000"/>
          <w:sz w:val="28"/>
          <w:szCs w:val="28"/>
        </w:rPr>
        <w:t>4.申请报告（加盖公章）；</w:t>
      </w:r>
    </w:p>
    <w:p w:rsidR="00FC3217" w:rsidRDefault="00FC3217" w:rsidP="00FC3217">
      <w:pPr>
        <w:ind w:firstLineChars="200" w:firstLine="560"/>
        <w:rPr>
          <w:rFonts w:ascii="仿宋_GB2312" w:eastAsia="仿宋_GB2312"/>
          <w:color w:val="000000"/>
          <w:sz w:val="28"/>
          <w:szCs w:val="28"/>
        </w:rPr>
      </w:pPr>
      <w:r>
        <w:rPr>
          <w:rFonts w:ascii="仿宋_GB2312" w:eastAsia="仿宋_GB2312" w:hint="eastAsia"/>
          <w:color w:val="000000"/>
          <w:sz w:val="28"/>
          <w:szCs w:val="28"/>
        </w:rPr>
        <w:t>5.专职人员及主要管理人员概况；</w:t>
      </w:r>
    </w:p>
    <w:p w:rsidR="00FC3217" w:rsidRDefault="00FC3217" w:rsidP="00FC3217">
      <w:pPr>
        <w:ind w:firstLineChars="200" w:firstLine="560"/>
        <w:rPr>
          <w:rFonts w:ascii="仿宋_GB2312" w:eastAsia="仿宋_GB2312"/>
          <w:color w:val="000000"/>
          <w:sz w:val="28"/>
          <w:szCs w:val="28"/>
        </w:rPr>
      </w:pPr>
      <w:r>
        <w:rPr>
          <w:rFonts w:ascii="仿宋_GB2312" w:eastAsia="仿宋_GB2312" w:hint="eastAsia"/>
          <w:color w:val="000000"/>
          <w:sz w:val="28"/>
          <w:szCs w:val="28"/>
        </w:rPr>
        <w:t>6.公司章程；</w:t>
      </w:r>
    </w:p>
    <w:p w:rsidR="00FC3217" w:rsidRDefault="00FC3217" w:rsidP="00FC3217">
      <w:pPr>
        <w:ind w:firstLineChars="200" w:firstLine="560"/>
        <w:rPr>
          <w:rFonts w:ascii="仿宋_GB2312" w:eastAsia="仿宋_GB2312"/>
          <w:color w:val="000000"/>
          <w:sz w:val="28"/>
          <w:szCs w:val="28"/>
        </w:rPr>
      </w:pPr>
      <w:r>
        <w:rPr>
          <w:rFonts w:ascii="仿宋_GB2312" w:eastAsia="仿宋_GB2312" w:hint="eastAsia"/>
          <w:color w:val="000000"/>
          <w:sz w:val="28"/>
          <w:szCs w:val="28"/>
        </w:rPr>
        <w:t>7.公司内控制度。</w:t>
      </w:r>
    </w:p>
    <w:p w:rsidR="00FC3217" w:rsidRDefault="00FC3217" w:rsidP="00FC3217">
      <w:pPr>
        <w:ind w:firstLineChars="200" w:firstLine="562"/>
        <w:rPr>
          <w:rFonts w:ascii="仿宋_GB2312" w:eastAsia="仿宋_GB2312"/>
          <w:b/>
          <w:color w:val="000000"/>
          <w:sz w:val="28"/>
          <w:szCs w:val="28"/>
        </w:rPr>
      </w:pPr>
      <w:r>
        <w:rPr>
          <w:rFonts w:ascii="仿宋_GB2312" w:eastAsia="仿宋_GB2312" w:hint="eastAsia"/>
          <w:b/>
          <w:color w:val="000000"/>
          <w:sz w:val="28"/>
          <w:szCs w:val="28"/>
        </w:rPr>
        <w:lastRenderedPageBreak/>
        <w:t>（二）材料提交方式</w:t>
      </w:r>
    </w:p>
    <w:p w:rsidR="00FC3217" w:rsidRDefault="00FC3217" w:rsidP="00FC3217">
      <w:pPr>
        <w:ind w:firstLineChars="200" w:firstLine="560"/>
        <w:rPr>
          <w:rFonts w:ascii="仿宋_GB2312" w:eastAsia="仿宋_GB2312"/>
          <w:color w:val="000000"/>
          <w:sz w:val="28"/>
          <w:szCs w:val="28"/>
        </w:rPr>
      </w:pPr>
      <w:r>
        <w:rPr>
          <w:rFonts w:ascii="仿宋_GB2312" w:eastAsia="仿宋_GB2312" w:hint="eastAsia"/>
          <w:color w:val="000000"/>
          <w:sz w:val="28"/>
          <w:szCs w:val="28"/>
        </w:rPr>
        <w:t>期货公司使用会员专区账号用户名和密码登陆上交所网站会员/机构专区，通过本所官网——会员/证券机构专区——业务办理——非会员业务办理——非会员机构新设功能发起申请，上传以上材料。</w:t>
      </w:r>
    </w:p>
    <w:p w:rsidR="00FC3217" w:rsidRDefault="00FC3217" w:rsidP="00FC3217">
      <w:pPr>
        <w:ind w:firstLineChars="200" w:firstLine="560"/>
        <w:rPr>
          <w:rFonts w:ascii="仿宋_GB2312" w:eastAsia="仿宋_GB2312"/>
          <w:color w:val="000000"/>
          <w:sz w:val="28"/>
          <w:szCs w:val="28"/>
        </w:rPr>
      </w:pPr>
      <w:r>
        <w:rPr>
          <w:rFonts w:ascii="仿宋_GB2312" w:eastAsia="仿宋_GB2312" w:hint="eastAsia"/>
          <w:color w:val="000000"/>
          <w:sz w:val="28"/>
          <w:szCs w:val="28"/>
        </w:rPr>
        <w:t>申请材料须为PDF形式的电子扫描件。</w:t>
      </w:r>
    </w:p>
    <w:p w:rsidR="00FC3217" w:rsidRDefault="00FC3217" w:rsidP="00FC3217">
      <w:pPr>
        <w:pStyle w:val="2"/>
        <w:ind w:firstLine="562"/>
      </w:pPr>
      <w:bookmarkStart w:id="95" w:name="_Toc23946966"/>
      <w:r>
        <w:rPr>
          <w:rFonts w:hint="eastAsia"/>
        </w:rPr>
        <w:t>三、交易单元预约与新设</w:t>
      </w:r>
      <w:bookmarkEnd w:id="95"/>
    </w:p>
    <w:p w:rsidR="00FC3217" w:rsidRDefault="00FC3217" w:rsidP="00FC3217">
      <w:pPr>
        <w:ind w:firstLineChars="200" w:firstLine="562"/>
        <w:rPr>
          <w:rFonts w:ascii="仿宋_GB2312" w:eastAsia="仿宋_GB2312"/>
          <w:b/>
          <w:color w:val="000000"/>
          <w:sz w:val="28"/>
          <w:szCs w:val="28"/>
        </w:rPr>
      </w:pPr>
      <w:r>
        <w:rPr>
          <w:rFonts w:ascii="仿宋_GB2312" w:eastAsia="仿宋_GB2312" w:hint="eastAsia"/>
          <w:b/>
          <w:color w:val="000000"/>
          <w:sz w:val="28"/>
          <w:szCs w:val="28"/>
        </w:rPr>
        <w:t>（一）交易单元预约</w:t>
      </w:r>
    </w:p>
    <w:p w:rsidR="00FC3217" w:rsidRDefault="00FC3217" w:rsidP="00FC3217">
      <w:pPr>
        <w:ind w:firstLineChars="200" w:firstLine="560"/>
        <w:rPr>
          <w:rFonts w:ascii="仿宋_GB2312" w:eastAsia="仿宋_GB2312"/>
          <w:color w:val="000000"/>
          <w:sz w:val="28"/>
          <w:szCs w:val="28"/>
        </w:rPr>
      </w:pPr>
      <w:r>
        <w:rPr>
          <w:rFonts w:ascii="仿宋_GB2312" w:eastAsia="仿宋_GB2312" w:hint="eastAsia"/>
          <w:color w:val="000000"/>
          <w:sz w:val="28"/>
          <w:szCs w:val="28"/>
        </w:rPr>
        <w:t>期货公司申请交易单元，须先致电021-68807809预约分配交易单元号。</w:t>
      </w:r>
    </w:p>
    <w:p w:rsidR="00FC3217" w:rsidRDefault="00FC3217" w:rsidP="00FC3217">
      <w:pPr>
        <w:ind w:firstLineChars="200" w:firstLine="562"/>
        <w:rPr>
          <w:rFonts w:ascii="仿宋_GB2312" w:eastAsia="仿宋_GB2312"/>
          <w:b/>
          <w:color w:val="000000"/>
          <w:sz w:val="28"/>
          <w:szCs w:val="28"/>
        </w:rPr>
      </w:pPr>
      <w:r>
        <w:rPr>
          <w:rFonts w:ascii="仿宋_GB2312" w:eastAsia="仿宋_GB2312" w:hint="eastAsia"/>
          <w:b/>
          <w:color w:val="000000"/>
          <w:sz w:val="28"/>
          <w:szCs w:val="28"/>
        </w:rPr>
        <w:t>（二）交易单元新设</w:t>
      </w:r>
    </w:p>
    <w:p w:rsidR="00FC3217" w:rsidRDefault="00FC3217" w:rsidP="00FC3217">
      <w:pPr>
        <w:ind w:firstLineChars="200" w:firstLine="560"/>
        <w:rPr>
          <w:rFonts w:ascii="仿宋_GB2312" w:eastAsia="仿宋_GB2312"/>
          <w:color w:val="000000"/>
          <w:sz w:val="28"/>
          <w:szCs w:val="28"/>
        </w:rPr>
      </w:pPr>
      <w:r>
        <w:rPr>
          <w:rFonts w:ascii="仿宋_GB2312" w:eastAsia="仿宋_GB2312" w:hint="eastAsia"/>
          <w:color w:val="000000"/>
          <w:sz w:val="28"/>
          <w:szCs w:val="28"/>
        </w:rPr>
        <w:t>期货公司T日完成交易单元预约后，在T+1日，使用会员专区账号用户名和密码登陆本所会员/证券机构专区，通过本所官网——会员专区——业务办理——非会员业务办理——非会员交易单元新设提交交易单元新设申请。</w:t>
      </w:r>
    </w:p>
    <w:p w:rsidR="00FC3217" w:rsidRDefault="00FC3217" w:rsidP="00FC3217">
      <w:pPr>
        <w:pStyle w:val="2"/>
        <w:ind w:firstLine="562"/>
      </w:pPr>
      <w:bookmarkStart w:id="96" w:name="_Toc23946967"/>
      <w:r>
        <w:rPr>
          <w:rFonts w:hint="eastAsia"/>
        </w:rPr>
        <w:t>四</w:t>
      </w:r>
      <w:bookmarkStart w:id="97" w:name="_Toc408749907"/>
      <w:bookmarkStart w:id="98" w:name="_Toc2274"/>
      <w:bookmarkStart w:id="99" w:name="_Toc29757"/>
      <w:bookmarkStart w:id="100" w:name="_Toc25698"/>
      <w:bookmarkStart w:id="101" w:name="_Toc27967"/>
      <w:r>
        <w:rPr>
          <w:rFonts w:hint="eastAsia"/>
        </w:rPr>
        <w:t>、申请</w:t>
      </w:r>
      <w:bookmarkEnd w:id="92"/>
      <w:r>
        <w:rPr>
          <w:rFonts w:hint="eastAsia"/>
        </w:rPr>
        <w:t>股票期权</w:t>
      </w:r>
      <w:bookmarkEnd w:id="93"/>
      <w:r>
        <w:rPr>
          <w:rFonts w:hint="eastAsia"/>
        </w:rPr>
        <w:t>交易参与人</w:t>
      </w:r>
      <w:bookmarkEnd w:id="96"/>
      <w:bookmarkEnd w:id="97"/>
      <w:bookmarkEnd w:id="98"/>
      <w:bookmarkEnd w:id="99"/>
      <w:bookmarkEnd w:id="100"/>
      <w:bookmarkEnd w:id="101"/>
    </w:p>
    <w:p w:rsidR="00FC3217" w:rsidRDefault="00FC3217" w:rsidP="00FC3217">
      <w:pPr>
        <w:ind w:firstLineChars="200" w:firstLine="560"/>
        <w:rPr>
          <w:rFonts w:ascii="仿宋_GB2312" w:eastAsia="仿宋_GB2312"/>
          <w:color w:val="000000"/>
          <w:sz w:val="28"/>
          <w:szCs w:val="28"/>
        </w:rPr>
      </w:pPr>
      <w:r>
        <w:rPr>
          <w:rFonts w:ascii="仿宋_GB2312" w:eastAsia="仿宋_GB2312" w:hint="eastAsia"/>
          <w:color w:val="000000"/>
          <w:sz w:val="28"/>
          <w:szCs w:val="28"/>
        </w:rPr>
        <w:t>期货公司申请从事本所股票期权经纪业务试点，应当确认符合中国结算参与人资格后，向本所提交申请股票期权经纪业务的材料,以获得本所交易参与人资格；同时应当向中国结算申请结算参与人资格，结算参与人资格的申请材料由中国结算规定。具体要求由中国结算规定。</w:t>
      </w:r>
    </w:p>
    <w:p w:rsidR="00FC3217" w:rsidRDefault="00FC3217" w:rsidP="00FC3217">
      <w:pPr>
        <w:ind w:firstLineChars="200" w:firstLine="562"/>
        <w:rPr>
          <w:rFonts w:ascii="仿宋_GB2312" w:eastAsia="仿宋_GB2312"/>
          <w:color w:val="000000"/>
          <w:sz w:val="28"/>
          <w:szCs w:val="28"/>
        </w:rPr>
      </w:pPr>
      <w:r>
        <w:rPr>
          <w:rFonts w:ascii="仿宋_GB2312" w:eastAsia="仿宋_GB2312" w:hint="eastAsia"/>
          <w:b/>
          <w:color w:val="000000"/>
          <w:sz w:val="28"/>
          <w:szCs w:val="28"/>
        </w:rPr>
        <w:lastRenderedPageBreak/>
        <w:t>（一）所需材料及材料要求</w:t>
      </w:r>
    </w:p>
    <w:p w:rsidR="00FC3217" w:rsidRDefault="00FC3217" w:rsidP="00FC3217">
      <w:pPr>
        <w:ind w:firstLineChars="200" w:firstLine="560"/>
        <w:rPr>
          <w:rFonts w:ascii="仿宋_GB2312" w:eastAsia="仿宋_GB2312"/>
          <w:color w:val="000000"/>
          <w:sz w:val="28"/>
          <w:szCs w:val="28"/>
        </w:rPr>
      </w:pPr>
      <w:r>
        <w:rPr>
          <w:rFonts w:ascii="仿宋_GB2312" w:eastAsia="仿宋_GB2312" w:hint="eastAsia"/>
          <w:color w:val="000000"/>
          <w:sz w:val="28"/>
          <w:szCs w:val="28"/>
        </w:rPr>
        <w:t>向本所提交的股票期权经纪业务交易参与人资格材料具体如下：</w:t>
      </w:r>
    </w:p>
    <w:p w:rsidR="00FC3217" w:rsidRDefault="00FC3217" w:rsidP="00FC3217">
      <w:pPr>
        <w:ind w:firstLineChars="200" w:firstLine="560"/>
        <w:rPr>
          <w:rFonts w:ascii="仿宋_GB2312" w:eastAsia="仿宋_GB2312"/>
          <w:color w:val="000000"/>
          <w:sz w:val="28"/>
          <w:szCs w:val="28"/>
        </w:rPr>
      </w:pPr>
      <w:r>
        <w:rPr>
          <w:rFonts w:ascii="仿宋_GB2312" w:eastAsia="仿宋_GB2312" w:hint="eastAsia"/>
          <w:color w:val="000000"/>
          <w:sz w:val="28"/>
          <w:szCs w:val="28"/>
        </w:rPr>
        <w:t>1.股票期权经纪业务资格申请书（</w:t>
      </w:r>
      <w:r>
        <w:rPr>
          <w:rFonts w:ascii="仿宋_GB2312" w:eastAsia="仿宋_GB2312" w:hint="eastAsia"/>
          <w:sz w:val="28"/>
          <w:szCs w:val="28"/>
        </w:rPr>
        <w:t>法定代表人签字并</w:t>
      </w:r>
      <w:r>
        <w:rPr>
          <w:rFonts w:ascii="仿宋_GB2312" w:eastAsia="仿宋_GB2312" w:hint="eastAsia"/>
          <w:color w:val="000000"/>
          <w:sz w:val="28"/>
          <w:szCs w:val="28"/>
        </w:rPr>
        <w:t>加盖公司公章）；</w:t>
      </w:r>
    </w:p>
    <w:p w:rsidR="00FC3217" w:rsidRDefault="00FC3217" w:rsidP="00FC3217">
      <w:pPr>
        <w:ind w:firstLineChars="200" w:firstLine="560"/>
        <w:rPr>
          <w:rFonts w:ascii="仿宋_GB2312" w:eastAsia="仿宋_GB2312"/>
          <w:color w:val="000000"/>
          <w:sz w:val="28"/>
          <w:szCs w:val="28"/>
        </w:rPr>
      </w:pPr>
      <w:r>
        <w:rPr>
          <w:rFonts w:ascii="仿宋_GB2312" w:eastAsia="仿宋_GB2312" w:hint="eastAsia"/>
          <w:color w:val="000000"/>
          <w:sz w:val="28"/>
          <w:szCs w:val="28"/>
        </w:rPr>
        <w:t>2.企业法人营业执照、组织机构代码证副本复印件（加盖公章）；</w:t>
      </w:r>
    </w:p>
    <w:p w:rsidR="00FC3217" w:rsidRDefault="00FC3217" w:rsidP="00FC3217">
      <w:pPr>
        <w:ind w:firstLineChars="200" w:firstLine="560"/>
        <w:rPr>
          <w:rFonts w:ascii="仿宋_GB2312" w:eastAsia="仿宋_GB2312"/>
          <w:color w:val="000000"/>
          <w:sz w:val="28"/>
          <w:szCs w:val="28"/>
        </w:rPr>
      </w:pPr>
      <w:r>
        <w:rPr>
          <w:rFonts w:ascii="仿宋_GB2312" w:eastAsia="仿宋_GB2312" w:hint="eastAsia"/>
          <w:color w:val="000000"/>
          <w:sz w:val="28"/>
          <w:szCs w:val="28"/>
        </w:rPr>
        <w:t>3.股票期权经纪业务就绪自查承诺书（分管股票期权经纪业务的高级管理人员在业务就绪自查承诺书上签字，加盖公章）；</w:t>
      </w:r>
    </w:p>
    <w:p w:rsidR="00FC3217" w:rsidRDefault="00FC3217" w:rsidP="00FC3217">
      <w:pPr>
        <w:ind w:firstLineChars="200" w:firstLine="560"/>
        <w:rPr>
          <w:rFonts w:ascii="仿宋_GB2312" w:eastAsia="仿宋_GB2312"/>
          <w:color w:val="000000"/>
          <w:sz w:val="28"/>
          <w:szCs w:val="28"/>
        </w:rPr>
      </w:pPr>
      <w:r>
        <w:rPr>
          <w:rFonts w:ascii="仿宋_GB2312" w:eastAsia="仿宋_GB2312" w:hint="eastAsia"/>
          <w:color w:val="000000"/>
          <w:sz w:val="28"/>
          <w:szCs w:val="28"/>
        </w:rPr>
        <w:t>4.股东会（股东大会）或董事会关于开展股票期权经纪业务的决议文件；</w:t>
      </w:r>
    </w:p>
    <w:p w:rsidR="00FC3217" w:rsidRDefault="00FC3217" w:rsidP="00FC3217">
      <w:pPr>
        <w:ind w:firstLineChars="200" w:firstLine="560"/>
        <w:rPr>
          <w:rFonts w:ascii="仿宋_GB2312" w:eastAsia="仿宋_GB2312"/>
          <w:color w:val="000000"/>
          <w:sz w:val="28"/>
          <w:szCs w:val="28"/>
        </w:rPr>
      </w:pPr>
      <w:r>
        <w:rPr>
          <w:rFonts w:ascii="仿宋_GB2312" w:eastAsia="仿宋_GB2312" w:hint="eastAsia"/>
          <w:color w:val="000000"/>
          <w:sz w:val="28"/>
          <w:szCs w:val="28"/>
        </w:rPr>
        <w:t>5.股票期权和标的证券现货经纪业务方案、内部风险控制与管理制度、投资者适当性管理制度文本；</w:t>
      </w:r>
    </w:p>
    <w:p w:rsidR="00FC3217" w:rsidRDefault="00FC3217" w:rsidP="00FC3217">
      <w:pPr>
        <w:ind w:firstLineChars="200" w:firstLine="560"/>
        <w:rPr>
          <w:rFonts w:ascii="仿宋_GB2312" w:eastAsia="仿宋_GB2312"/>
          <w:color w:val="000000"/>
          <w:sz w:val="28"/>
          <w:szCs w:val="28"/>
        </w:rPr>
      </w:pPr>
      <w:r>
        <w:rPr>
          <w:rFonts w:ascii="仿宋_GB2312" w:eastAsia="仿宋_GB2312" w:hint="eastAsia"/>
          <w:color w:val="000000"/>
          <w:sz w:val="28"/>
          <w:szCs w:val="28"/>
        </w:rPr>
        <w:t>6.负责股票期权经纪业务和标的证券现货业务的高级管理人员与主要业务人员的名册及资质证明文件（表格格式见附件，包括高管任职资格证明、证券从业资格证书、期货从业资格证书等）及联系方式，其中主要业务人员包括但不限于股票期权经纪业务部门相关人员、其他部门与期权业务密切相关的人员等；</w:t>
      </w:r>
      <w:r>
        <w:rPr>
          <w:rFonts w:ascii="仿宋_GB2312" w:eastAsia="仿宋_GB2312" w:hint="eastAsia"/>
          <w:sz w:val="28"/>
          <w:szCs w:val="28"/>
        </w:rPr>
        <w:t>（经纪业务开展过程中如有人员变动，应及时向交易所报备，报备邮箱地址：optionbc@sse.com.cn）；</w:t>
      </w:r>
    </w:p>
    <w:p w:rsidR="00FC3217" w:rsidRDefault="00FC3217" w:rsidP="00FC3217">
      <w:pPr>
        <w:ind w:firstLineChars="200" w:firstLine="560"/>
        <w:rPr>
          <w:rFonts w:ascii="仿宋_GB2312" w:eastAsia="仿宋_GB2312"/>
          <w:color w:val="000000"/>
          <w:sz w:val="28"/>
          <w:szCs w:val="28"/>
        </w:rPr>
      </w:pPr>
      <w:r>
        <w:rPr>
          <w:rFonts w:ascii="仿宋_GB2312" w:eastAsia="仿宋_GB2312" w:hint="eastAsia"/>
          <w:color w:val="000000"/>
          <w:sz w:val="28"/>
          <w:szCs w:val="28"/>
        </w:rPr>
        <w:t>7.股票期权经纪业务全成本（包括与期权直接或间接相关的可变成本与固定成本）测算报告及股票期权合约每张收费计划；</w:t>
      </w:r>
    </w:p>
    <w:p w:rsidR="00FC3217" w:rsidRDefault="00FC3217" w:rsidP="00FC3217">
      <w:pPr>
        <w:ind w:firstLineChars="200" w:firstLine="560"/>
        <w:rPr>
          <w:rFonts w:ascii="仿宋_GB2312" w:eastAsia="仿宋_GB2312"/>
          <w:color w:val="000000"/>
          <w:sz w:val="28"/>
          <w:szCs w:val="28"/>
        </w:rPr>
      </w:pPr>
      <w:r>
        <w:rPr>
          <w:rFonts w:ascii="仿宋_GB2312" w:eastAsia="仿宋_GB2312" w:hint="eastAsia"/>
          <w:color w:val="000000"/>
          <w:sz w:val="28"/>
          <w:szCs w:val="28"/>
        </w:rPr>
        <w:t>8.通过本所股票期权现场检查的证明文件；</w:t>
      </w:r>
    </w:p>
    <w:p w:rsidR="00FC3217" w:rsidRDefault="00FC3217" w:rsidP="00FC3217">
      <w:pPr>
        <w:ind w:firstLineChars="200" w:firstLine="560"/>
        <w:rPr>
          <w:rFonts w:ascii="仿宋_GB2312" w:eastAsia="仿宋_GB2312"/>
          <w:color w:val="000000"/>
          <w:sz w:val="28"/>
          <w:szCs w:val="28"/>
        </w:rPr>
      </w:pPr>
      <w:r>
        <w:rPr>
          <w:rFonts w:ascii="仿宋_GB2312" w:eastAsia="仿宋_GB2312" w:hint="eastAsia"/>
          <w:color w:val="000000"/>
          <w:sz w:val="28"/>
          <w:szCs w:val="28"/>
        </w:rPr>
        <w:t>9.遵守本所业务规则的承诺书（加盖公章）;</w:t>
      </w:r>
    </w:p>
    <w:p w:rsidR="00FC3217" w:rsidRDefault="00FC3217" w:rsidP="00FC3217">
      <w:pPr>
        <w:ind w:firstLineChars="200" w:firstLine="560"/>
        <w:rPr>
          <w:rFonts w:ascii="仿宋_GB2312" w:eastAsia="仿宋_GB2312"/>
          <w:color w:val="000000"/>
          <w:sz w:val="28"/>
          <w:szCs w:val="28"/>
        </w:rPr>
      </w:pPr>
      <w:r>
        <w:rPr>
          <w:rFonts w:ascii="仿宋_GB2312" w:eastAsia="仿宋_GB2312" w:hint="eastAsia"/>
          <w:color w:val="000000"/>
          <w:sz w:val="28"/>
          <w:szCs w:val="28"/>
        </w:rPr>
        <w:lastRenderedPageBreak/>
        <w:t>10.本所规定的其他申请材料。</w:t>
      </w:r>
    </w:p>
    <w:p w:rsidR="00FC3217" w:rsidRDefault="00FC3217" w:rsidP="00FC3217">
      <w:pPr>
        <w:ind w:firstLineChars="200" w:firstLine="562"/>
        <w:rPr>
          <w:rFonts w:ascii="仿宋_GB2312" w:eastAsia="仿宋_GB2312"/>
          <w:b/>
          <w:color w:val="000000"/>
          <w:sz w:val="28"/>
          <w:szCs w:val="28"/>
        </w:rPr>
      </w:pPr>
      <w:r>
        <w:rPr>
          <w:rFonts w:ascii="仿宋_GB2312" w:eastAsia="仿宋_GB2312" w:hint="eastAsia"/>
          <w:b/>
          <w:color w:val="000000"/>
          <w:sz w:val="28"/>
          <w:szCs w:val="28"/>
        </w:rPr>
        <w:t>（二）材料提交方式</w:t>
      </w:r>
    </w:p>
    <w:p w:rsidR="00FC3217" w:rsidRDefault="00FC3217" w:rsidP="00FC3217">
      <w:pPr>
        <w:ind w:firstLineChars="200" w:firstLine="560"/>
        <w:rPr>
          <w:rFonts w:ascii="仿宋_GB2312" w:eastAsia="仿宋_GB2312"/>
          <w:color w:val="000000"/>
          <w:sz w:val="28"/>
          <w:szCs w:val="28"/>
        </w:rPr>
      </w:pPr>
      <w:r>
        <w:rPr>
          <w:rFonts w:ascii="仿宋_GB2312" w:eastAsia="仿宋_GB2312" w:hint="eastAsia"/>
          <w:color w:val="000000"/>
          <w:sz w:val="28"/>
          <w:szCs w:val="28"/>
        </w:rPr>
        <w:t>期货公司使用会员专区账号用户名和密码登陆上交所网站会员/机构专区，通过本所官网——会员/证券机构专区——业务办理——期权业务办理功能发起申请，上传以上材料。</w:t>
      </w:r>
    </w:p>
    <w:p w:rsidR="00FC3217" w:rsidRDefault="00FC3217" w:rsidP="00FC3217">
      <w:pPr>
        <w:ind w:firstLineChars="200" w:firstLine="560"/>
        <w:rPr>
          <w:rFonts w:ascii="仿宋_GB2312" w:eastAsia="仿宋_GB2312"/>
          <w:color w:val="000000"/>
          <w:sz w:val="28"/>
          <w:szCs w:val="28"/>
        </w:rPr>
      </w:pPr>
      <w:r>
        <w:rPr>
          <w:rFonts w:ascii="仿宋_GB2312" w:eastAsia="仿宋_GB2312" w:hint="eastAsia"/>
          <w:color w:val="000000"/>
          <w:sz w:val="28"/>
          <w:szCs w:val="28"/>
        </w:rPr>
        <w:t>申请材料须为PDF形式的电子扫描件。</w:t>
      </w:r>
    </w:p>
    <w:p w:rsidR="00FC3217" w:rsidRDefault="00FC3217" w:rsidP="00FC3217">
      <w:pPr>
        <w:ind w:firstLineChars="200" w:firstLine="562"/>
        <w:rPr>
          <w:rFonts w:ascii="仿宋_GB2312" w:eastAsia="仿宋_GB2312"/>
          <w:b/>
          <w:color w:val="000000"/>
          <w:sz w:val="28"/>
          <w:szCs w:val="28"/>
        </w:rPr>
      </w:pPr>
      <w:r>
        <w:rPr>
          <w:rFonts w:ascii="仿宋_GB2312" w:eastAsia="仿宋_GB2312" w:hint="eastAsia"/>
          <w:b/>
          <w:color w:val="000000"/>
          <w:sz w:val="28"/>
          <w:szCs w:val="28"/>
        </w:rPr>
        <w:t>（三）申请确认</w:t>
      </w:r>
    </w:p>
    <w:p w:rsidR="00FC3217" w:rsidRDefault="00FC3217" w:rsidP="00FC3217">
      <w:pPr>
        <w:ind w:firstLineChars="200" w:firstLine="560"/>
        <w:rPr>
          <w:rFonts w:ascii="仿宋_GB2312" w:eastAsia="仿宋_GB2312"/>
          <w:color w:val="000000"/>
          <w:sz w:val="28"/>
          <w:szCs w:val="28"/>
        </w:rPr>
      </w:pPr>
      <w:r>
        <w:rPr>
          <w:rFonts w:ascii="仿宋_GB2312" w:eastAsia="仿宋_GB2312" w:hint="eastAsia"/>
          <w:color w:val="000000"/>
          <w:sz w:val="28"/>
          <w:szCs w:val="28"/>
        </w:rPr>
        <w:t>期货公司符合申请条件且申请材料齐备的，本所自收到申请材料之日起10个交易日</w:t>
      </w:r>
      <w:r>
        <w:rPr>
          <w:rFonts w:ascii="仿宋_GB2312" w:eastAsia="仿宋_GB2312" w:hint="eastAsia"/>
          <w:sz w:val="28"/>
          <w:szCs w:val="28"/>
        </w:rPr>
        <w:t>内做出是否同意的决定。同意其为股票期权交易参与人的，本所向</w:t>
      </w:r>
      <w:r>
        <w:rPr>
          <w:rFonts w:ascii="仿宋_GB2312" w:eastAsia="仿宋_GB2312" w:hint="eastAsia"/>
          <w:color w:val="000000"/>
          <w:sz w:val="28"/>
          <w:szCs w:val="28"/>
        </w:rPr>
        <w:t>其发出同意期货公司成为本所交易参与人的通知。需要补充申请材料的，本所将通知申请人及时补充材料，补充材料的时间不包含在上述10个交易日内。</w:t>
      </w:r>
    </w:p>
    <w:p w:rsidR="00FC3217" w:rsidRDefault="00FC3217" w:rsidP="00FC3217">
      <w:pPr>
        <w:ind w:firstLineChars="200" w:firstLine="560"/>
        <w:rPr>
          <w:rFonts w:ascii="仿宋_GB2312" w:eastAsia="仿宋_GB2312"/>
          <w:color w:val="000000"/>
          <w:sz w:val="28"/>
          <w:szCs w:val="28"/>
        </w:rPr>
      </w:pPr>
      <w:r>
        <w:rPr>
          <w:rFonts w:ascii="仿宋_GB2312" w:eastAsia="仿宋_GB2312" w:hint="eastAsia"/>
          <w:color w:val="000000"/>
          <w:sz w:val="28"/>
          <w:szCs w:val="28"/>
        </w:rPr>
        <w:t>期货公司向本所申请交易参与人资格的同时，应向中国结算申请结算参与人资格。</w:t>
      </w:r>
    </w:p>
    <w:p w:rsidR="00FC3217" w:rsidRDefault="00FC3217" w:rsidP="00FC3217">
      <w:pPr>
        <w:pStyle w:val="2"/>
        <w:ind w:firstLine="562"/>
      </w:pPr>
      <w:bookmarkStart w:id="102" w:name="_Toc408749908"/>
      <w:bookmarkStart w:id="103" w:name="_Toc21041"/>
      <w:bookmarkStart w:id="104" w:name="_Toc1860"/>
      <w:bookmarkStart w:id="105" w:name="_Toc15582"/>
      <w:bookmarkStart w:id="106" w:name="_Toc13350"/>
      <w:bookmarkStart w:id="107" w:name="_Toc23946968"/>
      <w:bookmarkStart w:id="108" w:name="_Toc406438883"/>
      <w:r>
        <w:rPr>
          <w:rFonts w:hint="eastAsia"/>
        </w:rPr>
        <w:t>五、交易单元预约与新设</w:t>
      </w:r>
      <w:bookmarkEnd w:id="102"/>
      <w:bookmarkEnd w:id="103"/>
      <w:bookmarkEnd w:id="104"/>
      <w:bookmarkEnd w:id="105"/>
      <w:bookmarkEnd w:id="106"/>
      <w:bookmarkEnd w:id="107"/>
    </w:p>
    <w:p w:rsidR="00FC3217" w:rsidRDefault="00FC3217" w:rsidP="00FC3217">
      <w:pPr>
        <w:ind w:firstLineChars="200" w:firstLine="562"/>
        <w:rPr>
          <w:rFonts w:ascii="仿宋_GB2312" w:eastAsia="仿宋_GB2312"/>
          <w:b/>
          <w:color w:val="000000"/>
          <w:sz w:val="28"/>
          <w:szCs w:val="28"/>
        </w:rPr>
      </w:pPr>
      <w:r>
        <w:rPr>
          <w:rFonts w:ascii="仿宋_GB2312" w:eastAsia="仿宋_GB2312" w:hint="eastAsia"/>
          <w:b/>
          <w:color w:val="000000"/>
          <w:sz w:val="28"/>
          <w:szCs w:val="28"/>
        </w:rPr>
        <w:t>（一）交易单元预约</w:t>
      </w:r>
    </w:p>
    <w:p w:rsidR="00FC3217" w:rsidRDefault="00FC3217" w:rsidP="00FC3217">
      <w:pPr>
        <w:ind w:firstLineChars="200" w:firstLine="560"/>
        <w:rPr>
          <w:rFonts w:ascii="仿宋_GB2312" w:eastAsia="仿宋_GB2312"/>
          <w:color w:val="000000"/>
          <w:sz w:val="28"/>
          <w:szCs w:val="28"/>
        </w:rPr>
      </w:pPr>
      <w:r>
        <w:rPr>
          <w:rFonts w:ascii="仿宋_GB2312" w:eastAsia="仿宋_GB2312" w:hint="eastAsia"/>
          <w:color w:val="000000"/>
          <w:sz w:val="28"/>
          <w:szCs w:val="28"/>
        </w:rPr>
        <w:t>期货公司申请交易单元，须先致电021-68807809预约分配交易单元号。</w:t>
      </w:r>
    </w:p>
    <w:p w:rsidR="00FC3217" w:rsidRDefault="00FC3217" w:rsidP="00FC3217">
      <w:pPr>
        <w:ind w:firstLineChars="200" w:firstLine="562"/>
        <w:rPr>
          <w:rFonts w:ascii="仿宋_GB2312" w:eastAsia="仿宋_GB2312"/>
          <w:b/>
          <w:color w:val="000000"/>
          <w:sz w:val="28"/>
          <w:szCs w:val="28"/>
        </w:rPr>
      </w:pPr>
      <w:r>
        <w:rPr>
          <w:rFonts w:ascii="仿宋_GB2312" w:eastAsia="仿宋_GB2312" w:hint="eastAsia"/>
          <w:b/>
          <w:color w:val="000000"/>
          <w:sz w:val="28"/>
          <w:szCs w:val="28"/>
        </w:rPr>
        <w:t>（二）交易单元新设</w:t>
      </w:r>
    </w:p>
    <w:p w:rsidR="00FC3217" w:rsidRDefault="00FC3217" w:rsidP="00FC3217">
      <w:pPr>
        <w:ind w:firstLineChars="200" w:firstLine="560"/>
        <w:rPr>
          <w:rFonts w:ascii="仿宋_GB2312" w:eastAsia="仿宋_GB2312"/>
          <w:color w:val="000000"/>
          <w:sz w:val="28"/>
          <w:szCs w:val="28"/>
        </w:rPr>
      </w:pPr>
      <w:r>
        <w:rPr>
          <w:rFonts w:ascii="仿宋_GB2312" w:eastAsia="仿宋_GB2312" w:hint="eastAsia"/>
          <w:color w:val="000000"/>
          <w:sz w:val="28"/>
          <w:szCs w:val="28"/>
        </w:rPr>
        <w:t>期货公司T日完成交易单元预约后，在T+1日，使用会员专区账号用户名和密码登陆本所会员专区，通过本所官网——会员专区——</w:t>
      </w:r>
      <w:r>
        <w:rPr>
          <w:rFonts w:ascii="仿宋_GB2312" w:eastAsia="仿宋_GB2312" w:hint="eastAsia"/>
          <w:color w:val="000000"/>
          <w:sz w:val="28"/>
          <w:szCs w:val="28"/>
        </w:rPr>
        <w:lastRenderedPageBreak/>
        <w:t>业务办理——非会员业务办理——非会员交易单元新设提交交易单元新设申请。</w:t>
      </w:r>
    </w:p>
    <w:p w:rsidR="00FC3217" w:rsidRDefault="00FC3217" w:rsidP="00FC3217">
      <w:pPr>
        <w:pStyle w:val="2"/>
        <w:ind w:firstLine="562"/>
      </w:pPr>
      <w:bookmarkStart w:id="109" w:name="_Toc408749909"/>
      <w:bookmarkStart w:id="110" w:name="_Toc4719"/>
      <w:bookmarkStart w:id="111" w:name="_Toc19003"/>
      <w:bookmarkStart w:id="112" w:name="_Toc20892"/>
      <w:bookmarkStart w:id="113" w:name="_Toc24524"/>
      <w:bookmarkStart w:id="114" w:name="_Toc23946969"/>
      <w:r>
        <w:rPr>
          <w:rFonts w:hint="eastAsia"/>
        </w:rPr>
        <w:t>六、结算路径与交易开通</w:t>
      </w:r>
      <w:bookmarkEnd w:id="109"/>
      <w:bookmarkEnd w:id="110"/>
      <w:bookmarkEnd w:id="111"/>
      <w:bookmarkEnd w:id="112"/>
      <w:bookmarkEnd w:id="113"/>
      <w:bookmarkEnd w:id="114"/>
    </w:p>
    <w:p w:rsidR="00FC3217" w:rsidRDefault="00FC3217" w:rsidP="00FC3217">
      <w:pPr>
        <w:ind w:firstLineChars="200" w:firstLine="560"/>
        <w:rPr>
          <w:rFonts w:ascii="仿宋_GB2312" w:eastAsia="仿宋_GB2312"/>
          <w:color w:val="000000"/>
          <w:sz w:val="28"/>
          <w:szCs w:val="28"/>
        </w:rPr>
      </w:pPr>
      <w:r>
        <w:rPr>
          <w:rFonts w:ascii="仿宋_GB2312" w:eastAsia="仿宋_GB2312" w:hint="eastAsia"/>
          <w:color w:val="000000"/>
          <w:sz w:val="28"/>
          <w:szCs w:val="28"/>
        </w:rPr>
        <w:t>本所将申请转交中国结算上海分公司进行结算路径开通，期货公司应按照中国结算上海分公司的要求提供相应结算业务办理的材料，完成结算业务办理。具体事宜参见中国结算相关规定。</w:t>
      </w:r>
    </w:p>
    <w:p w:rsidR="00FC3217" w:rsidRDefault="00FC3217" w:rsidP="00FC3217">
      <w:pPr>
        <w:ind w:firstLineChars="200" w:firstLine="560"/>
        <w:rPr>
          <w:rFonts w:ascii="仿宋_GB2312" w:eastAsia="仿宋_GB2312"/>
          <w:color w:val="000000"/>
          <w:sz w:val="28"/>
          <w:szCs w:val="28"/>
        </w:rPr>
      </w:pPr>
      <w:r>
        <w:rPr>
          <w:rFonts w:ascii="仿宋_GB2312" w:eastAsia="仿宋_GB2312" w:hint="eastAsia"/>
          <w:color w:val="000000"/>
          <w:sz w:val="28"/>
          <w:szCs w:val="28"/>
        </w:rPr>
        <w:t>另外根据本所指定交易相关规定，在中国结算开立完成账户后，需办理指定交易相关业务。</w:t>
      </w:r>
    </w:p>
    <w:p w:rsidR="00FC3217" w:rsidRDefault="00FC3217" w:rsidP="00FC3217">
      <w:pPr>
        <w:pStyle w:val="2"/>
        <w:ind w:firstLine="562"/>
      </w:pPr>
      <w:bookmarkStart w:id="115" w:name="_Toc408300972"/>
      <w:bookmarkStart w:id="116" w:name="_Toc408749910"/>
      <w:bookmarkStart w:id="117" w:name="_Toc9570"/>
      <w:bookmarkStart w:id="118" w:name="_Toc932"/>
      <w:bookmarkStart w:id="119" w:name="_Toc1534"/>
      <w:bookmarkStart w:id="120" w:name="_Toc636"/>
      <w:bookmarkStart w:id="121" w:name="_Toc23946970"/>
      <w:r>
        <w:rPr>
          <w:rFonts w:hint="eastAsia"/>
        </w:rPr>
        <w:t>七、股票期权结算路径与交易权限开通</w:t>
      </w:r>
      <w:bookmarkEnd w:id="108"/>
      <w:bookmarkEnd w:id="115"/>
      <w:bookmarkEnd w:id="116"/>
      <w:bookmarkEnd w:id="117"/>
      <w:bookmarkEnd w:id="118"/>
      <w:bookmarkEnd w:id="119"/>
      <w:bookmarkEnd w:id="120"/>
      <w:bookmarkEnd w:id="121"/>
    </w:p>
    <w:p w:rsidR="00FC3217" w:rsidRDefault="00FC3217" w:rsidP="00FC3217">
      <w:pPr>
        <w:ind w:firstLineChars="200" w:firstLine="562"/>
        <w:rPr>
          <w:rFonts w:ascii="仿宋_GB2312" w:eastAsia="仿宋_GB2312"/>
          <w:b/>
          <w:color w:val="000000"/>
          <w:sz w:val="28"/>
          <w:szCs w:val="28"/>
        </w:rPr>
      </w:pPr>
      <w:r>
        <w:rPr>
          <w:rFonts w:ascii="仿宋_GB2312" w:eastAsia="仿宋_GB2312" w:hint="eastAsia"/>
          <w:b/>
          <w:color w:val="000000"/>
          <w:sz w:val="28"/>
          <w:szCs w:val="28"/>
        </w:rPr>
        <w:t>（一）开通股票期权交易权限</w:t>
      </w:r>
    </w:p>
    <w:p w:rsidR="00FC3217" w:rsidRDefault="00FC3217" w:rsidP="00FC3217">
      <w:pPr>
        <w:ind w:firstLineChars="200" w:firstLine="560"/>
        <w:rPr>
          <w:rFonts w:ascii="仿宋_GB2312" w:eastAsia="仿宋_GB2312"/>
          <w:color w:val="000000"/>
          <w:sz w:val="28"/>
          <w:szCs w:val="28"/>
        </w:rPr>
      </w:pPr>
      <w:r>
        <w:rPr>
          <w:rFonts w:ascii="仿宋_GB2312" w:eastAsia="仿宋_GB2312" w:hint="eastAsia"/>
          <w:color w:val="000000"/>
          <w:sz w:val="28"/>
          <w:szCs w:val="28"/>
        </w:rPr>
        <w:t>在期货公司完成所有结算业务办理后，本所为期货公司开通股票期权交易权限，期货公司可在上交所网站会员/证券机构专区-机构概况-专项业务资格-期权栏目查询。</w:t>
      </w:r>
    </w:p>
    <w:p w:rsidR="00FC3217" w:rsidRDefault="00FC3217" w:rsidP="00FC3217">
      <w:pPr>
        <w:ind w:firstLineChars="200" w:firstLine="562"/>
        <w:rPr>
          <w:rFonts w:ascii="仿宋_GB2312" w:eastAsia="仿宋_GB2312"/>
          <w:b/>
          <w:color w:val="000000"/>
          <w:sz w:val="28"/>
          <w:szCs w:val="28"/>
        </w:rPr>
      </w:pPr>
      <w:r>
        <w:rPr>
          <w:rFonts w:ascii="仿宋_GB2312" w:eastAsia="仿宋_GB2312" w:hint="eastAsia"/>
          <w:b/>
          <w:color w:val="000000"/>
          <w:sz w:val="28"/>
          <w:szCs w:val="28"/>
        </w:rPr>
        <w:t>（二）报备账户和交易单元</w:t>
      </w:r>
    </w:p>
    <w:p w:rsidR="00FC3217" w:rsidRDefault="00FC3217" w:rsidP="00FC3217">
      <w:pPr>
        <w:ind w:firstLineChars="200" w:firstLine="560"/>
        <w:rPr>
          <w:rFonts w:ascii="仿宋_GB2312" w:eastAsia="仿宋_GB2312"/>
          <w:color w:val="000000"/>
          <w:sz w:val="28"/>
          <w:szCs w:val="28"/>
        </w:rPr>
      </w:pPr>
      <w:r>
        <w:rPr>
          <w:rFonts w:ascii="仿宋_GB2312" w:eastAsia="仿宋_GB2312" w:hint="eastAsia"/>
          <w:color w:val="000000"/>
          <w:sz w:val="28"/>
          <w:szCs w:val="28"/>
        </w:rPr>
        <w:t>1. 所需材料及材料要求</w:t>
      </w:r>
    </w:p>
    <w:p w:rsidR="00FC3217" w:rsidRDefault="00FC3217" w:rsidP="00FC3217">
      <w:pPr>
        <w:ind w:firstLineChars="200" w:firstLine="560"/>
        <w:rPr>
          <w:rFonts w:ascii="仿宋_GB2312" w:eastAsia="仿宋_GB2312"/>
          <w:color w:val="000000"/>
          <w:sz w:val="28"/>
          <w:szCs w:val="28"/>
        </w:rPr>
      </w:pPr>
      <w:r>
        <w:rPr>
          <w:rFonts w:ascii="仿宋_GB2312" w:eastAsia="仿宋_GB2312" w:hint="eastAsia"/>
          <w:color w:val="000000"/>
          <w:sz w:val="28"/>
          <w:szCs w:val="28"/>
        </w:rPr>
        <w:t>（1）期货公司将其股票期权经纪业务相关账户（客户股票期权保证金账户、客户衍生品处置证券账户、客户衍生品结算资金汇总账户）在开立后三个交易日内向本所衍生品业务部报备。</w:t>
      </w:r>
    </w:p>
    <w:p w:rsidR="00FC3217" w:rsidRDefault="00FC3217" w:rsidP="00FC3217">
      <w:pPr>
        <w:ind w:firstLineChars="200" w:firstLine="560"/>
        <w:rPr>
          <w:rFonts w:ascii="仿宋_GB2312" w:eastAsia="仿宋_GB2312"/>
          <w:color w:val="000000"/>
          <w:sz w:val="28"/>
          <w:szCs w:val="28"/>
        </w:rPr>
      </w:pPr>
      <w:r>
        <w:rPr>
          <w:rFonts w:ascii="仿宋_GB2312" w:eastAsia="仿宋_GB2312" w:hint="eastAsia"/>
          <w:color w:val="000000"/>
          <w:sz w:val="28"/>
          <w:szCs w:val="28"/>
        </w:rPr>
        <w:t>（2）期货公司向本所报备交易单元及相关信息。</w:t>
      </w:r>
    </w:p>
    <w:p w:rsidR="00FC3217" w:rsidRDefault="00FC3217" w:rsidP="00FC3217">
      <w:pPr>
        <w:ind w:firstLineChars="200" w:firstLine="560"/>
        <w:rPr>
          <w:rFonts w:ascii="仿宋_GB2312" w:eastAsia="仿宋_GB2312"/>
          <w:color w:val="000000"/>
          <w:sz w:val="28"/>
          <w:szCs w:val="28"/>
        </w:rPr>
      </w:pPr>
      <w:r>
        <w:rPr>
          <w:rFonts w:ascii="仿宋_GB2312" w:eastAsia="仿宋_GB2312" w:hint="eastAsia"/>
          <w:color w:val="000000"/>
          <w:sz w:val="28"/>
          <w:szCs w:val="28"/>
        </w:rPr>
        <w:t>2. 递交方式及联系人</w:t>
      </w:r>
    </w:p>
    <w:p w:rsidR="00FC3217" w:rsidRPr="007D5CB1" w:rsidRDefault="00777240" w:rsidP="00FC3217">
      <w:pPr>
        <w:ind w:firstLineChars="200" w:firstLine="420"/>
        <w:rPr>
          <w:rFonts w:ascii="仿宋_GB2312" w:eastAsia="仿宋_GB2312"/>
          <w:sz w:val="28"/>
          <w:szCs w:val="28"/>
        </w:rPr>
      </w:pPr>
      <w:hyperlink r:id="rId17" w:history="1">
        <w:r w:rsidR="00FC3217" w:rsidRPr="007D5CB1">
          <w:rPr>
            <w:rStyle w:val="a9"/>
            <w:rFonts w:ascii="仿宋_GB2312" w:eastAsia="仿宋_GB2312" w:hint="eastAsia"/>
            <w:sz w:val="28"/>
            <w:szCs w:val="28"/>
          </w:rPr>
          <w:t>期货公司发送邮件至optionbc@sse.com.cn，标题注明“XX期货公司账户及交易单元报备”，联系方式：021-68811322。</w:t>
        </w:r>
      </w:hyperlink>
    </w:p>
    <w:p w:rsidR="00FC3217" w:rsidRDefault="00FC3217" w:rsidP="00FC3217">
      <w:pPr>
        <w:pStyle w:val="2"/>
        <w:ind w:firstLine="562"/>
      </w:pPr>
      <w:bookmarkStart w:id="122" w:name="_Toc30070"/>
      <w:bookmarkStart w:id="123" w:name="_Toc23946971"/>
      <w:r>
        <w:rPr>
          <w:rFonts w:hint="eastAsia"/>
        </w:rPr>
        <w:t>八、开通股票期权交易参与人业务管理系统使用权限</w:t>
      </w:r>
      <w:bookmarkEnd w:id="122"/>
      <w:bookmarkEnd w:id="123"/>
    </w:p>
    <w:p w:rsidR="00FC3217" w:rsidRDefault="00FC3217" w:rsidP="00FC3217">
      <w:pPr>
        <w:ind w:firstLineChars="200" w:firstLine="560"/>
        <w:rPr>
          <w:rFonts w:ascii="仿宋_GB2312" w:eastAsia="仿宋_GB2312"/>
          <w:color w:val="000000"/>
          <w:sz w:val="28"/>
          <w:szCs w:val="28"/>
        </w:rPr>
      </w:pPr>
      <w:r>
        <w:rPr>
          <w:rFonts w:ascii="仿宋_GB2312" w:eastAsia="仿宋_GB2312" w:hint="eastAsia"/>
          <w:color w:val="000000"/>
          <w:sz w:val="28"/>
          <w:szCs w:val="28"/>
        </w:rPr>
        <w:t>股票期权交易参与人业务管理系统是各期权经营机构递交各类材料和信息传递的重要通道和沟通平台，其功能包含经纪套保持仓限额申请、持仓限额报送、程序交易报备、发布公告、发送通知等。</w:t>
      </w:r>
    </w:p>
    <w:p w:rsidR="00FC3217" w:rsidRDefault="00FC3217" w:rsidP="00FC3217">
      <w:pPr>
        <w:ind w:firstLineChars="200" w:firstLine="560"/>
        <w:rPr>
          <w:rFonts w:ascii="仿宋_GB2312" w:eastAsia="仿宋_GB2312"/>
          <w:color w:val="000000"/>
          <w:sz w:val="28"/>
          <w:szCs w:val="28"/>
        </w:rPr>
      </w:pPr>
      <w:r>
        <w:rPr>
          <w:rFonts w:ascii="仿宋_GB2312" w:eastAsia="仿宋_GB2312" w:hint="eastAsia"/>
          <w:color w:val="000000"/>
          <w:sz w:val="28"/>
          <w:szCs w:val="28"/>
        </w:rPr>
        <w:t>期货公司可在本所网站股票期权专栏交易参与人业务管理系统中阅读相关申请流程，具体申请材料包括</w:t>
      </w:r>
      <w:r>
        <w:rPr>
          <w:rFonts w:ascii="仿宋_GB2312" w:eastAsia="仿宋_GB2312"/>
          <w:color w:val="000000"/>
          <w:sz w:val="28"/>
          <w:szCs w:val="28"/>
        </w:rPr>
        <w:t>《</w:t>
      </w:r>
      <w:r>
        <w:rPr>
          <w:rFonts w:ascii="仿宋_GB2312" w:eastAsia="仿宋_GB2312" w:hint="eastAsia"/>
          <w:color w:val="000000"/>
          <w:sz w:val="28"/>
          <w:szCs w:val="28"/>
        </w:rPr>
        <w:t>交易参与人业务管理系统</w:t>
      </w:r>
      <w:r>
        <w:rPr>
          <w:rFonts w:ascii="仿宋_GB2312" w:eastAsia="仿宋_GB2312"/>
          <w:color w:val="000000"/>
          <w:sz w:val="28"/>
          <w:szCs w:val="28"/>
        </w:rPr>
        <w:t>权限申请表》</w:t>
      </w:r>
      <w:r>
        <w:rPr>
          <w:rFonts w:ascii="仿宋_GB2312" w:eastAsia="仿宋_GB2312" w:hint="eastAsia"/>
          <w:color w:val="000000"/>
          <w:sz w:val="28"/>
          <w:szCs w:val="28"/>
        </w:rPr>
        <w:t>原件、</w:t>
      </w:r>
      <w:r>
        <w:rPr>
          <w:rFonts w:ascii="仿宋_GB2312" w:eastAsia="仿宋_GB2312"/>
          <w:color w:val="000000"/>
          <w:sz w:val="28"/>
          <w:szCs w:val="28"/>
        </w:rPr>
        <w:t>《</w:t>
      </w:r>
      <w:r>
        <w:rPr>
          <w:rFonts w:ascii="仿宋_GB2312" w:eastAsia="仿宋_GB2312" w:hint="eastAsia"/>
          <w:color w:val="000000"/>
          <w:sz w:val="28"/>
          <w:szCs w:val="28"/>
        </w:rPr>
        <w:t>交易参与人业务管理系统使用责任书</w:t>
      </w:r>
      <w:r>
        <w:rPr>
          <w:rFonts w:ascii="仿宋_GB2312" w:eastAsia="仿宋_GB2312"/>
          <w:color w:val="000000"/>
          <w:sz w:val="28"/>
          <w:szCs w:val="28"/>
        </w:rPr>
        <w:t>》原件</w:t>
      </w:r>
      <w:r>
        <w:rPr>
          <w:rFonts w:ascii="仿宋_GB2312" w:eastAsia="仿宋_GB2312" w:hint="eastAsia"/>
          <w:color w:val="000000"/>
          <w:sz w:val="28"/>
          <w:szCs w:val="28"/>
        </w:rPr>
        <w:t>、</w:t>
      </w:r>
      <w:r>
        <w:rPr>
          <w:rFonts w:ascii="仿宋_GB2312" w:eastAsia="仿宋_GB2312"/>
          <w:color w:val="000000"/>
          <w:sz w:val="28"/>
          <w:szCs w:val="28"/>
        </w:rPr>
        <w:t>《数字证书申请责任书》</w:t>
      </w:r>
      <w:r>
        <w:rPr>
          <w:rFonts w:ascii="仿宋_GB2312" w:eastAsia="仿宋_GB2312" w:hint="eastAsia"/>
          <w:color w:val="000000"/>
          <w:sz w:val="28"/>
          <w:szCs w:val="28"/>
        </w:rPr>
        <w:t>原件</w:t>
      </w:r>
      <w:r>
        <w:rPr>
          <w:rFonts w:ascii="仿宋_GB2312" w:eastAsia="仿宋_GB2312"/>
          <w:color w:val="000000"/>
          <w:sz w:val="28"/>
          <w:szCs w:val="28"/>
        </w:rPr>
        <w:t>、《</w:t>
      </w:r>
      <w:r>
        <w:rPr>
          <w:rFonts w:ascii="仿宋_GB2312" w:eastAsia="仿宋_GB2312" w:hint="eastAsia"/>
          <w:color w:val="000000"/>
          <w:sz w:val="28"/>
          <w:szCs w:val="28"/>
        </w:rPr>
        <w:t>CnSCA</w:t>
      </w:r>
      <w:r>
        <w:rPr>
          <w:rFonts w:ascii="仿宋_GB2312" w:eastAsia="仿宋_GB2312"/>
          <w:color w:val="000000"/>
          <w:sz w:val="28"/>
          <w:szCs w:val="28"/>
        </w:rPr>
        <w:t>数字证书</w:t>
      </w:r>
      <w:r>
        <w:rPr>
          <w:rFonts w:ascii="仿宋_GB2312" w:eastAsia="仿宋_GB2312" w:hint="eastAsia"/>
          <w:color w:val="000000"/>
          <w:sz w:val="28"/>
          <w:szCs w:val="28"/>
        </w:rPr>
        <w:t>机构</w:t>
      </w:r>
      <w:r>
        <w:rPr>
          <w:rFonts w:ascii="仿宋_GB2312" w:eastAsia="仿宋_GB2312"/>
          <w:color w:val="000000"/>
          <w:sz w:val="28"/>
          <w:szCs w:val="28"/>
        </w:rPr>
        <w:t>申请表》原件、</w:t>
      </w:r>
      <w:r>
        <w:rPr>
          <w:rFonts w:ascii="仿宋_GB2312" w:eastAsia="仿宋_GB2312" w:hint="eastAsia"/>
          <w:color w:val="000000"/>
          <w:sz w:val="28"/>
          <w:szCs w:val="28"/>
        </w:rPr>
        <w:t>组织机构代码证复印件、营业执照复印件。申请材料邮寄地址如下：地址：上海浦东南路528号上海证券交易所衍生品业务部，邮编：200120；联系方式：021-68811322。</w:t>
      </w:r>
    </w:p>
    <w:p w:rsidR="00FC3217" w:rsidRDefault="00FC3217" w:rsidP="00FC3217">
      <w:pPr>
        <w:ind w:firstLineChars="200" w:firstLine="560"/>
        <w:rPr>
          <w:rFonts w:ascii="仿宋_GB2312" w:eastAsia="仿宋_GB2312"/>
          <w:color w:val="000000"/>
          <w:sz w:val="28"/>
          <w:szCs w:val="28"/>
        </w:rPr>
      </w:pPr>
    </w:p>
    <w:p w:rsidR="00FC3217" w:rsidRDefault="00FC3217" w:rsidP="00FC3217">
      <w:pPr>
        <w:jc w:val="center"/>
        <w:outlineLvl w:val="0"/>
        <w:rPr>
          <w:rFonts w:ascii="Times New Roman" w:eastAsia="黑体" w:hAnsi="Times New Roman"/>
          <w:b/>
          <w:bCs/>
          <w:sz w:val="30"/>
          <w:szCs w:val="24"/>
        </w:rPr>
      </w:pPr>
      <w:bookmarkStart w:id="124" w:name="_Toc406436500"/>
      <w:bookmarkStart w:id="125" w:name="_Toc406438884"/>
      <w:bookmarkStart w:id="126" w:name="_Toc406438949"/>
      <w:bookmarkStart w:id="127" w:name="_Toc406439134"/>
    </w:p>
    <w:p w:rsidR="00FC3217" w:rsidRDefault="00FC3217" w:rsidP="00FC3217">
      <w:pPr>
        <w:pStyle w:val="2"/>
        <w:ind w:firstLine="643"/>
        <w:jc w:val="center"/>
        <w:rPr>
          <w:rFonts w:ascii="黑体" w:eastAsia="黑体" w:hAnsi="黑体"/>
          <w:sz w:val="32"/>
        </w:rPr>
      </w:pPr>
      <w:bookmarkStart w:id="128" w:name="_Toc408300973"/>
      <w:bookmarkStart w:id="129" w:name="_Toc408749911"/>
      <w:bookmarkStart w:id="130" w:name="_Toc14583"/>
      <w:bookmarkStart w:id="131" w:name="_Toc11564"/>
      <w:bookmarkStart w:id="132" w:name="_Toc26998"/>
      <w:bookmarkStart w:id="133" w:name="_Toc26524"/>
      <w:bookmarkStart w:id="134" w:name="_Toc23946972"/>
      <w:r>
        <w:rPr>
          <w:rFonts w:ascii="黑体" w:eastAsia="黑体" w:hAnsi="黑体" w:hint="eastAsia"/>
          <w:sz w:val="32"/>
        </w:rPr>
        <w:t>第三章 投资者适当性管理</w:t>
      </w:r>
      <w:bookmarkEnd w:id="124"/>
      <w:bookmarkEnd w:id="125"/>
      <w:bookmarkEnd w:id="126"/>
      <w:bookmarkEnd w:id="127"/>
      <w:bookmarkEnd w:id="128"/>
      <w:bookmarkEnd w:id="129"/>
      <w:bookmarkEnd w:id="130"/>
      <w:bookmarkEnd w:id="131"/>
      <w:bookmarkEnd w:id="132"/>
      <w:bookmarkEnd w:id="133"/>
      <w:bookmarkEnd w:id="134"/>
    </w:p>
    <w:p w:rsidR="00FC3217" w:rsidRDefault="00FC3217" w:rsidP="00FC3217">
      <w:pPr>
        <w:ind w:firstLineChars="200" w:firstLine="560"/>
        <w:rPr>
          <w:rFonts w:ascii="仿宋_GB2312" w:eastAsia="仿宋_GB2312"/>
          <w:color w:val="000000"/>
          <w:sz w:val="28"/>
          <w:szCs w:val="28"/>
        </w:rPr>
      </w:pPr>
      <w:r>
        <w:rPr>
          <w:rFonts w:ascii="仿宋_GB2312" w:eastAsia="仿宋_GB2312" w:hint="eastAsia"/>
          <w:color w:val="000000"/>
          <w:sz w:val="28"/>
          <w:szCs w:val="28"/>
        </w:rPr>
        <w:t>期货公司应当严格执行股票期权投资者适当性管理制度，向客户全面介绍期权产品特征，充分揭示期权交易风险，对客户的适当性进行评估并对客户实施交易权限分级管理。期货公司不得接受不符合投资者适当性标准的客户从事股票期权交易。</w:t>
      </w:r>
    </w:p>
    <w:p w:rsidR="00FC3217" w:rsidRDefault="00FC3217" w:rsidP="00FC3217">
      <w:pPr>
        <w:ind w:firstLineChars="200" w:firstLine="560"/>
        <w:rPr>
          <w:rFonts w:ascii="仿宋_GB2312" w:eastAsia="仿宋_GB2312" w:hAnsi="宋体"/>
          <w:b/>
          <w:color w:val="000000"/>
          <w:sz w:val="28"/>
          <w:szCs w:val="28"/>
        </w:rPr>
      </w:pPr>
      <w:r>
        <w:rPr>
          <w:rFonts w:ascii="仿宋_GB2312" w:eastAsia="仿宋_GB2312" w:hint="eastAsia"/>
          <w:color w:val="000000"/>
          <w:sz w:val="28"/>
          <w:szCs w:val="28"/>
        </w:rPr>
        <w:lastRenderedPageBreak/>
        <w:t>投资者适当性评估及交易权限分级等事宜，应当由公司总部审核确定。</w:t>
      </w:r>
    </w:p>
    <w:p w:rsidR="00FC3217" w:rsidRDefault="00FC3217" w:rsidP="00FC3217">
      <w:pPr>
        <w:pStyle w:val="2"/>
        <w:ind w:firstLine="562"/>
      </w:pPr>
      <w:bookmarkStart w:id="135" w:name="_Toc406438885"/>
      <w:bookmarkStart w:id="136" w:name="_Toc408300974"/>
      <w:bookmarkStart w:id="137" w:name="_Toc408749912"/>
      <w:bookmarkStart w:id="138" w:name="_Toc667"/>
      <w:bookmarkStart w:id="139" w:name="_Toc22847"/>
      <w:bookmarkStart w:id="140" w:name="_Toc29667"/>
      <w:bookmarkStart w:id="141" w:name="_Toc23390"/>
      <w:bookmarkStart w:id="142" w:name="_Toc23946973"/>
      <w:r>
        <w:rPr>
          <w:rFonts w:hint="eastAsia"/>
        </w:rPr>
        <w:t>一、投资者</w:t>
      </w:r>
      <w:bookmarkEnd w:id="135"/>
      <w:bookmarkEnd w:id="136"/>
      <w:bookmarkEnd w:id="137"/>
      <w:r>
        <w:rPr>
          <w:rFonts w:hint="eastAsia"/>
        </w:rPr>
        <w:t>准入条件的认定</w:t>
      </w:r>
      <w:bookmarkEnd w:id="138"/>
      <w:bookmarkEnd w:id="139"/>
      <w:bookmarkEnd w:id="140"/>
      <w:bookmarkEnd w:id="141"/>
      <w:bookmarkEnd w:id="142"/>
    </w:p>
    <w:p w:rsidR="00FC3217" w:rsidRDefault="00FC3217" w:rsidP="00FC3217">
      <w:pPr>
        <w:ind w:firstLineChars="200" w:firstLine="562"/>
        <w:rPr>
          <w:rFonts w:ascii="仿宋_GB2312" w:eastAsia="仿宋_GB2312"/>
          <w:b/>
          <w:color w:val="000000"/>
          <w:sz w:val="28"/>
          <w:szCs w:val="28"/>
        </w:rPr>
      </w:pPr>
      <w:bookmarkStart w:id="143" w:name="_Toc406438886"/>
      <w:bookmarkStart w:id="144" w:name="_Toc408300975"/>
      <w:r>
        <w:rPr>
          <w:rFonts w:ascii="仿宋_GB2312" w:eastAsia="仿宋_GB2312" w:hint="eastAsia"/>
          <w:b/>
          <w:color w:val="000000"/>
          <w:sz w:val="28"/>
          <w:szCs w:val="28"/>
        </w:rPr>
        <w:t>（一）个人投资者</w:t>
      </w:r>
      <w:bookmarkEnd w:id="143"/>
      <w:bookmarkEnd w:id="144"/>
    </w:p>
    <w:p w:rsidR="00FC3217" w:rsidRDefault="00FC3217" w:rsidP="00FC3217">
      <w:pPr>
        <w:ind w:firstLineChars="200" w:firstLine="560"/>
        <w:rPr>
          <w:rFonts w:ascii="仿宋_GB2312" w:eastAsia="仿宋_GB2312"/>
          <w:color w:val="000000"/>
          <w:sz w:val="28"/>
          <w:szCs w:val="28"/>
        </w:rPr>
      </w:pPr>
      <w:r>
        <w:rPr>
          <w:rFonts w:ascii="仿宋_GB2312" w:eastAsia="仿宋_GB2312" w:hint="eastAsia"/>
          <w:color w:val="000000"/>
          <w:sz w:val="28"/>
          <w:szCs w:val="28"/>
        </w:rPr>
        <w:t>个人投资者参与期权交易，应当符合下列条件：</w:t>
      </w:r>
    </w:p>
    <w:p w:rsidR="00FC3217" w:rsidRDefault="00FC3217" w:rsidP="00FC3217">
      <w:pPr>
        <w:ind w:firstLineChars="196" w:firstLine="549"/>
        <w:rPr>
          <w:rFonts w:ascii="仿宋_GB2312" w:eastAsia="仿宋_GB2312" w:hAnsi="宋体" w:cs="仿宋_GB2312"/>
          <w:sz w:val="28"/>
          <w:szCs w:val="28"/>
        </w:rPr>
      </w:pPr>
      <w:r>
        <w:rPr>
          <w:rFonts w:ascii="仿宋_GB2312" w:eastAsia="仿宋_GB2312" w:hAnsi="宋体" w:cs="仿宋_GB2312" w:hint="eastAsia"/>
          <w:sz w:val="28"/>
          <w:szCs w:val="28"/>
        </w:rPr>
        <w:t>1、申请开户时托管在其委托的期权经营机构的证券市值与资金账户可用余额（不含通过融资融券交易融入的资金或证券），合计不低于人民币50万元；</w:t>
      </w:r>
    </w:p>
    <w:p w:rsidR="00FC3217" w:rsidRDefault="00FC3217" w:rsidP="00FC3217">
      <w:pPr>
        <w:ind w:firstLineChars="196" w:firstLine="549"/>
        <w:rPr>
          <w:rFonts w:ascii="仿宋_GB2312" w:eastAsia="仿宋_GB2312" w:hAnsi="宋体"/>
          <w:color w:val="000000"/>
          <w:sz w:val="28"/>
          <w:szCs w:val="28"/>
        </w:rPr>
      </w:pPr>
      <w:r>
        <w:rPr>
          <w:rFonts w:ascii="仿宋_GB2312" w:eastAsia="仿宋_GB2312" w:hAnsi="宋体" w:cs="仿宋_GB2312" w:hint="eastAsia"/>
          <w:sz w:val="28"/>
          <w:szCs w:val="28"/>
        </w:rPr>
        <w:t>认定标准：个人投资者在</w:t>
      </w:r>
      <w:r>
        <w:rPr>
          <w:rFonts w:ascii="仿宋_GB2312" w:eastAsia="仿宋_GB2312" w:hAnsi="宋体" w:cs="仿宋_GB2312" w:hint="eastAsia"/>
          <w:color w:val="000000"/>
          <w:sz w:val="28"/>
          <w:szCs w:val="28"/>
        </w:rPr>
        <w:t>期货公司开户的，以托管在期货公司上一交易日日终或当天的资金账户可用余额（包括保证金可用余额）为依据。</w:t>
      </w:r>
    </w:p>
    <w:p w:rsidR="00FC3217" w:rsidRDefault="00FC3217" w:rsidP="00FC3217">
      <w:pPr>
        <w:pStyle w:val="af"/>
        <w:widowControl/>
        <w:rPr>
          <w:rFonts w:ascii="仿宋_GB2312" w:eastAsia="仿宋_GB2312" w:hAnsi="宋体" w:cs="仿宋_GB2312"/>
          <w:sz w:val="28"/>
          <w:szCs w:val="28"/>
        </w:rPr>
      </w:pPr>
      <w:r>
        <w:rPr>
          <w:rFonts w:ascii="仿宋_GB2312" w:eastAsia="仿宋_GB2312" w:hAnsi="宋体" w:cs="仿宋_GB2312" w:hint="eastAsia"/>
          <w:sz w:val="28"/>
          <w:szCs w:val="28"/>
        </w:rPr>
        <w:t xml:space="preserve">    2、</w:t>
      </w:r>
      <w:r>
        <w:rPr>
          <w:rFonts w:ascii="仿宋_GB2312" w:eastAsia="仿宋_GB2312" w:hAnsi="宋体" w:cs="仿宋_GB2312" w:hint="eastAsia"/>
          <w:color w:val="000000"/>
          <w:sz w:val="28"/>
          <w:szCs w:val="28"/>
        </w:rPr>
        <w:t>指定交易在证券公司6个月以上并具备融资融券业务参与资格或者金融期货交易经历；或者在期货公司开户6个月以上并具有金融期货交易经历；</w:t>
      </w:r>
    </w:p>
    <w:p w:rsidR="00FC3217" w:rsidRDefault="00FC3217" w:rsidP="00FC3217">
      <w:pPr>
        <w:pStyle w:val="af"/>
        <w:widowControl/>
        <w:rPr>
          <w:rFonts w:ascii="仿宋_GB2312" w:eastAsia="仿宋_GB2312" w:hAnsi="宋体" w:cs="仿宋_GB2312"/>
          <w:color w:val="000000"/>
          <w:sz w:val="28"/>
          <w:szCs w:val="28"/>
        </w:rPr>
      </w:pPr>
      <w:r>
        <w:rPr>
          <w:rFonts w:ascii="仿宋_GB2312" w:eastAsia="仿宋_GB2312" w:hAnsi="宋体" w:cs="仿宋_GB2312" w:hint="eastAsia"/>
          <w:sz w:val="28"/>
          <w:szCs w:val="28"/>
        </w:rPr>
        <w:t xml:space="preserve">    </w:t>
      </w:r>
      <w:r>
        <w:rPr>
          <w:rFonts w:ascii="仿宋_GB2312" w:eastAsia="仿宋_GB2312" w:hAnsi="宋体" w:cs="仿宋_GB2312" w:hint="eastAsia"/>
          <w:color w:val="000000"/>
          <w:sz w:val="28"/>
          <w:szCs w:val="28"/>
        </w:rPr>
        <w:t>认定标准：指定交易在本公司或其他期货公司开户合计满六个月；具备本公司或其他公司融资融券业务参与资格或者至少有一次金融期货交易经历。</w:t>
      </w:r>
    </w:p>
    <w:p w:rsidR="00FC3217" w:rsidRDefault="00FC3217" w:rsidP="00FC3217">
      <w:pPr>
        <w:pStyle w:val="af"/>
        <w:widowControl/>
        <w:rPr>
          <w:rFonts w:ascii="仿宋_GB2312" w:eastAsia="仿宋_GB2312" w:hAnsi="宋体" w:cs="仿宋_GB2312"/>
          <w:sz w:val="28"/>
          <w:szCs w:val="28"/>
        </w:rPr>
      </w:pPr>
      <w:r>
        <w:rPr>
          <w:rFonts w:ascii="仿宋_GB2312" w:eastAsia="仿宋_GB2312" w:hAnsi="宋体" w:cs="仿宋_GB2312" w:hint="eastAsia"/>
          <w:sz w:val="28"/>
          <w:szCs w:val="28"/>
        </w:rPr>
        <w:t xml:space="preserve">    3、</w:t>
      </w:r>
      <w:r>
        <w:rPr>
          <w:rFonts w:ascii="仿宋_GB2312" w:eastAsia="仿宋_GB2312" w:hAnsi="宋体" w:cs="仿宋_GB2312" w:hint="eastAsia"/>
          <w:color w:val="000000"/>
          <w:sz w:val="28"/>
          <w:szCs w:val="28"/>
        </w:rPr>
        <w:t>具备期权基础知识，通过本所认可的相关测试</w:t>
      </w:r>
      <w:r>
        <w:rPr>
          <w:rFonts w:ascii="仿宋_GB2312" w:eastAsia="仿宋_GB2312" w:hAnsi="宋体" w:cs="仿宋_GB2312" w:hint="eastAsia"/>
          <w:sz w:val="28"/>
          <w:szCs w:val="28"/>
        </w:rPr>
        <w:t>；</w:t>
      </w:r>
    </w:p>
    <w:p w:rsidR="00FC3217" w:rsidRDefault="00FC3217" w:rsidP="00FC3217">
      <w:pPr>
        <w:pStyle w:val="af"/>
        <w:widowControl/>
        <w:rPr>
          <w:rFonts w:ascii="仿宋_GB2312" w:eastAsia="仿宋_GB2312" w:hAnsi="宋体" w:cs="仿宋_GB2312"/>
          <w:color w:val="000000"/>
          <w:sz w:val="28"/>
          <w:szCs w:val="28"/>
        </w:rPr>
      </w:pPr>
      <w:r>
        <w:rPr>
          <w:rFonts w:ascii="仿宋_GB2312" w:eastAsia="仿宋_GB2312" w:hAnsi="宋体" w:cs="仿宋_GB2312" w:hint="eastAsia"/>
          <w:sz w:val="28"/>
          <w:szCs w:val="28"/>
        </w:rPr>
        <w:t xml:space="preserve">    </w:t>
      </w:r>
      <w:r>
        <w:rPr>
          <w:rFonts w:ascii="仿宋_GB2312" w:eastAsia="仿宋_GB2312" w:hAnsi="宋体" w:cs="仿宋_GB2312" w:hint="eastAsia"/>
          <w:color w:val="000000"/>
          <w:sz w:val="28"/>
          <w:szCs w:val="28"/>
        </w:rPr>
        <w:t>认定标准：</w:t>
      </w:r>
      <w:r>
        <w:rPr>
          <w:rFonts w:ascii="仿宋_GB2312" w:eastAsia="仿宋_GB2312" w:hAnsi="宋体" w:hint="eastAsia"/>
          <w:color w:val="000000"/>
          <w:sz w:val="28"/>
          <w:szCs w:val="28"/>
        </w:rPr>
        <w:t>目前本所组织的期权知识测试有两种形式，期权经营机构在营业部组织的网上期权知识测试和本所统一组织的现场培训测试。通过知识测试的投资者，</w:t>
      </w:r>
      <w:r>
        <w:rPr>
          <w:rFonts w:ascii="仿宋_GB2312" w:eastAsia="仿宋_GB2312" w:hAnsi="宋体" w:cs="仿宋_GB2312" w:hint="eastAsia"/>
          <w:color w:val="000000"/>
          <w:sz w:val="28"/>
          <w:szCs w:val="28"/>
        </w:rPr>
        <w:t>知识测试成绩长期有效，并可用于在</w:t>
      </w:r>
      <w:r>
        <w:rPr>
          <w:rFonts w:ascii="仿宋_GB2312" w:eastAsia="仿宋_GB2312" w:hAnsi="宋体" w:cs="仿宋_GB2312" w:hint="eastAsia"/>
          <w:color w:val="000000"/>
          <w:sz w:val="28"/>
          <w:szCs w:val="28"/>
        </w:rPr>
        <w:lastRenderedPageBreak/>
        <w:t>其他期权经营机构申请开户。期货公司可登陆本所会员信息服务平台（https://sc.sseinfo.com/sc/login）查询指定交易在本单位的投资者的知识测试成绩；个人投资者可通过本所股票期权投教专区</w:t>
      </w:r>
      <w:r>
        <w:rPr>
          <w:rFonts w:ascii="仿宋_GB2312" w:eastAsia="仿宋_GB2312" w:hAnsi="宋体" w:cs="仿宋_GB2312" w:hint="eastAsia"/>
          <w:sz w:val="28"/>
          <w:szCs w:val="28"/>
        </w:rPr>
        <w:t>（http://edu.sse.com.cn/option）</w:t>
      </w:r>
      <w:r>
        <w:rPr>
          <w:rFonts w:ascii="仿宋_GB2312" w:eastAsia="仿宋_GB2312" w:hAnsi="宋体" w:cs="仿宋_GB2312" w:hint="eastAsia"/>
          <w:color w:val="000000"/>
          <w:sz w:val="28"/>
          <w:szCs w:val="28"/>
        </w:rPr>
        <w:t xml:space="preserve"> “投资者期权知识测试成绩查询”入口查询本人测试成绩。</w:t>
      </w:r>
    </w:p>
    <w:p w:rsidR="00FC3217" w:rsidRDefault="00FC3217" w:rsidP="00FC3217">
      <w:pPr>
        <w:pStyle w:val="af"/>
        <w:widowControl/>
        <w:rPr>
          <w:rFonts w:ascii="仿宋_GB2312" w:eastAsia="仿宋_GB2312" w:hAnsi="宋体" w:cs="仿宋_GB2312"/>
          <w:sz w:val="28"/>
          <w:szCs w:val="28"/>
        </w:rPr>
      </w:pPr>
      <w:r>
        <w:rPr>
          <w:rFonts w:ascii="仿宋_GB2312" w:eastAsia="仿宋_GB2312" w:hAnsi="宋体" w:cs="仿宋_GB2312" w:hint="eastAsia"/>
          <w:sz w:val="28"/>
          <w:szCs w:val="28"/>
        </w:rPr>
        <w:t xml:space="preserve">    4、具有本所认可的期权模拟交易经历；</w:t>
      </w:r>
    </w:p>
    <w:p w:rsidR="00FC3217" w:rsidRDefault="00FC3217" w:rsidP="00FC3217">
      <w:pPr>
        <w:pStyle w:val="af"/>
        <w:widowControl/>
        <w:rPr>
          <w:rFonts w:ascii="仿宋_GB2312" w:eastAsia="仿宋_GB2312" w:hAnsi="宋体" w:cs="仿宋_GB2312"/>
          <w:sz w:val="28"/>
          <w:szCs w:val="28"/>
        </w:rPr>
      </w:pPr>
      <w:r>
        <w:rPr>
          <w:rFonts w:ascii="仿宋_GB2312" w:eastAsia="仿宋_GB2312" w:hAnsi="宋体" w:cs="仿宋_GB2312" w:hint="eastAsia"/>
          <w:sz w:val="28"/>
          <w:szCs w:val="28"/>
        </w:rPr>
        <w:t xml:space="preserve">    认定标准：投资者期权模拟交易经历，依据其参与本所期权模拟交易的记录数据予以核定。期货公司</w:t>
      </w:r>
      <w:r>
        <w:rPr>
          <w:rFonts w:ascii="仿宋_GB2312" w:eastAsia="仿宋_GB2312" w:hAnsi="宋体" w:cs="仿宋_GB2312" w:hint="eastAsia"/>
          <w:color w:val="000000"/>
          <w:sz w:val="28"/>
          <w:szCs w:val="28"/>
        </w:rPr>
        <w:t>可登陆本所会员信息服务平台查询指定交易在本公司的投资者的模拟交易经历。</w:t>
      </w:r>
      <w:r>
        <w:rPr>
          <w:rFonts w:ascii="华文仿宋" w:eastAsia="华文仿宋" w:hAnsi="华文仿宋" w:hint="eastAsia"/>
          <w:sz w:val="28"/>
          <w:szCs w:val="28"/>
        </w:rPr>
        <w:t>查询页面直接显示投资者模拟交易经历对应的级别，期货公司无需再查询模拟交易细节。模拟交易经历对应的级别以本所系统显示为准。</w:t>
      </w:r>
    </w:p>
    <w:p w:rsidR="00FC3217" w:rsidRDefault="00FC3217" w:rsidP="00FC3217">
      <w:pPr>
        <w:pStyle w:val="af"/>
        <w:widowControl/>
        <w:rPr>
          <w:rFonts w:ascii="仿宋_GB2312" w:eastAsia="仿宋_GB2312" w:hAnsi="宋体" w:cs="仿宋_GB2312"/>
          <w:sz w:val="28"/>
          <w:szCs w:val="28"/>
        </w:rPr>
      </w:pPr>
      <w:r>
        <w:rPr>
          <w:rFonts w:ascii="仿宋_GB2312" w:eastAsia="仿宋_GB2312" w:hAnsi="宋体" w:cs="仿宋_GB2312" w:hint="eastAsia"/>
          <w:sz w:val="28"/>
          <w:szCs w:val="28"/>
        </w:rPr>
        <w:t xml:space="preserve">    5、具有相应的风险承受能力；</w:t>
      </w:r>
    </w:p>
    <w:p w:rsidR="00FC3217" w:rsidRDefault="00FC3217" w:rsidP="00FC3217">
      <w:pPr>
        <w:ind w:firstLineChars="196" w:firstLine="549"/>
        <w:rPr>
          <w:rFonts w:ascii="仿宋_GB2312" w:eastAsia="仿宋_GB2312"/>
          <w:color w:val="000000"/>
          <w:sz w:val="28"/>
          <w:szCs w:val="28"/>
        </w:rPr>
      </w:pPr>
      <w:r>
        <w:rPr>
          <w:rFonts w:ascii="仿宋_GB2312" w:eastAsia="仿宋_GB2312" w:hAnsi="宋体" w:cs="仿宋_GB2312" w:hint="eastAsia"/>
          <w:color w:val="000000"/>
          <w:sz w:val="28"/>
          <w:szCs w:val="28"/>
        </w:rPr>
        <w:t>认定标准:</w:t>
      </w:r>
      <w:r>
        <w:rPr>
          <w:rFonts w:ascii="仿宋_GB2312" w:eastAsia="仿宋_GB2312" w:hint="eastAsia"/>
          <w:color w:val="000000"/>
          <w:sz w:val="28"/>
          <w:szCs w:val="28"/>
        </w:rPr>
        <w:t xml:space="preserve"> 期货公司应当对投资者的风险承受能力进行评估。1年内对该投资者进行过风险承受能力评估的，可不重做评估。对于风险承受能力评估中未达“稳健”或相应等级的投资者，建议期货公司不为其开立期权帐户。</w:t>
      </w:r>
    </w:p>
    <w:p w:rsidR="00FC3217" w:rsidRDefault="00FC3217" w:rsidP="00FC3217">
      <w:pPr>
        <w:pStyle w:val="af"/>
        <w:widowControl/>
        <w:ind w:firstLine="549"/>
        <w:rPr>
          <w:rFonts w:ascii="仿宋_GB2312" w:eastAsia="仿宋_GB2312" w:hAnsi="宋体" w:cs="仿宋_GB2312"/>
          <w:sz w:val="28"/>
          <w:szCs w:val="28"/>
        </w:rPr>
      </w:pPr>
      <w:r>
        <w:rPr>
          <w:rFonts w:ascii="仿宋_GB2312" w:eastAsia="仿宋_GB2312" w:hAnsi="宋体" w:cs="仿宋_GB2312" w:hint="eastAsia"/>
          <w:sz w:val="28"/>
          <w:szCs w:val="28"/>
        </w:rPr>
        <w:t>6、不存在严重不良诚信记录，不存在法律、法规、规章和本所业务规则禁止或者限制从事期权交易的情形；</w:t>
      </w:r>
    </w:p>
    <w:p w:rsidR="00FC3217" w:rsidRDefault="00FC3217" w:rsidP="00FC3217">
      <w:pPr>
        <w:widowControl/>
        <w:shd w:val="clear" w:color="auto" w:fill="FFFFFF"/>
        <w:spacing w:after="150" w:line="336" w:lineRule="atLeast"/>
        <w:ind w:firstLineChars="200" w:firstLine="560"/>
        <w:jc w:val="left"/>
        <w:rPr>
          <w:rFonts w:ascii="仿宋_GB2312" w:eastAsia="仿宋_GB2312" w:hAnsi="宋体"/>
          <w:sz w:val="28"/>
          <w:szCs w:val="28"/>
        </w:rPr>
      </w:pPr>
      <w:r>
        <w:rPr>
          <w:rFonts w:ascii="仿宋_GB2312" w:eastAsia="仿宋_GB2312" w:hAnsi="宋体" w:cs="仿宋_GB2312" w:hint="eastAsia"/>
          <w:sz w:val="28"/>
          <w:szCs w:val="28"/>
        </w:rPr>
        <w:t>认定标准：期货公司可以通过中国期货业协会行业信息管理平台查询客户信息。法律、法规、规章禁止或者限制从事期权交易的情形，如</w:t>
      </w:r>
      <w:r>
        <w:rPr>
          <w:rFonts w:ascii="仿宋_GB2312" w:eastAsia="仿宋_GB2312" w:hAnsi="宋体" w:hint="eastAsia"/>
          <w:sz w:val="28"/>
          <w:szCs w:val="28"/>
        </w:rPr>
        <w:t>国家外汇管理局《关于改革外商投资企业外汇资本金结汇管理方式的通知》规定，</w:t>
      </w:r>
      <w:r>
        <w:rPr>
          <w:rFonts w:ascii="仿宋_GB2312" w:eastAsia="仿宋_GB2312" w:hAnsi="宋体" w:cs="仿宋_GB2312" w:hint="eastAsia"/>
          <w:sz w:val="28"/>
          <w:szCs w:val="28"/>
        </w:rPr>
        <w:t>外商投资企业资本金及其结汇所得人民币资金不得直</w:t>
      </w:r>
      <w:r>
        <w:rPr>
          <w:rFonts w:ascii="仿宋_GB2312" w:eastAsia="仿宋_GB2312" w:hAnsi="宋体" w:cs="仿宋_GB2312" w:hint="eastAsia"/>
          <w:sz w:val="28"/>
          <w:szCs w:val="28"/>
        </w:rPr>
        <w:lastRenderedPageBreak/>
        <w:t>接或间接用于证券投资。</w:t>
      </w:r>
      <w:r>
        <w:rPr>
          <w:rFonts w:ascii="仿宋_GB2312" w:eastAsia="仿宋_GB2312" w:hAnsi="宋体" w:hint="eastAsia"/>
          <w:sz w:val="28"/>
          <w:szCs w:val="28"/>
        </w:rPr>
        <w:t>期货公司应当加强外商投资企业客户的资金来源核查工作，必要时可以要求客户提交相关承诺书。</w:t>
      </w:r>
      <w:r>
        <w:rPr>
          <w:rFonts w:ascii="仿宋_GB2312" w:eastAsia="仿宋_GB2312" w:hAnsi="宋体"/>
          <w:sz w:val="28"/>
          <w:szCs w:val="28"/>
        </w:rPr>
        <w:t xml:space="preserve"> </w:t>
      </w:r>
    </w:p>
    <w:p w:rsidR="00FC3217" w:rsidRDefault="00FC3217" w:rsidP="00FC3217">
      <w:pPr>
        <w:ind w:firstLineChars="200" w:firstLine="560"/>
        <w:rPr>
          <w:rFonts w:ascii="仿宋_GB2312" w:eastAsia="仿宋_GB2312" w:hAnsi="宋体"/>
          <w:sz w:val="28"/>
          <w:szCs w:val="24"/>
        </w:rPr>
      </w:pPr>
      <w:r>
        <w:rPr>
          <w:rFonts w:ascii="仿宋_GB2312" w:eastAsia="仿宋_GB2312" w:hint="eastAsia"/>
          <w:color w:val="000000"/>
          <w:sz w:val="28"/>
          <w:szCs w:val="28"/>
        </w:rPr>
        <w:t>7.</w:t>
      </w:r>
      <w:r>
        <w:rPr>
          <w:rFonts w:ascii="仿宋_GB2312" w:eastAsia="仿宋_GB2312" w:hAnsi="宋体" w:hint="eastAsia"/>
          <w:sz w:val="28"/>
          <w:szCs w:val="24"/>
        </w:rPr>
        <w:t>本所规定的其他条件；</w:t>
      </w:r>
    </w:p>
    <w:p w:rsidR="00FC3217" w:rsidRDefault="00FC3217" w:rsidP="00FC3217">
      <w:pPr>
        <w:pStyle w:val="af"/>
        <w:widowControl/>
        <w:ind w:firstLineChars="202" w:firstLine="566"/>
        <w:rPr>
          <w:rFonts w:ascii="仿宋_GB2312" w:eastAsia="仿宋_GB2312" w:cs="仿宋_GB2312"/>
          <w:sz w:val="28"/>
          <w:szCs w:val="28"/>
        </w:rPr>
      </w:pPr>
      <w:r>
        <w:rPr>
          <w:rFonts w:ascii="仿宋_GB2312" w:eastAsia="仿宋_GB2312" w:hint="eastAsia"/>
          <w:color w:val="000000"/>
          <w:sz w:val="28"/>
          <w:szCs w:val="28"/>
        </w:rPr>
        <w:t>个人投资者参与期权交易，应当通过期货公司组织的期权投资者适当性综合评估。</w:t>
      </w:r>
      <w:r>
        <w:rPr>
          <w:rFonts w:ascii="仿宋_GB2312" w:eastAsia="仿宋_GB2312" w:hAnsi="宋体" w:cs="仿宋_GB2312" w:hint="eastAsia"/>
          <w:color w:val="000000"/>
          <w:sz w:val="28"/>
          <w:szCs w:val="28"/>
        </w:rPr>
        <w:t>港</w:t>
      </w:r>
      <w:r>
        <w:rPr>
          <w:rFonts w:ascii="仿宋_GB2312" w:eastAsia="仿宋_GB2312" w:hAnsi="宋体" w:cs="仿宋_GB2312" w:hint="eastAsia"/>
          <w:color w:val="000000"/>
          <w:kern w:val="0"/>
          <w:sz w:val="28"/>
          <w:szCs w:val="28"/>
        </w:rPr>
        <w:t>澳台投资者只要满足《上海证券交易所股票期权试点投资者适当性管理指引》相关要求，可参与期权交易。</w:t>
      </w:r>
    </w:p>
    <w:p w:rsidR="00FC3217" w:rsidRDefault="00FC3217" w:rsidP="00FC3217">
      <w:pPr>
        <w:ind w:firstLineChars="200" w:firstLine="560"/>
        <w:rPr>
          <w:rFonts w:ascii="仿宋_GB2312" w:eastAsia="仿宋_GB2312"/>
          <w:color w:val="000000"/>
          <w:sz w:val="28"/>
          <w:szCs w:val="28"/>
        </w:rPr>
      </w:pPr>
    </w:p>
    <w:p w:rsidR="00FC3217" w:rsidRDefault="00FC3217" w:rsidP="00FC3217">
      <w:pPr>
        <w:ind w:firstLineChars="200" w:firstLine="562"/>
        <w:rPr>
          <w:rFonts w:ascii="仿宋_GB2312" w:eastAsia="仿宋_GB2312"/>
          <w:b/>
          <w:color w:val="000000"/>
          <w:sz w:val="28"/>
          <w:szCs w:val="28"/>
        </w:rPr>
      </w:pPr>
      <w:bookmarkStart w:id="145" w:name="_Toc406438887"/>
      <w:bookmarkStart w:id="146" w:name="_Toc408300976"/>
      <w:r>
        <w:rPr>
          <w:rFonts w:ascii="仿宋_GB2312" w:eastAsia="仿宋_GB2312" w:hint="eastAsia"/>
          <w:b/>
          <w:color w:val="000000"/>
          <w:sz w:val="28"/>
          <w:szCs w:val="28"/>
        </w:rPr>
        <w:t>（二）普通机构投资者</w:t>
      </w:r>
      <w:bookmarkEnd w:id="145"/>
      <w:bookmarkEnd w:id="146"/>
    </w:p>
    <w:p w:rsidR="00FC3217" w:rsidRDefault="00FC3217" w:rsidP="00FC3217">
      <w:pPr>
        <w:ind w:firstLineChars="200" w:firstLine="560"/>
        <w:rPr>
          <w:rFonts w:ascii="仿宋_GB2312" w:eastAsia="仿宋_GB2312"/>
          <w:color w:val="000000"/>
          <w:sz w:val="28"/>
          <w:szCs w:val="28"/>
        </w:rPr>
      </w:pPr>
      <w:r>
        <w:rPr>
          <w:rFonts w:ascii="仿宋_GB2312" w:eastAsia="仿宋_GB2312" w:hint="eastAsia"/>
          <w:color w:val="000000"/>
          <w:sz w:val="28"/>
          <w:szCs w:val="28"/>
        </w:rPr>
        <w:t>普通机构投资者参与期权交易，应当符合下列条件，具体认定标准参照个人投资者执行：</w:t>
      </w:r>
    </w:p>
    <w:p w:rsidR="00FC3217" w:rsidRDefault="00FC3217" w:rsidP="00FC3217">
      <w:pPr>
        <w:ind w:firstLineChars="200" w:firstLine="560"/>
        <w:rPr>
          <w:rFonts w:ascii="仿宋_GB2312" w:eastAsia="仿宋_GB2312"/>
          <w:color w:val="000000"/>
          <w:sz w:val="28"/>
          <w:szCs w:val="28"/>
        </w:rPr>
      </w:pPr>
      <w:r>
        <w:rPr>
          <w:rFonts w:ascii="仿宋_GB2312" w:eastAsia="仿宋_GB2312" w:hint="eastAsia"/>
          <w:color w:val="000000"/>
          <w:sz w:val="28"/>
          <w:szCs w:val="28"/>
        </w:rPr>
        <w:t>1.</w:t>
      </w:r>
      <w:r>
        <w:rPr>
          <w:rFonts w:ascii="仿宋_GB2312" w:eastAsia="仿宋_GB2312" w:hAnsi="宋体" w:cs="仿宋_GB2312" w:hint="eastAsia"/>
          <w:sz w:val="28"/>
          <w:szCs w:val="28"/>
        </w:rPr>
        <w:t xml:space="preserve"> 申请开户时托管在其委托的期权经营机构的证券市值与资金账户可用余额（不含通过融资融券交易融入的资金或证券），合计不低于人民币100万元</w:t>
      </w:r>
      <w:r>
        <w:rPr>
          <w:rFonts w:ascii="仿宋_GB2312" w:eastAsia="仿宋_GB2312" w:hint="eastAsia"/>
          <w:color w:val="000000"/>
          <w:sz w:val="28"/>
          <w:szCs w:val="28"/>
        </w:rPr>
        <w:t>；</w:t>
      </w:r>
    </w:p>
    <w:p w:rsidR="00FC3217" w:rsidRDefault="00FC3217" w:rsidP="00FC3217">
      <w:pPr>
        <w:ind w:firstLineChars="200" w:firstLine="560"/>
        <w:rPr>
          <w:rFonts w:ascii="仿宋_GB2312" w:eastAsia="仿宋_GB2312"/>
          <w:color w:val="000000"/>
          <w:sz w:val="28"/>
          <w:szCs w:val="28"/>
        </w:rPr>
      </w:pPr>
      <w:r>
        <w:rPr>
          <w:rFonts w:ascii="仿宋_GB2312" w:eastAsia="仿宋_GB2312" w:hint="eastAsia"/>
          <w:color w:val="000000"/>
          <w:sz w:val="28"/>
          <w:szCs w:val="28"/>
        </w:rPr>
        <w:t>2.上一季度末净资产不低于人民币100万元</w:t>
      </w:r>
      <w:r>
        <w:rPr>
          <w:rFonts w:ascii="仿宋_GB2312" w:eastAsia="仿宋_GB2312" w:hAnsi="宋体" w:hint="eastAsia"/>
          <w:sz w:val="28"/>
          <w:szCs w:val="28"/>
        </w:rPr>
        <w:t>（新成立的机构取最近净资产）</w:t>
      </w:r>
      <w:r>
        <w:rPr>
          <w:rFonts w:ascii="仿宋_GB2312" w:eastAsia="仿宋_GB2312" w:hint="eastAsia"/>
          <w:color w:val="000000"/>
          <w:sz w:val="28"/>
          <w:szCs w:val="28"/>
        </w:rPr>
        <w:t>；</w:t>
      </w:r>
    </w:p>
    <w:p w:rsidR="00FC3217" w:rsidRDefault="00FC3217" w:rsidP="00FC3217">
      <w:pPr>
        <w:ind w:firstLineChars="200" w:firstLine="560"/>
        <w:rPr>
          <w:rFonts w:ascii="仿宋_GB2312" w:eastAsia="仿宋_GB2312"/>
          <w:color w:val="000000"/>
          <w:sz w:val="28"/>
          <w:szCs w:val="28"/>
        </w:rPr>
      </w:pPr>
      <w:r>
        <w:rPr>
          <w:rFonts w:ascii="仿宋_GB2312" w:eastAsia="仿宋_GB2312" w:hint="eastAsia"/>
          <w:color w:val="000000"/>
          <w:sz w:val="28"/>
          <w:szCs w:val="28"/>
        </w:rPr>
        <w:t>3.相关业务人员具备期权基础知识，通过本所认可的相关知识测试；相关业务人员主要是指期权投资决策人员以及下单人员；</w:t>
      </w:r>
    </w:p>
    <w:p w:rsidR="00FC3217" w:rsidRDefault="00FC3217" w:rsidP="00FC3217">
      <w:pPr>
        <w:ind w:firstLineChars="200" w:firstLine="560"/>
        <w:rPr>
          <w:rFonts w:ascii="仿宋_GB2312" w:eastAsia="仿宋_GB2312"/>
          <w:color w:val="000000"/>
          <w:sz w:val="28"/>
          <w:szCs w:val="28"/>
        </w:rPr>
      </w:pPr>
      <w:r>
        <w:rPr>
          <w:rFonts w:ascii="仿宋_GB2312" w:eastAsia="仿宋_GB2312" w:hint="eastAsia"/>
          <w:color w:val="000000"/>
          <w:sz w:val="28"/>
          <w:szCs w:val="28"/>
        </w:rPr>
        <w:t>4.相关业务人员具有</w:t>
      </w:r>
      <w:r>
        <w:rPr>
          <w:rFonts w:ascii="仿宋_GB2312" w:eastAsia="仿宋_GB2312" w:hAnsi="宋体" w:hint="eastAsia"/>
          <w:sz w:val="28"/>
          <w:szCs w:val="28"/>
        </w:rPr>
        <w:t>与三级期权交易权限相对应的</w:t>
      </w:r>
      <w:r>
        <w:rPr>
          <w:rFonts w:ascii="仿宋_GB2312" w:eastAsia="仿宋_GB2312" w:hint="eastAsia"/>
          <w:color w:val="000000"/>
          <w:sz w:val="28"/>
          <w:szCs w:val="28"/>
        </w:rPr>
        <w:t>本所认可的期权模拟交易经历（通过该机构开设的期权模拟账户来完成）；</w:t>
      </w:r>
    </w:p>
    <w:p w:rsidR="00FC3217" w:rsidRDefault="00FC3217" w:rsidP="00FC3217">
      <w:pPr>
        <w:ind w:firstLineChars="200" w:firstLine="560"/>
        <w:rPr>
          <w:rFonts w:ascii="仿宋_GB2312" w:eastAsia="仿宋_GB2312"/>
          <w:color w:val="000000"/>
          <w:sz w:val="28"/>
          <w:szCs w:val="28"/>
        </w:rPr>
      </w:pPr>
      <w:r>
        <w:rPr>
          <w:rFonts w:ascii="仿宋_GB2312" w:eastAsia="仿宋_GB2312" w:hint="eastAsia"/>
          <w:color w:val="000000"/>
          <w:sz w:val="28"/>
          <w:szCs w:val="28"/>
        </w:rPr>
        <w:t>5.不存在严重不良诚信记录和法律、法规、规章和本所业务规则禁止或者限制从事期权交易的情形；</w:t>
      </w:r>
    </w:p>
    <w:p w:rsidR="00FC3217" w:rsidRDefault="00FC3217" w:rsidP="00FC3217">
      <w:pPr>
        <w:ind w:firstLineChars="200" w:firstLine="560"/>
        <w:rPr>
          <w:rFonts w:ascii="仿宋_GB2312" w:eastAsia="仿宋_GB2312"/>
          <w:color w:val="000000"/>
          <w:sz w:val="28"/>
          <w:szCs w:val="28"/>
        </w:rPr>
      </w:pPr>
      <w:r>
        <w:rPr>
          <w:rFonts w:ascii="仿宋_GB2312" w:eastAsia="仿宋_GB2312" w:hint="eastAsia"/>
          <w:color w:val="000000"/>
          <w:sz w:val="28"/>
          <w:szCs w:val="28"/>
        </w:rPr>
        <w:t>6.本所规定的其他条件。</w:t>
      </w:r>
    </w:p>
    <w:p w:rsidR="00FC3217" w:rsidRDefault="00FC3217" w:rsidP="00FC3217">
      <w:pPr>
        <w:ind w:firstLineChars="200" w:firstLine="562"/>
        <w:rPr>
          <w:rFonts w:ascii="仿宋_GB2312" w:eastAsia="仿宋_GB2312"/>
          <w:b/>
          <w:color w:val="000000"/>
          <w:sz w:val="28"/>
          <w:szCs w:val="28"/>
        </w:rPr>
      </w:pPr>
      <w:bookmarkStart w:id="147" w:name="_Toc406438888"/>
      <w:bookmarkStart w:id="148" w:name="_Toc408300977"/>
      <w:r>
        <w:rPr>
          <w:rFonts w:ascii="仿宋_GB2312" w:eastAsia="仿宋_GB2312" w:hint="eastAsia"/>
          <w:b/>
          <w:color w:val="000000"/>
          <w:sz w:val="28"/>
          <w:szCs w:val="28"/>
        </w:rPr>
        <w:lastRenderedPageBreak/>
        <w:t>（三）专业机构投资者</w:t>
      </w:r>
      <w:bookmarkEnd w:id="147"/>
      <w:bookmarkEnd w:id="148"/>
    </w:p>
    <w:p w:rsidR="00FC3217" w:rsidRDefault="00FC3217" w:rsidP="00FC3217">
      <w:pPr>
        <w:ind w:firstLineChars="200" w:firstLine="560"/>
        <w:rPr>
          <w:rFonts w:ascii="仿宋_GB2312" w:eastAsia="仿宋_GB2312" w:hAnsi="宋体"/>
          <w:color w:val="000000"/>
          <w:sz w:val="28"/>
          <w:szCs w:val="24"/>
        </w:rPr>
      </w:pPr>
      <w:r>
        <w:rPr>
          <w:rFonts w:ascii="仿宋_GB2312" w:eastAsia="仿宋_GB2312" w:hAnsi="宋体" w:hint="eastAsia"/>
          <w:color w:val="000000"/>
          <w:sz w:val="28"/>
          <w:szCs w:val="24"/>
        </w:rPr>
        <w:t>除法律</w:t>
      </w:r>
      <w:r>
        <w:rPr>
          <w:rFonts w:ascii="仿宋_GB2312" w:eastAsia="仿宋_GB2312" w:hAnsi="宋体" w:hint="eastAsia"/>
          <w:sz w:val="28"/>
          <w:szCs w:val="24"/>
        </w:rPr>
        <w:t>、法规、规章</w:t>
      </w:r>
      <w:r>
        <w:rPr>
          <w:rFonts w:ascii="仿宋_GB2312" w:eastAsia="仿宋_GB2312" w:hAnsi="宋体" w:hint="eastAsia"/>
          <w:color w:val="000000"/>
          <w:sz w:val="28"/>
          <w:szCs w:val="24"/>
        </w:rPr>
        <w:t>以及监管机构另有规定外，下列专业机构投资者参与期权交易，不对其进行适当性管理综合评估：</w:t>
      </w:r>
    </w:p>
    <w:p w:rsidR="00FC3217" w:rsidRDefault="00FC3217" w:rsidP="00FC3217">
      <w:pPr>
        <w:ind w:firstLineChars="200" w:firstLine="560"/>
        <w:rPr>
          <w:rFonts w:ascii="仿宋_GB2312" w:eastAsia="仿宋_GB2312" w:hAnsi="宋体"/>
          <w:color w:val="000000"/>
          <w:sz w:val="28"/>
          <w:szCs w:val="24"/>
        </w:rPr>
      </w:pPr>
      <w:r>
        <w:rPr>
          <w:rFonts w:ascii="仿宋_GB2312" w:eastAsia="仿宋_GB2312" w:hAnsi="宋体" w:hint="eastAsia"/>
          <w:color w:val="000000"/>
          <w:sz w:val="28"/>
          <w:szCs w:val="24"/>
        </w:rPr>
        <w:t>1.商业银行、期权经营机构、保险机构、信托公司、基金管理公司、财务公司、合格境外机构投资者等专业机构及其分支机构；</w:t>
      </w:r>
    </w:p>
    <w:p w:rsidR="00FC3217" w:rsidRDefault="00FC3217" w:rsidP="00FC3217">
      <w:pPr>
        <w:ind w:firstLineChars="200" w:firstLine="560"/>
        <w:rPr>
          <w:rFonts w:ascii="仿宋_GB2312" w:eastAsia="仿宋_GB2312" w:hAnsi="宋体"/>
          <w:color w:val="000000"/>
          <w:sz w:val="28"/>
          <w:szCs w:val="24"/>
        </w:rPr>
      </w:pPr>
      <w:r>
        <w:rPr>
          <w:rFonts w:ascii="仿宋_GB2312" w:eastAsia="仿宋_GB2312" w:hAnsi="宋体" w:hint="eastAsia"/>
          <w:color w:val="000000"/>
          <w:sz w:val="28"/>
          <w:szCs w:val="24"/>
        </w:rPr>
        <w:t>2.证券投资基金、社保基金、养老基金、企业年金、信托计划、资产管理计划、银行及保险理财产品、</w:t>
      </w:r>
      <w:r>
        <w:rPr>
          <w:rFonts w:ascii="华文仿宋" w:eastAsia="华文仿宋" w:hAnsi="华文仿宋" w:hint="eastAsia"/>
          <w:sz w:val="28"/>
          <w:szCs w:val="28"/>
        </w:rPr>
        <w:t>在中国证券投资基金业协会备案的私募基金</w:t>
      </w:r>
      <w:r>
        <w:rPr>
          <w:rFonts w:ascii="仿宋_GB2312" w:eastAsia="仿宋_GB2312" w:hAnsi="宋体" w:hint="eastAsia"/>
          <w:color w:val="000000"/>
          <w:sz w:val="28"/>
          <w:szCs w:val="24"/>
        </w:rPr>
        <w:t>，以及由第一项所列专业机构担任管理人的其他基金或者委托投资资产；</w:t>
      </w:r>
    </w:p>
    <w:p w:rsidR="00FC3217" w:rsidRDefault="00FC3217" w:rsidP="00FC3217">
      <w:pPr>
        <w:ind w:firstLineChars="200" w:firstLine="560"/>
        <w:rPr>
          <w:rFonts w:ascii="仿宋_GB2312" w:eastAsia="仿宋_GB2312" w:hAnsi="宋体"/>
          <w:color w:val="000000"/>
          <w:sz w:val="28"/>
          <w:szCs w:val="24"/>
        </w:rPr>
      </w:pPr>
      <w:r>
        <w:rPr>
          <w:rFonts w:ascii="仿宋_GB2312" w:eastAsia="仿宋_GB2312" w:hAnsi="宋体" w:hint="eastAsia"/>
          <w:color w:val="000000"/>
          <w:sz w:val="28"/>
          <w:szCs w:val="24"/>
        </w:rPr>
        <w:t>3.监管机构及本所规定的其他专业机构投资者。</w:t>
      </w:r>
    </w:p>
    <w:p w:rsidR="00FC3217" w:rsidRDefault="00FC3217" w:rsidP="00FC3217">
      <w:pPr>
        <w:ind w:firstLineChars="200" w:firstLine="560"/>
        <w:rPr>
          <w:rFonts w:ascii="仿宋_GB2312" w:eastAsia="仿宋_GB2312" w:hAnsi="宋体"/>
          <w:color w:val="000000"/>
          <w:sz w:val="28"/>
          <w:szCs w:val="24"/>
        </w:rPr>
      </w:pPr>
      <w:r>
        <w:rPr>
          <w:rFonts w:ascii="仿宋_GB2312" w:eastAsia="仿宋_GB2312" w:hAnsi="宋体" w:hint="eastAsia"/>
          <w:color w:val="000000"/>
          <w:sz w:val="28"/>
          <w:szCs w:val="24"/>
        </w:rPr>
        <w:t>股票期权上线初期，根据《合格境外机构投资者境内证券投资管理办法》和《上海证券交易所沪港通试点办法》，合格境外机构投资者（QFII）和沪股通投资者暂时不能交易股票期权产品。</w:t>
      </w:r>
    </w:p>
    <w:p w:rsidR="00FC3217" w:rsidRDefault="00FC3217" w:rsidP="00FC3217">
      <w:pPr>
        <w:ind w:firstLineChars="200" w:firstLine="560"/>
        <w:rPr>
          <w:rFonts w:ascii="仿宋_GB2312" w:eastAsia="仿宋_GB2312" w:hAnsi="宋体"/>
          <w:color w:val="000000"/>
          <w:sz w:val="28"/>
          <w:szCs w:val="24"/>
        </w:rPr>
      </w:pPr>
    </w:p>
    <w:p w:rsidR="00FC3217" w:rsidRDefault="00FC3217" w:rsidP="00FC3217">
      <w:pPr>
        <w:pStyle w:val="2"/>
        <w:ind w:firstLine="562"/>
      </w:pPr>
      <w:bookmarkStart w:id="149" w:name="_Toc406438889"/>
      <w:bookmarkStart w:id="150" w:name="_Toc408300978"/>
      <w:bookmarkStart w:id="151" w:name="_Toc408749913"/>
      <w:bookmarkStart w:id="152" w:name="_Toc7028"/>
      <w:bookmarkStart w:id="153" w:name="_Toc7476"/>
      <w:bookmarkStart w:id="154" w:name="_Toc21002"/>
      <w:bookmarkStart w:id="155" w:name="_Toc24364"/>
      <w:bookmarkStart w:id="156" w:name="_Toc23946974"/>
      <w:r>
        <w:rPr>
          <w:rFonts w:hint="eastAsia"/>
        </w:rPr>
        <w:t>二、综合评估</w:t>
      </w:r>
      <w:bookmarkEnd w:id="149"/>
      <w:bookmarkEnd w:id="150"/>
      <w:bookmarkEnd w:id="151"/>
      <w:bookmarkEnd w:id="152"/>
      <w:bookmarkEnd w:id="153"/>
      <w:bookmarkEnd w:id="154"/>
      <w:bookmarkEnd w:id="155"/>
      <w:bookmarkEnd w:id="156"/>
    </w:p>
    <w:p w:rsidR="00FC3217" w:rsidRDefault="00FC3217" w:rsidP="00FC3217">
      <w:pPr>
        <w:ind w:firstLineChars="200" w:firstLine="560"/>
        <w:rPr>
          <w:rFonts w:ascii="仿宋_GB2312" w:eastAsia="仿宋_GB2312" w:hAnsi="宋体"/>
          <w:color w:val="000000"/>
          <w:sz w:val="28"/>
          <w:szCs w:val="24"/>
        </w:rPr>
      </w:pPr>
      <w:r>
        <w:rPr>
          <w:rFonts w:ascii="仿宋_GB2312" w:eastAsia="仿宋_GB2312" w:hAnsi="宋体" w:hint="eastAsia"/>
          <w:color w:val="000000"/>
          <w:sz w:val="28"/>
          <w:szCs w:val="24"/>
        </w:rPr>
        <w:t>期货公司应当制定期权投资者适当性管理综合评估（以下简称“综合评估”）的实施办法，选择适当的投资者参与期权交易。</w:t>
      </w:r>
    </w:p>
    <w:p w:rsidR="00FC3217" w:rsidRDefault="00FC3217" w:rsidP="00FC3217">
      <w:pPr>
        <w:ind w:firstLineChars="200" w:firstLine="560"/>
        <w:rPr>
          <w:rFonts w:ascii="仿宋_GB2312" w:eastAsia="仿宋_GB2312" w:hAnsi="宋体"/>
          <w:color w:val="000000"/>
          <w:sz w:val="28"/>
          <w:szCs w:val="24"/>
        </w:rPr>
      </w:pPr>
      <w:r>
        <w:rPr>
          <w:rFonts w:ascii="仿宋_GB2312" w:eastAsia="仿宋_GB2312" w:hAnsi="宋体" w:hint="eastAsia"/>
          <w:color w:val="000000"/>
          <w:sz w:val="28"/>
          <w:szCs w:val="24"/>
        </w:rPr>
        <w:t>期货公司应当对个人投资者的基本情况、风险承受能力、相关投资经历、金融类资产状况、期权知识水平等方面进行综合评估。期货公司应根据投资者适当性管理的相关规定，编制《股票期权投资者适当性综合评估表》（参考样表见附件）。该表只需经办人及期货公司营</w:t>
      </w:r>
      <w:r>
        <w:rPr>
          <w:rFonts w:ascii="仿宋_GB2312" w:eastAsia="仿宋_GB2312" w:hAnsi="宋体" w:hint="eastAsia"/>
          <w:color w:val="000000"/>
          <w:sz w:val="28"/>
          <w:szCs w:val="24"/>
        </w:rPr>
        <w:lastRenderedPageBreak/>
        <w:t>业部负责人或其授权人签字确认即可。在审批流程中期货公司可以使用电子签章；有完备电子流程的，上述人员无需在纸面文件上签名。综合评估分数低于期货公司设定分值的，期货公司不得为其办理开户。期货公司应当向客户明确告知综合评估结果，提示其审慎参与期权交易，并对所做提示记录留存。</w:t>
      </w:r>
    </w:p>
    <w:p w:rsidR="00FC3217" w:rsidRDefault="00FC3217" w:rsidP="00FC3217">
      <w:pPr>
        <w:ind w:firstLineChars="200" w:firstLine="560"/>
        <w:rPr>
          <w:rFonts w:ascii="仿宋_GB2312" w:eastAsia="仿宋_GB2312" w:hAnsi="宋体"/>
          <w:color w:val="000000"/>
          <w:sz w:val="28"/>
          <w:szCs w:val="24"/>
        </w:rPr>
      </w:pPr>
      <w:r>
        <w:rPr>
          <w:rFonts w:ascii="仿宋_GB2312" w:eastAsia="仿宋_GB2312" w:hAnsi="宋体" w:hint="eastAsia"/>
          <w:color w:val="000000"/>
          <w:sz w:val="28"/>
          <w:szCs w:val="24"/>
        </w:rPr>
        <w:t>期货公司应当要求投资者进行现场开户，试点期间不得采取其他开户方式。</w:t>
      </w:r>
    </w:p>
    <w:p w:rsidR="00FC3217" w:rsidRDefault="00FC3217" w:rsidP="00FC3217">
      <w:pPr>
        <w:pStyle w:val="2"/>
        <w:ind w:firstLineChars="0"/>
      </w:pPr>
      <w:bookmarkStart w:id="157" w:name="_Toc406438890"/>
      <w:bookmarkStart w:id="158" w:name="_Toc408300979"/>
      <w:bookmarkStart w:id="159" w:name="_Toc408749914"/>
      <w:bookmarkStart w:id="160" w:name="_Toc9933"/>
      <w:bookmarkStart w:id="161" w:name="_Toc29239"/>
      <w:bookmarkStart w:id="162" w:name="_Toc11135"/>
      <w:bookmarkStart w:id="163" w:name="_Toc15731"/>
      <w:bookmarkStart w:id="164" w:name="_Toc23946975"/>
      <w:r>
        <w:rPr>
          <w:rFonts w:hint="eastAsia"/>
        </w:rPr>
        <w:t>三、期权投资者知识测试</w:t>
      </w:r>
      <w:bookmarkEnd w:id="157"/>
      <w:bookmarkEnd w:id="158"/>
      <w:bookmarkEnd w:id="159"/>
      <w:bookmarkEnd w:id="160"/>
      <w:bookmarkEnd w:id="161"/>
      <w:bookmarkEnd w:id="162"/>
      <w:bookmarkEnd w:id="163"/>
      <w:bookmarkEnd w:id="164"/>
    </w:p>
    <w:p w:rsidR="00FC3217" w:rsidRDefault="00FC3217" w:rsidP="00FC3217">
      <w:pPr>
        <w:rPr>
          <w:rFonts w:ascii="仿宋_GB2312" w:eastAsia="仿宋_GB2312"/>
          <w:color w:val="000000"/>
          <w:sz w:val="28"/>
          <w:szCs w:val="28"/>
        </w:rPr>
      </w:pPr>
      <w:r>
        <w:rPr>
          <w:rFonts w:ascii="仿宋_GB2312" w:eastAsia="仿宋_GB2312" w:hint="eastAsia"/>
          <w:color w:val="000000"/>
          <w:sz w:val="28"/>
          <w:szCs w:val="28"/>
        </w:rPr>
        <w:t xml:space="preserve">   </w:t>
      </w:r>
      <w:r>
        <w:rPr>
          <w:rFonts w:ascii="仿宋_GB2312" w:eastAsia="仿宋_GB2312" w:hint="eastAsia"/>
          <w:b/>
          <w:bCs/>
          <w:color w:val="000000"/>
          <w:sz w:val="28"/>
          <w:szCs w:val="28"/>
        </w:rPr>
        <w:t>（一）考试要求</w:t>
      </w:r>
    </w:p>
    <w:p w:rsidR="00FC3217" w:rsidRDefault="00FC3217" w:rsidP="00FC3217">
      <w:pPr>
        <w:ind w:firstLineChars="200" w:firstLine="560"/>
        <w:rPr>
          <w:rFonts w:ascii="仿宋_GB2312" w:eastAsia="仿宋_GB2312"/>
          <w:color w:val="000000"/>
          <w:sz w:val="28"/>
          <w:szCs w:val="28"/>
        </w:rPr>
      </w:pPr>
      <w:r>
        <w:rPr>
          <w:rFonts w:ascii="仿宋_GB2312" w:eastAsia="仿宋_GB2312" w:hint="eastAsia"/>
          <w:color w:val="000000"/>
          <w:sz w:val="28"/>
          <w:szCs w:val="28"/>
        </w:rPr>
        <w:t>期货公司可根据本公司实际情况及业务规划，在部分或全部分支机构开设期权知识测试考场。拟开设考场的分支机构应当按要求设置</w:t>
      </w:r>
      <w:r>
        <w:rPr>
          <w:rFonts w:ascii="仿宋_GB2312" w:eastAsia="仿宋_GB2312"/>
          <w:color w:val="000000"/>
          <w:sz w:val="28"/>
          <w:szCs w:val="28"/>
        </w:rPr>
        <w:t xml:space="preserve"> </w:t>
      </w:r>
      <w:r>
        <w:rPr>
          <w:rFonts w:ascii="仿宋_GB2312" w:eastAsia="仿宋_GB2312" w:hint="eastAsia"/>
          <w:color w:val="000000"/>
          <w:sz w:val="28"/>
          <w:szCs w:val="28"/>
        </w:rPr>
        <w:t>“专区、专人、专机”。公司总部对分支机构准备情况验收合格后，方可通过该分支机构组织投资者期权知识测试。</w:t>
      </w:r>
    </w:p>
    <w:p w:rsidR="00FC3217" w:rsidRDefault="00FC3217" w:rsidP="00FC3217">
      <w:pPr>
        <w:ind w:firstLineChars="200" w:firstLine="560"/>
        <w:rPr>
          <w:rFonts w:ascii="仿宋_GB2312" w:eastAsia="仿宋_GB2312"/>
          <w:color w:val="000000"/>
          <w:sz w:val="28"/>
          <w:szCs w:val="28"/>
        </w:rPr>
      </w:pPr>
      <w:r>
        <w:rPr>
          <w:rFonts w:ascii="仿宋_GB2312" w:eastAsia="仿宋_GB2312" w:hint="eastAsia"/>
          <w:color w:val="000000"/>
          <w:sz w:val="28"/>
          <w:szCs w:val="28"/>
        </w:rPr>
        <w:t>“专区”：在营业部设置相对独立的专门区域用于投资者测试，场地大小可视营业场所实际情况确定。专区内应张贴考试过程及纪律要求。“专人”：应配备专门的期权工作人员或客服人员组织测试。上述人员应具备一定的期权知识水平，同时熟悉测试组织要求和流程。客户开发人员不得兼任测试组织人员。“专机”：应配备专门电脑，其配置应保证投资者顺畅完成在线测试。</w:t>
      </w:r>
    </w:p>
    <w:p w:rsidR="00FC3217" w:rsidRDefault="00FC3217" w:rsidP="00FC3217">
      <w:pPr>
        <w:ind w:firstLineChars="200" w:firstLine="562"/>
        <w:rPr>
          <w:rFonts w:ascii="仿宋_GB2312" w:eastAsia="仿宋_GB2312"/>
          <w:color w:val="000000"/>
          <w:sz w:val="28"/>
          <w:szCs w:val="28"/>
        </w:rPr>
      </w:pPr>
      <w:r>
        <w:rPr>
          <w:rFonts w:ascii="仿宋_GB2312" w:eastAsia="仿宋_GB2312" w:hint="eastAsia"/>
          <w:b/>
          <w:bCs/>
          <w:color w:val="000000"/>
          <w:sz w:val="28"/>
          <w:szCs w:val="28"/>
        </w:rPr>
        <w:t>（二）考试纪律</w:t>
      </w:r>
    </w:p>
    <w:p w:rsidR="00FC3217" w:rsidRDefault="00FC3217" w:rsidP="00FC3217">
      <w:pPr>
        <w:ind w:firstLineChars="200" w:firstLine="560"/>
        <w:rPr>
          <w:rFonts w:ascii="仿宋_GB2312" w:eastAsia="仿宋_GB2312"/>
          <w:color w:val="000000"/>
          <w:sz w:val="28"/>
          <w:szCs w:val="28"/>
        </w:rPr>
      </w:pPr>
      <w:r>
        <w:rPr>
          <w:rFonts w:ascii="仿宋_GB2312" w:eastAsia="仿宋_GB2312" w:hint="eastAsia"/>
          <w:color w:val="000000"/>
          <w:sz w:val="28"/>
          <w:szCs w:val="28"/>
        </w:rPr>
        <w:t>期货公司应当负责核对投资者身份证明文件，确认投资者本人独</w:t>
      </w:r>
      <w:r>
        <w:rPr>
          <w:rFonts w:ascii="仿宋_GB2312" w:eastAsia="仿宋_GB2312" w:hint="eastAsia"/>
          <w:color w:val="000000"/>
          <w:sz w:val="28"/>
          <w:szCs w:val="28"/>
        </w:rPr>
        <w:lastRenderedPageBreak/>
        <w:t>立、自主完成考试。投资者在规定的考试时间内不得查阅任何参考资料（包括但不限于印刷资料、手机、电脑等渠道），不得向营业部监考工作人员询问与考试内容有关的信息。一旦发现作弊、替考等现象，本所将认定考试成绩无效并采取相关自律监管措施。</w:t>
      </w:r>
    </w:p>
    <w:p w:rsidR="00FC3217" w:rsidRDefault="00FC3217" w:rsidP="00FC3217">
      <w:pPr>
        <w:ind w:firstLineChars="200" w:firstLine="562"/>
        <w:rPr>
          <w:rFonts w:ascii="仿宋_GB2312" w:eastAsia="仿宋_GB2312"/>
          <w:b/>
          <w:bCs/>
          <w:color w:val="000000"/>
          <w:sz w:val="28"/>
          <w:szCs w:val="28"/>
        </w:rPr>
      </w:pPr>
      <w:r>
        <w:rPr>
          <w:rFonts w:ascii="仿宋_GB2312" w:eastAsia="仿宋_GB2312" w:hint="eastAsia"/>
          <w:b/>
          <w:bCs/>
          <w:color w:val="000000"/>
          <w:sz w:val="28"/>
          <w:szCs w:val="28"/>
        </w:rPr>
        <w:t>（三）考试录像</w:t>
      </w:r>
    </w:p>
    <w:p w:rsidR="00FC3217" w:rsidRDefault="00FC3217" w:rsidP="00FC3217">
      <w:pPr>
        <w:ind w:firstLineChars="200" w:firstLine="560"/>
        <w:rPr>
          <w:rFonts w:ascii="仿宋_GB2312" w:eastAsia="仿宋_GB2312"/>
          <w:color w:val="000000"/>
          <w:sz w:val="28"/>
          <w:szCs w:val="28"/>
        </w:rPr>
      </w:pPr>
      <w:r>
        <w:rPr>
          <w:rFonts w:ascii="仿宋_GB2312" w:eastAsia="仿宋_GB2312" w:hint="eastAsia"/>
          <w:color w:val="000000"/>
          <w:sz w:val="28"/>
          <w:szCs w:val="28"/>
        </w:rPr>
        <w:t>本所对期权投资者知识测试期间的录像不做强制要求，但通过考试的投资者须朗读或抄写以下内容：“本人承诺，期权知识测试由本人独立、自主完成，本人对考试成绩负责”。期货公司须对此进行录像或拍照存档。参加交易所集中组织的期权培训并现场进行知识测试的投资者，可以免去此朗读抄写环节。</w:t>
      </w:r>
    </w:p>
    <w:p w:rsidR="00FC3217" w:rsidRDefault="00FC3217" w:rsidP="00FC3217">
      <w:pPr>
        <w:ind w:firstLineChars="200" w:firstLine="562"/>
        <w:rPr>
          <w:rFonts w:ascii="仿宋_GB2312" w:eastAsia="仿宋_GB2312"/>
          <w:color w:val="000000"/>
          <w:sz w:val="28"/>
          <w:szCs w:val="28"/>
        </w:rPr>
      </w:pPr>
      <w:r>
        <w:rPr>
          <w:rFonts w:ascii="仿宋_GB2312" w:eastAsia="仿宋_GB2312" w:hint="eastAsia"/>
          <w:b/>
          <w:bCs/>
          <w:color w:val="000000"/>
          <w:sz w:val="28"/>
          <w:szCs w:val="28"/>
        </w:rPr>
        <w:t>（四）考试形式</w:t>
      </w:r>
    </w:p>
    <w:p w:rsidR="00FC3217" w:rsidRDefault="00FC3217" w:rsidP="00FC3217">
      <w:pPr>
        <w:ind w:firstLineChars="200" w:firstLine="560"/>
        <w:rPr>
          <w:rFonts w:ascii="仿宋_GB2312" w:eastAsia="仿宋_GB2312"/>
          <w:color w:val="000000"/>
          <w:sz w:val="28"/>
          <w:szCs w:val="28"/>
        </w:rPr>
      </w:pPr>
      <w:r>
        <w:rPr>
          <w:rFonts w:ascii="仿宋_GB2312" w:eastAsia="仿宋_GB2312" w:hint="eastAsia"/>
          <w:color w:val="000000"/>
          <w:sz w:val="28"/>
          <w:szCs w:val="28"/>
        </w:rPr>
        <w:t>个人期权投资者知识测试形式分为逐级考试和综合卷考试。</w:t>
      </w:r>
    </w:p>
    <w:p w:rsidR="00FC3217" w:rsidRDefault="00FC3217" w:rsidP="00FC3217">
      <w:pPr>
        <w:ind w:firstLineChars="200" w:firstLine="560"/>
        <w:rPr>
          <w:rFonts w:ascii="仿宋_GB2312" w:eastAsia="仿宋_GB2312"/>
          <w:color w:val="000000"/>
          <w:sz w:val="28"/>
          <w:szCs w:val="28"/>
        </w:rPr>
      </w:pPr>
      <w:r>
        <w:rPr>
          <w:rFonts w:ascii="仿宋_GB2312" w:eastAsia="仿宋_GB2312" w:hint="eastAsia"/>
          <w:color w:val="000000"/>
          <w:sz w:val="28"/>
          <w:szCs w:val="28"/>
        </w:rPr>
        <w:t>对于选择逐级考试的个人投资者，参加并通过一级考试后，才能参加二级考试；参加并通过一级、二级考试后，才能参加三级考试。对于每个级别的考试，投资者均可多次参加，直至成绩合格。</w:t>
      </w:r>
    </w:p>
    <w:p w:rsidR="00FC3217" w:rsidRDefault="00FC3217" w:rsidP="00FC3217">
      <w:pPr>
        <w:ind w:firstLineChars="200" w:firstLine="560"/>
        <w:rPr>
          <w:rFonts w:ascii="仿宋_GB2312" w:eastAsia="仿宋_GB2312"/>
          <w:color w:val="000000"/>
          <w:sz w:val="28"/>
          <w:szCs w:val="28"/>
        </w:rPr>
      </w:pPr>
      <w:r>
        <w:rPr>
          <w:rFonts w:ascii="仿宋_GB2312" w:eastAsia="仿宋_GB2312" w:hint="eastAsia"/>
          <w:color w:val="000000"/>
          <w:sz w:val="28"/>
          <w:szCs w:val="28"/>
        </w:rPr>
        <w:t>对于选择综合卷考试的个人投资者，也可多次参加，成绩合格者直接成为三级投资者。</w:t>
      </w:r>
    </w:p>
    <w:p w:rsidR="00FC3217" w:rsidRPr="006A53BB" w:rsidRDefault="00FC3217" w:rsidP="00FC3217">
      <w:pPr>
        <w:ind w:firstLineChars="200" w:firstLine="560"/>
        <w:rPr>
          <w:rFonts w:ascii="仿宋_GB2312" w:eastAsia="仿宋_GB2312"/>
          <w:sz w:val="28"/>
          <w:szCs w:val="28"/>
        </w:rPr>
      </w:pPr>
      <w:r w:rsidRPr="006A53BB">
        <w:rPr>
          <w:rFonts w:ascii="仿宋_GB2312" w:eastAsia="仿宋_GB2312" w:hint="eastAsia"/>
          <w:sz w:val="28"/>
          <w:szCs w:val="28"/>
        </w:rPr>
        <w:t>普通机构投资者相关业务人员须参加机构投资者期权知识测试。</w:t>
      </w:r>
    </w:p>
    <w:p w:rsidR="00FC3217" w:rsidRDefault="00FC3217" w:rsidP="00FC3217">
      <w:pPr>
        <w:ind w:firstLineChars="200" w:firstLine="562"/>
        <w:rPr>
          <w:rFonts w:ascii="仿宋_GB2312" w:eastAsia="仿宋_GB2312"/>
          <w:b/>
          <w:bCs/>
          <w:color w:val="000000"/>
          <w:sz w:val="28"/>
          <w:szCs w:val="28"/>
        </w:rPr>
      </w:pPr>
      <w:r>
        <w:rPr>
          <w:rFonts w:ascii="仿宋_GB2312" w:eastAsia="仿宋_GB2312" w:hint="eastAsia"/>
          <w:b/>
          <w:bCs/>
          <w:color w:val="000000"/>
          <w:sz w:val="28"/>
          <w:szCs w:val="28"/>
        </w:rPr>
        <w:t>（五）考试题目范围与数量</w:t>
      </w:r>
    </w:p>
    <w:p w:rsidR="00FC3217" w:rsidRDefault="00FC3217" w:rsidP="00FC3217">
      <w:pPr>
        <w:ind w:firstLineChars="200" w:firstLine="560"/>
        <w:rPr>
          <w:rFonts w:ascii="仿宋_GB2312" w:eastAsia="仿宋_GB2312"/>
          <w:color w:val="000000"/>
          <w:sz w:val="28"/>
          <w:szCs w:val="28"/>
        </w:rPr>
      </w:pPr>
      <w:r>
        <w:rPr>
          <w:rFonts w:ascii="仿宋_GB2312" w:eastAsia="仿宋_GB2312" w:hint="eastAsia"/>
          <w:color w:val="000000"/>
          <w:sz w:val="28"/>
          <w:szCs w:val="28"/>
        </w:rPr>
        <w:t>个人期权投资者知识测试范围为《上海证券交易所期权投资者知识测试辅导读本》第一章、第二章、第三章、第四章。 一级考试：共20题，每题5分，覆盖第一章与第二章，其中第一章共12题，第</w:t>
      </w:r>
      <w:r>
        <w:rPr>
          <w:rFonts w:ascii="仿宋_GB2312" w:eastAsia="仿宋_GB2312" w:hint="eastAsia"/>
          <w:color w:val="000000"/>
          <w:sz w:val="28"/>
          <w:szCs w:val="28"/>
        </w:rPr>
        <w:lastRenderedPageBreak/>
        <w:t xml:space="preserve">二章共8题；二级考试，共10题，每题10分，覆盖第三章；三级考试，共10题，每题10分，覆盖第四章； 综合卷考试分为三个部分，共20题，每题5分。第一部分为第一章与第二章，共10题，其中第一章共6题、第二章共4题；第二部分为第三章，共5题；第三部分为第四章，共5题。 </w:t>
      </w:r>
    </w:p>
    <w:p w:rsidR="00FC3217" w:rsidRDefault="00FC3217" w:rsidP="00FC3217">
      <w:pPr>
        <w:ind w:firstLineChars="200" w:firstLine="560"/>
        <w:rPr>
          <w:rFonts w:ascii="仿宋_GB2312" w:eastAsia="仿宋_GB2312"/>
          <w:color w:val="000000"/>
          <w:sz w:val="28"/>
          <w:szCs w:val="28"/>
        </w:rPr>
      </w:pPr>
      <w:r>
        <w:rPr>
          <w:rFonts w:ascii="仿宋_GB2312" w:eastAsia="仿宋_GB2312" w:hint="eastAsia"/>
          <w:color w:val="000000"/>
          <w:sz w:val="28"/>
          <w:szCs w:val="28"/>
        </w:rPr>
        <w:t>普通机构投资者相关业务人员测试范围为第一章至第五章内容。</w:t>
      </w:r>
    </w:p>
    <w:p w:rsidR="00FC3217" w:rsidRDefault="00FC3217" w:rsidP="00FC3217">
      <w:pPr>
        <w:ind w:firstLineChars="200" w:firstLine="562"/>
        <w:rPr>
          <w:rFonts w:ascii="仿宋_GB2312" w:eastAsia="仿宋_GB2312"/>
          <w:b/>
          <w:bCs/>
          <w:color w:val="000000"/>
          <w:sz w:val="28"/>
          <w:szCs w:val="28"/>
        </w:rPr>
      </w:pPr>
      <w:r>
        <w:rPr>
          <w:rFonts w:ascii="仿宋_GB2312" w:eastAsia="仿宋_GB2312" w:hint="eastAsia"/>
          <w:b/>
          <w:bCs/>
          <w:color w:val="000000"/>
          <w:sz w:val="28"/>
          <w:szCs w:val="28"/>
        </w:rPr>
        <w:t>（六）通过标准与考试时长</w:t>
      </w:r>
    </w:p>
    <w:p w:rsidR="00FC3217" w:rsidRDefault="00FC3217" w:rsidP="00FC3217">
      <w:pPr>
        <w:ind w:firstLineChars="200" w:firstLine="560"/>
        <w:rPr>
          <w:rFonts w:ascii="仿宋_GB2312" w:eastAsia="仿宋_GB2312"/>
          <w:color w:val="000000"/>
          <w:sz w:val="28"/>
          <w:szCs w:val="28"/>
        </w:rPr>
      </w:pPr>
      <w:r>
        <w:rPr>
          <w:rFonts w:ascii="仿宋_GB2312" w:eastAsia="仿宋_GB2312" w:hint="eastAsia"/>
          <w:color w:val="000000"/>
          <w:sz w:val="28"/>
          <w:szCs w:val="28"/>
        </w:rPr>
        <w:t>逐级考试中各级考试总分100分，时间为20分钟，70分为合格。综合卷考试总分100分，时间为30分钟，总分不低于70分，且各部分正确率不低于60%为合格（即第一部分答对不少于6题，第二部分答对不少于3题，第三部分答对不少于3题）。</w:t>
      </w:r>
    </w:p>
    <w:p w:rsidR="00FC3217" w:rsidRDefault="00FC3217" w:rsidP="00FC3217">
      <w:pPr>
        <w:ind w:firstLineChars="200" w:firstLine="560"/>
        <w:rPr>
          <w:rFonts w:ascii="仿宋_GB2312" w:eastAsia="仿宋_GB2312"/>
          <w:color w:val="000000"/>
          <w:sz w:val="28"/>
          <w:szCs w:val="28"/>
        </w:rPr>
      </w:pPr>
      <w:r>
        <w:rPr>
          <w:rFonts w:ascii="仿宋_GB2312" w:eastAsia="仿宋_GB2312" w:hint="eastAsia"/>
          <w:color w:val="000000"/>
          <w:sz w:val="28"/>
          <w:szCs w:val="28"/>
        </w:rPr>
        <w:t>普通机构投资者相关业务人员期货期权知识测试总分100分，时间为90分钟，80分为及格。</w:t>
      </w:r>
    </w:p>
    <w:p w:rsidR="00FC3217" w:rsidRDefault="00FC3217" w:rsidP="00FC3217">
      <w:pPr>
        <w:ind w:firstLineChars="200" w:firstLine="560"/>
        <w:rPr>
          <w:rFonts w:ascii="仿宋_GB2312" w:eastAsia="仿宋_GB2312"/>
          <w:color w:val="000000"/>
          <w:sz w:val="28"/>
          <w:szCs w:val="28"/>
        </w:rPr>
      </w:pPr>
    </w:p>
    <w:p w:rsidR="00FC3217" w:rsidRDefault="00FC3217" w:rsidP="00FC3217">
      <w:pPr>
        <w:pStyle w:val="2"/>
        <w:ind w:firstLine="562"/>
      </w:pPr>
      <w:bookmarkStart w:id="165" w:name="_Toc406438891"/>
      <w:bookmarkStart w:id="166" w:name="_Toc408300980"/>
      <w:bookmarkStart w:id="167" w:name="_Toc408749915"/>
      <w:bookmarkStart w:id="168" w:name="_Toc7559"/>
      <w:bookmarkStart w:id="169" w:name="_Toc25657"/>
      <w:bookmarkStart w:id="170" w:name="_Toc16087"/>
      <w:bookmarkStart w:id="171" w:name="_Toc4281"/>
      <w:bookmarkStart w:id="172" w:name="_Toc23946976"/>
      <w:r>
        <w:rPr>
          <w:rFonts w:hint="eastAsia"/>
        </w:rPr>
        <w:t>四、投资者分级管理</w:t>
      </w:r>
      <w:bookmarkEnd w:id="165"/>
      <w:bookmarkEnd w:id="166"/>
      <w:bookmarkEnd w:id="167"/>
      <w:bookmarkEnd w:id="168"/>
      <w:bookmarkEnd w:id="169"/>
      <w:bookmarkEnd w:id="170"/>
      <w:bookmarkEnd w:id="171"/>
      <w:bookmarkEnd w:id="172"/>
    </w:p>
    <w:p w:rsidR="00FC3217" w:rsidRDefault="00FC3217" w:rsidP="00FC3217">
      <w:pPr>
        <w:ind w:firstLineChars="200" w:firstLine="562"/>
        <w:rPr>
          <w:rFonts w:ascii="仿宋_GB2312" w:eastAsia="仿宋_GB2312" w:hAnsi="宋体"/>
          <w:b/>
          <w:color w:val="000000"/>
          <w:sz w:val="28"/>
          <w:szCs w:val="24"/>
        </w:rPr>
      </w:pPr>
      <w:bookmarkStart w:id="173" w:name="_Toc406438892"/>
      <w:bookmarkStart w:id="174" w:name="_Toc408300981"/>
      <w:r>
        <w:rPr>
          <w:rFonts w:ascii="仿宋_GB2312" w:eastAsia="仿宋_GB2312" w:hAnsi="宋体" w:hint="eastAsia"/>
          <w:b/>
          <w:color w:val="000000"/>
          <w:sz w:val="28"/>
          <w:szCs w:val="24"/>
        </w:rPr>
        <w:t>（一）交易权限</w:t>
      </w:r>
      <w:bookmarkEnd w:id="173"/>
      <w:bookmarkEnd w:id="174"/>
    </w:p>
    <w:p w:rsidR="00FC3217" w:rsidRDefault="00FC3217" w:rsidP="00FC3217">
      <w:pPr>
        <w:ind w:firstLineChars="200" w:firstLine="560"/>
        <w:rPr>
          <w:rFonts w:ascii="仿宋_GB2312" w:eastAsia="仿宋_GB2312" w:hAnsi="宋体"/>
          <w:color w:val="000000"/>
          <w:sz w:val="28"/>
          <w:szCs w:val="24"/>
        </w:rPr>
      </w:pPr>
      <w:r>
        <w:rPr>
          <w:rFonts w:ascii="仿宋_GB2312" w:eastAsia="仿宋_GB2312" w:hAnsi="宋体" w:hint="eastAsia"/>
          <w:color w:val="000000"/>
          <w:sz w:val="28"/>
          <w:szCs w:val="24"/>
        </w:rPr>
        <w:t>个人投资者、普通机构投资者、专业机构投资者的交易权限参见《上海证券交易所股票期权试点投资者适当性管理指引》。</w:t>
      </w:r>
    </w:p>
    <w:p w:rsidR="00FC3217" w:rsidRDefault="00FC3217" w:rsidP="00FC3217">
      <w:pPr>
        <w:ind w:firstLineChars="200" w:firstLine="562"/>
        <w:rPr>
          <w:rFonts w:ascii="仿宋_GB2312" w:eastAsia="仿宋_GB2312" w:hAnsi="宋体"/>
          <w:b/>
          <w:color w:val="000000"/>
          <w:sz w:val="28"/>
          <w:szCs w:val="24"/>
        </w:rPr>
      </w:pPr>
      <w:bookmarkStart w:id="175" w:name="_Toc406438893"/>
      <w:bookmarkStart w:id="176" w:name="_Toc408300982"/>
      <w:r>
        <w:rPr>
          <w:rFonts w:ascii="仿宋_GB2312" w:eastAsia="仿宋_GB2312" w:hAnsi="宋体" w:hint="eastAsia"/>
          <w:b/>
          <w:color w:val="000000"/>
          <w:sz w:val="28"/>
          <w:szCs w:val="24"/>
        </w:rPr>
        <w:t>（二）交易权限的申请条件</w:t>
      </w:r>
      <w:bookmarkEnd w:id="175"/>
      <w:bookmarkEnd w:id="176"/>
    </w:p>
    <w:p w:rsidR="00FC3217" w:rsidRDefault="00FC3217" w:rsidP="00FC3217">
      <w:pPr>
        <w:ind w:firstLineChars="200" w:firstLine="560"/>
        <w:rPr>
          <w:rFonts w:ascii="仿宋_GB2312" w:eastAsia="仿宋_GB2312" w:hAnsi="宋体"/>
          <w:color w:val="000000"/>
          <w:sz w:val="28"/>
          <w:szCs w:val="24"/>
        </w:rPr>
      </w:pPr>
      <w:r>
        <w:rPr>
          <w:rFonts w:ascii="仿宋_GB2312" w:eastAsia="仿宋_GB2312" w:hAnsi="宋体" w:hint="eastAsia"/>
          <w:color w:val="000000"/>
          <w:sz w:val="28"/>
          <w:szCs w:val="24"/>
        </w:rPr>
        <w:t>期货公司为投资者设置的交易权限不能超出为其评定的交易级别。期货公司应根据投资者交易权限的分级结果，对投资者的期权交</w:t>
      </w:r>
      <w:r>
        <w:rPr>
          <w:rFonts w:ascii="仿宋_GB2312" w:eastAsia="仿宋_GB2312" w:hAnsi="宋体" w:hint="eastAsia"/>
          <w:color w:val="000000"/>
          <w:sz w:val="28"/>
          <w:szCs w:val="24"/>
        </w:rPr>
        <w:lastRenderedPageBreak/>
        <w:t>易委托指令进行前端控制，对不符合交易权限的交易委托予以拒绝和制止。</w:t>
      </w:r>
    </w:p>
    <w:p w:rsidR="00FC3217" w:rsidRDefault="00FC3217" w:rsidP="00FC3217">
      <w:pPr>
        <w:ind w:firstLineChars="200" w:firstLine="560"/>
        <w:rPr>
          <w:rFonts w:ascii="仿宋_GB2312" w:eastAsia="仿宋_GB2312" w:hAnsi="宋体"/>
          <w:color w:val="000000"/>
          <w:sz w:val="28"/>
          <w:szCs w:val="24"/>
        </w:rPr>
      </w:pPr>
      <w:r>
        <w:rPr>
          <w:rFonts w:ascii="仿宋_GB2312" w:eastAsia="仿宋_GB2312" w:hAnsi="宋体" w:hint="eastAsia"/>
          <w:color w:val="000000"/>
          <w:sz w:val="28"/>
          <w:szCs w:val="24"/>
        </w:rPr>
        <w:t>个人投资者申请各级别交易权限，除了通过适当性管理综合评估，还应满足以下要求：</w:t>
      </w:r>
    </w:p>
    <w:p w:rsidR="00FC3217" w:rsidRDefault="00FC3217" w:rsidP="00FC3217">
      <w:pPr>
        <w:ind w:firstLineChars="200" w:firstLine="560"/>
        <w:rPr>
          <w:rFonts w:ascii="仿宋_GB2312" w:eastAsia="仿宋_GB2312" w:hAnsi="宋体"/>
          <w:color w:val="000000"/>
          <w:sz w:val="28"/>
          <w:szCs w:val="24"/>
        </w:rPr>
      </w:pPr>
      <w:r>
        <w:rPr>
          <w:rFonts w:ascii="仿宋_GB2312" w:eastAsia="仿宋_GB2312" w:hAnsi="宋体" w:hint="eastAsia"/>
          <w:color w:val="000000"/>
          <w:sz w:val="28"/>
          <w:szCs w:val="24"/>
        </w:rPr>
        <w:t>1、个人投资者申请各级别交易权限，应当在对应级别的知识测试中达到本所规定的合格分数。</w:t>
      </w:r>
    </w:p>
    <w:p w:rsidR="00FC3217" w:rsidRDefault="00FC3217" w:rsidP="00FC3217">
      <w:pPr>
        <w:ind w:firstLineChars="200" w:firstLine="560"/>
        <w:rPr>
          <w:rFonts w:ascii="仿宋_GB2312" w:eastAsia="仿宋_GB2312" w:hAnsi="宋体"/>
          <w:color w:val="000000"/>
          <w:sz w:val="28"/>
          <w:szCs w:val="24"/>
        </w:rPr>
      </w:pPr>
      <w:r>
        <w:rPr>
          <w:rFonts w:ascii="仿宋_GB2312" w:eastAsia="仿宋_GB2312" w:hAnsi="宋体" w:hint="eastAsia"/>
          <w:color w:val="000000"/>
          <w:sz w:val="28"/>
          <w:szCs w:val="24"/>
        </w:rPr>
        <w:t>2、个人投资者申请一级、二级或三级交易权限的，应具备交易权限相应的期权模拟交易经历。</w:t>
      </w:r>
    </w:p>
    <w:p w:rsidR="00FC3217" w:rsidRDefault="00FC3217" w:rsidP="00FC3217">
      <w:pPr>
        <w:pStyle w:val="2"/>
        <w:ind w:firstLine="562"/>
      </w:pPr>
      <w:bookmarkStart w:id="177" w:name="_Toc406438894"/>
      <w:bookmarkStart w:id="178" w:name="_Toc408300983"/>
      <w:bookmarkStart w:id="179" w:name="_Toc408749916"/>
      <w:bookmarkStart w:id="180" w:name="_Toc24507"/>
      <w:bookmarkStart w:id="181" w:name="_Toc32766"/>
      <w:bookmarkStart w:id="182" w:name="_Toc29529"/>
      <w:bookmarkStart w:id="183" w:name="_Toc2818"/>
      <w:bookmarkStart w:id="184" w:name="_Toc23946977"/>
      <w:r>
        <w:rPr>
          <w:rFonts w:hint="eastAsia"/>
        </w:rPr>
        <w:t>五、投资者适当性评估的动态持续管理</w:t>
      </w:r>
      <w:bookmarkEnd w:id="177"/>
      <w:bookmarkEnd w:id="178"/>
      <w:bookmarkEnd w:id="179"/>
      <w:bookmarkEnd w:id="180"/>
      <w:bookmarkEnd w:id="181"/>
      <w:bookmarkEnd w:id="182"/>
      <w:bookmarkEnd w:id="183"/>
      <w:bookmarkEnd w:id="184"/>
    </w:p>
    <w:p w:rsidR="00FC3217" w:rsidRDefault="00FC3217" w:rsidP="00FC3217">
      <w:pPr>
        <w:ind w:firstLineChars="200" w:firstLine="562"/>
        <w:rPr>
          <w:rFonts w:ascii="仿宋_GB2312" w:eastAsia="仿宋_GB2312"/>
          <w:b/>
          <w:color w:val="000000"/>
          <w:sz w:val="28"/>
          <w:szCs w:val="28"/>
        </w:rPr>
      </w:pPr>
      <w:bookmarkStart w:id="185" w:name="_Toc406438895"/>
      <w:bookmarkStart w:id="186" w:name="_Toc408300984"/>
      <w:r>
        <w:rPr>
          <w:rFonts w:ascii="仿宋_GB2312" w:eastAsia="仿宋_GB2312" w:hint="eastAsia"/>
          <w:b/>
          <w:color w:val="000000"/>
          <w:sz w:val="28"/>
          <w:szCs w:val="28"/>
        </w:rPr>
        <w:t>（一）期权投资者信息更新</w:t>
      </w:r>
      <w:bookmarkEnd w:id="185"/>
      <w:bookmarkEnd w:id="186"/>
    </w:p>
    <w:p w:rsidR="00FC3217" w:rsidRDefault="00FC3217" w:rsidP="00FC3217">
      <w:pPr>
        <w:ind w:firstLineChars="200" w:firstLine="560"/>
        <w:rPr>
          <w:rFonts w:ascii="仿宋_GB2312" w:eastAsia="仿宋_GB2312"/>
          <w:color w:val="000000"/>
          <w:sz w:val="28"/>
          <w:szCs w:val="28"/>
        </w:rPr>
      </w:pPr>
      <w:r>
        <w:rPr>
          <w:rFonts w:ascii="仿宋_GB2312" w:eastAsia="仿宋_GB2312" w:hint="eastAsia"/>
          <w:color w:val="000000"/>
          <w:sz w:val="28"/>
          <w:szCs w:val="28"/>
        </w:rPr>
        <w:t>期货公司应当通过电话、电子邮件、网络、营业部现场交流等方式，动态跟踪投资者开立衍生品合约账户时提供的基本信息，持续了解投资者的基本情况、财务状况以及期权交易参与情况等信息。</w:t>
      </w:r>
    </w:p>
    <w:p w:rsidR="00FC3217" w:rsidRDefault="00FC3217" w:rsidP="00FC3217">
      <w:pPr>
        <w:ind w:firstLineChars="200" w:firstLine="560"/>
        <w:rPr>
          <w:rFonts w:ascii="仿宋_GB2312" w:eastAsia="仿宋_GB2312"/>
          <w:color w:val="000000"/>
          <w:sz w:val="28"/>
          <w:szCs w:val="28"/>
        </w:rPr>
      </w:pPr>
      <w:r>
        <w:rPr>
          <w:rFonts w:ascii="仿宋_GB2312" w:eastAsia="仿宋_GB2312" w:hint="eastAsia"/>
          <w:color w:val="000000"/>
          <w:sz w:val="28"/>
          <w:szCs w:val="28"/>
        </w:rPr>
        <w:t>投资者提供的基本信息发生变化的，应及时告知期货公司。期货公司发现客户提供的联络方式等重要信息发生变化的，应当及时了解并更新。</w:t>
      </w:r>
    </w:p>
    <w:p w:rsidR="00FC3217" w:rsidRDefault="00FC3217" w:rsidP="00FC3217">
      <w:pPr>
        <w:ind w:firstLineChars="200" w:firstLine="562"/>
        <w:rPr>
          <w:rFonts w:ascii="仿宋_GB2312" w:eastAsia="仿宋_GB2312"/>
          <w:b/>
          <w:color w:val="000000"/>
          <w:sz w:val="28"/>
          <w:szCs w:val="28"/>
        </w:rPr>
      </w:pPr>
      <w:bookmarkStart w:id="187" w:name="_Toc406438896"/>
      <w:bookmarkStart w:id="188" w:name="_Toc408300985"/>
      <w:r>
        <w:rPr>
          <w:rFonts w:ascii="仿宋_GB2312" w:eastAsia="仿宋_GB2312" w:hint="eastAsia"/>
          <w:b/>
          <w:color w:val="000000"/>
          <w:sz w:val="28"/>
          <w:szCs w:val="28"/>
        </w:rPr>
        <w:t>（二）后续评估</w:t>
      </w:r>
      <w:bookmarkEnd w:id="187"/>
      <w:bookmarkEnd w:id="188"/>
    </w:p>
    <w:p w:rsidR="00FC3217" w:rsidRDefault="00FC3217" w:rsidP="00FC3217">
      <w:pPr>
        <w:ind w:firstLineChars="200" w:firstLine="560"/>
        <w:rPr>
          <w:rFonts w:ascii="仿宋_GB2312" w:eastAsia="仿宋_GB2312"/>
          <w:color w:val="000000"/>
          <w:sz w:val="28"/>
          <w:szCs w:val="28"/>
        </w:rPr>
      </w:pPr>
      <w:r>
        <w:rPr>
          <w:rFonts w:ascii="仿宋_GB2312" w:eastAsia="仿宋_GB2312" w:hint="eastAsia"/>
          <w:color w:val="000000"/>
          <w:sz w:val="28"/>
          <w:szCs w:val="28"/>
        </w:rPr>
        <w:t>期货公司应当根据对客户情况的动态跟踪和持续了解，至少每两年对所有已开户的客户的交易情况、诚信记录、风险承受能力、资产状况等进行一次全面评估，判断其是否符合适当性管理以及交易权限分级管理的相关要求。评估结果应当予以记录留存20年。</w:t>
      </w:r>
    </w:p>
    <w:p w:rsidR="00FC3217" w:rsidRDefault="00FC3217" w:rsidP="00FC3217">
      <w:pPr>
        <w:ind w:firstLineChars="200" w:firstLine="562"/>
        <w:rPr>
          <w:rFonts w:ascii="仿宋_GB2312" w:eastAsia="仿宋_GB2312"/>
          <w:b/>
          <w:color w:val="000000"/>
          <w:sz w:val="28"/>
          <w:szCs w:val="28"/>
        </w:rPr>
      </w:pPr>
      <w:bookmarkStart w:id="189" w:name="_Toc406438897"/>
      <w:bookmarkStart w:id="190" w:name="_Toc408300986"/>
      <w:r>
        <w:rPr>
          <w:rFonts w:ascii="仿宋_GB2312" w:eastAsia="仿宋_GB2312" w:hint="eastAsia"/>
          <w:b/>
          <w:color w:val="000000"/>
          <w:sz w:val="28"/>
          <w:szCs w:val="28"/>
        </w:rPr>
        <w:lastRenderedPageBreak/>
        <w:t>（三）交易权限调整</w:t>
      </w:r>
      <w:bookmarkEnd w:id="189"/>
      <w:bookmarkEnd w:id="190"/>
    </w:p>
    <w:p w:rsidR="00FC3217" w:rsidRDefault="00FC3217" w:rsidP="00FC3217">
      <w:pPr>
        <w:ind w:firstLineChars="200" w:firstLine="560"/>
        <w:rPr>
          <w:rFonts w:ascii="仿宋_GB2312" w:eastAsia="仿宋_GB2312"/>
          <w:color w:val="000000"/>
          <w:sz w:val="28"/>
          <w:szCs w:val="28"/>
        </w:rPr>
      </w:pPr>
      <w:r>
        <w:rPr>
          <w:rFonts w:ascii="仿宋_GB2312" w:eastAsia="仿宋_GB2312" w:hint="eastAsia"/>
          <w:color w:val="000000"/>
          <w:sz w:val="28"/>
          <w:szCs w:val="28"/>
        </w:rPr>
        <w:t>期货公司根据投资者申请并调整其交易权限或者自行调低投资者交易权限的，应当就调整后可能增加的投资风险或者可能丧失的交易权限对投资者进行充分提示，并对相关告知和提示材料予以记录留存20年。</w:t>
      </w:r>
    </w:p>
    <w:p w:rsidR="00FC3217" w:rsidRDefault="00FC3217" w:rsidP="00FC3217">
      <w:pPr>
        <w:ind w:firstLineChars="200" w:firstLine="560"/>
        <w:rPr>
          <w:rFonts w:ascii="仿宋_GB2312" w:eastAsia="仿宋_GB2312"/>
          <w:color w:val="000000"/>
          <w:sz w:val="28"/>
          <w:szCs w:val="28"/>
        </w:rPr>
      </w:pPr>
      <w:r>
        <w:rPr>
          <w:rFonts w:ascii="仿宋_GB2312" w:eastAsia="仿宋_GB2312" w:hint="eastAsia"/>
          <w:color w:val="000000"/>
          <w:sz w:val="28"/>
          <w:szCs w:val="28"/>
        </w:rPr>
        <w:t>1、调高交易权限</w:t>
      </w:r>
    </w:p>
    <w:p w:rsidR="00FC3217" w:rsidRDefault="00FC3217" w:rsidP="00FC3217">
      <w:pPr>
        <w:ind w:firstLineChars="200" w:firstLine="560"/>
        <w:rPr>
          <w:rFonts w:ascii="仿宋_GB2312" w:eastAsia="仿宋_GB2312"/>
          <w:color w:val="000000"/>
          <w:sz w:val="28"/>
          <w:szCs w:val="28"/>
        </w:rPr>
      </w:pPr>
      <w:r>
        <w:rPr>
          <w:rFonts w:ascii="仿宋_GB2312" w:eastAsia="仿宋_GB2312" w:hint="eastAsia"/>
          <w:color w:val="000000"/>
          <w:sz w:val="28"/>
          <w:szCs w:val="28"/>
        </w:rPr>
        <w:t>投资者的知识测试成绩、期权模拟交易经历、风险承受能力以及金融类资产状况等发生变化，满足较高交易权限对应的资格要求的，可以向期货公司申请调高其交易权限。公司总部审核认定投资者的申请符合适当性管理要求的，可以对其交易权限进行调整。期货公司不得自行调高投资者交易权限。</w:t>
      </w:r>
    </w:p>
    <w:p w:rsidR="00FC3217" w:rsidRDefault="00FC3217" w:rsidP="00FC3217">
      <w:pPr>
        <w:ind w:firstLineChars="200" w:firstLine="560"/>
        <w:rPr>
          <w:rFonts w:ascii="仿宋_GB2312" w:eastAsia="仿宋_GB2312"/>
          <w:color w:val="000000"/>
          <w:sz w:val="28"/>
          <w:szCs w:val="28"/>
        </w:rPr>
      </w:pPr>
      <w:r>
        <w:rPr>
          <w:rFonts w:ascii="仿宋_GB2312" w:eastAsia="仿宋_GB2312" w:hint="eastAsia"/>
          <w:color w:val="000000"/>
          <w:sz w:val="28"/>
          <w:szCs w:val="28"/>
        </w:rPr>
        <w:t>2、调低交易权限</w:t>
      </w:r>
    </w:p>
    <w:p w:rsidR="00FC3217" w:rsidRDefault="00FC3217" w:rsidP="00FC3217">
      <w:pPr>
        <w:ind w:firstLineChars="200" w:firstLine="560"/>
        <w:rPr>
          <w:rFonts w:ascii="仿宋_GB2312" w:eastAsia="仿宋_GB2312"/>
          <w:color w:val="000000"/>
          <w:sz w:val="28"/>
          <w:szCs w:val="28"/>
        </w:rPr>
      </w:pPr>
      <w:r>
        <w:rPr>
          <w:rFonts w:ascii="仿宋_GB2312" w:eastAsia="仿宋_GB2312" w:hint="eastAsia"/>
          <w:color w:val="000000"/>
          <w:sz w:val="28"/>
          <w:szCs w:val="28"/>
        </w:rPr>
        <w:t>投资者可以向期货公司申请调低其交易权限，期货公司应当根据投资者要求，调低其交易权限至相应级别。</w:t>
      </w:r>
    </w:p>
    <w:p w:rsidR="00FC3217" w:rsidRDefault="00FC3217" w:rsidP="00FC3217">
      <w:pPr>
        <w:ind w:firstLineChars="200" w:firstLine="560"/>
        <w:rPr>
          <w:rFonts w:ascii="仿宋_GB2312" w:eastAsia="仿宋_GB2312"/>
          <w:color w:val="000000"/>
          <w:sz w:val="28"/>
          <w:szCs w:val="28"/>
        </w:rPr>
      </w:pPr>
      <w:r>
        <w:rPr>
          <w:rFonts w:ascii="仿宋_GB2312" w:eastAsia="仿宋_GB2312" w:hint="eastAsia"/>
          <w:color w:val="000000"/>
          <w:sz w:val="28"/>
          <w:szCs w:val="28"/>
        </w:rPr>
        <w:t>期货公司发现投资者的实际情况已经不符合其交易权限对应的资格要求的，可以自行调低投资者交易权限，并应当至少提前三个交易日通过纸面或者电子形式告知投资者，明确提醒投资者因交易权限调低带来的后果，并予以记录留存20年。</w:t>
      </w:r>
    </w:p>
    <w:p w:rsidR="00FC3217" w:rsidRDefault="00FC3217" w:rsidP="00FC3217">
      <w:pPr>
        <w:pStyle w:val="2"/>
        <w:ind w:firstLine="562"/>
      </w:pPr>
      <w:bookmarkStart w:id="191" w:name="_Toc406438898"/>
      <w:bookmarkStart w:id="192" w:name="_Toc408300987"/>
      <w:bookmarkStart w:id="193" w:name="_Toc408749917"/>
      <w:bookmarkStart w:id="194" w:name="_Toc5096"/>
      <w:bookmarkStart w:id="195" w:name="_Toc18560"/>
      <w:bookmarkStart w:id="196" w:name="_Toc24872"/>
      <w:bookmarkStart w:id="197" w:name="_Toc17547"/>
      <w:bookmarkStart w:id="198" w:name="_Toc23946978"/>
      <w:r>
        <w:rPr>
          <w:rFonts w:hint="eastAsia"/>
        </w:rPr>
        <w:t>六、客户档案资料管理</w:t>
      </w:r>
      <w:bookmarkEnd w:id="191"/>
      <w:bookmarkEnd w:id="192"/>
      <w:bookmarkEnd w:id="193"/>
      <w:bookmarkEnd w:id="194"/>
      <w:bookmarkEnd w:id="195"/>
      <w:bookmarkEnd w:id="196"/>
      <w:bookmarkEnd w:id="197"/>
      <w:bookmarkEnd w:id="198"/>
    </w:p>
    <w:p w:rsidR="00FC3217" w:rsidRDefault="00FC3217" w:rsidP="00FC3217">
      <w:pPr>
        <w:ind w:firstLineChars="200" w:firstLine="560"/>
        <w:rPr>
          <w:rFonts w:ascii="仿宋_GB2312" w:eastAsia="仿宋_GB2312" w:hAnsi="宋体"/>
          <w:color w:val="000000"/>
          <w:sz w:val="28"/>
          <w:szCs w:val="24"/>
        </w:rPr>
      </w:pPr>
      <w:r>
        <w:rPr>
          <w:rFonts w:ascii="仿宋_GB2312" w:eastAsia="仿宋_GB2312" w:hAnsi="宋体" w:hint="eastAsia"/>
          <w:color w:val="000000"/>
          <w:sz w:val="28"/>
          <w:szCs w:val="24"/>
        </w:rPr>
        <w:t>期货公司应根据相关规定的要求对客户的股票期权档案资料进行管理，明确总部及分支机构的档案管理工作职责，满足安全、严格</w:t>
      </w:r>
      <w:r>
        <w:rPr>
          <w:rFonts w:ascii="仿宋_GB2312" w:eastAsia="仿宋_GB2312" w:hAnsi="宋体" w:hint="eastAsia"/>
          <w:color w:val="000000"/>
          <w:sz w:val="28"/>
          <w:szCs w:val="24"/>
        </w:rPr>
        <w:lastRenderedPageBreak/>
        <w:t>保密、合理存放的管理要求。</w:t>
      </w:r>
    </w:p>
    <w:p w:rsidR="00FC3217" w:rsidRDefault="00FC3217" w:rsidP="00FC3217">
      <w:pPr>
        <w:ind w:firstLineChars="200" w:firstLine="560"/>
        <w:rPr>
          <w:rFonts w:ascii="仿宋_GB2312" w:eastAsia="仿宋_GB2312" w:hAnsi="宋体"/>
          <w:color w:val="000000"/>
          <w:sz w:val="28"/>
          <w:szCs w:val="24"/>
        </w:rPr>
      </w:pPr>
      <w:r>
        <w:rPr>
          <w:rFonts w:ascii="仿宋_GB2312" w:eastAsia="仿宋_GB2312" w:hAnsi="宋体" w:hint="eastAsia"/>
          <w:color w:val="000000"/>
          <w:sz w:val="28"/>
          <w:szCs w:val="24"/>
        </w:rPr>
        <w:t>期权客户档案资料包括但不限于客户申请开通股票期权业务时提交的相关资料、客户与期货公司签订的合同文本等相关材料、客户开立账户时所生成的各类文件资料等。所有资料需要妥善保管至少20年。</w:t>
      </w:r>
    </w:p>
    <w:p w:rsidR="00FC3217" w:rsidRDefault="00FC3217" w:rsidP="00FC3217">
      <w:pPr>
        <w:pStyle w:val="2"/>
        <w:ind w:firstLine="562"/>
      </w:pPr>
      <w:bookmarkStart w:id="199" w:name="_Toc406438899"/>
      <w:bookmarkStart w:id="200" w:name="_Toc408300988"/>
      <w:bookmarkStart w:id="201" w:name="_Toc408749918"/>
      <w:bookmarkStart w:id="202" w:name="_Toc32057"/>
      <w:bookmarkStart w:id="203" w:name="_Toc2040"/>
      <w:bookmarkStart w:id="204" w:name="_Toc12522"/>
      <w:bookmarkStart w:id="205" w:name="_Toc20661"/>
      <w:bookmarkStart w:id="206" w:name="_Toc23946979"/>
      <w:r>
        <w:rPr>
          <w:rFonts w:hint="eastAsia"/>
        </w:rPr>
        <w:t>七、本所持续监督管理</w:t>
      </w:r>
      <w:bookmarkEnd w:id="199"/>
      <w:bookmarkEnd w:id="200"/>
      <w:bookmarkEnd w:id="201"/>
      <w:bookmarkEnd w:id="202"/>
      <w:bookmarkEnd w:id="203"/>
      <w:bookmarkEnd w:id="204"/>
      <w:bookmarkEnd w:id="205"/>
      <w:bookmarkEnd w:id="206"/>
    </w:p>
    <w:p w:rsidR="00FC3217" w:rsidRDefault="00FC3217" w:rsidP="00FC3217">
      <w:pPr>
        <w:ind w:firstLineChars="200" w:firstLine="560"/>
        <w:rPr>
          <w:rFonts w:ascii="仿宋_GB2312" w:eastAsia="仿宋_GB2312"/>
          <w:color w:val="000000"/>
          <w:sz w:val="28"/>
          <w:szCs w:val="28"/>
        </w:rPr>
      </w:pPr>
      <w:r>
        <w:rPr>
          <w:rFonts w:ascii="仿宋_GB2312" w:eastAsia="仿宋_GB2312" w:hint="eastAsia"/>
          <w:color w:val="000000"/>
          <w:sz w:val="28"/>
          <w:szCs w:val="28"/>
        </w:rPr>
        <w:t>本所将对期货公司的投资者适当性评估及分级管理进行持续监督管理，并从越级评估（为投资者评定的级别高于其知识测试级别或模拟交易经历对应级别）、越级交易、信息报备、动态更新、档案管理等多个方面，定期或不定期对期货公司的适当性评估及分级管理进行检查。如发现存在违反投资者适当性管理有关规定的，将根据相关规定进行处理。</w:t>
      </w:r>
    </w:p>
    <w:p w:rsidR="00FC3217" w:rsidRDefault="00FC3217" w:rsidP="00FC3217">
      <w:pPr>
        <w:jc w:val="center"/>
        <w:outlineLvl w:val="0"/>
        <w:rPr>
          <w:rFonts w:ascii="Times New Roman" w:eastAsia="黑体" w:hAnsi="Times New Roman"/>
          <w:b/>
          <w:bCs/>
          <w:sz w:val="30"/>
          <w:szCs w:val="24"/>
        </w:rPr>
      </w:pPr>
      <w:bookmarkStart w:id="207" w:name="_Toc403729901"/>
      <w:bookmarkStart w:id="208" w:name="_Toc406436501"/>
      <w:bookmarkStart w:id="209" w:name="_Toc406438900"/>
      <w:bookmarkStart w:id="210" w:name="_Toc406438950"/>
      <w:bookmarkStart w:id="211" w:name="_Toc406439135"/>
    </w:p>
    <w:p w:rsidR="00FC3217" w:rsidRDefault="00FC3217" w:rsidP="00FC3217">
      <w:pPr>
        <w:pStyle w:val="2"/>
        <w:ind w:firstLine="643"/>
        <w:jc w:val="center"/>
        <w:rPr>
          <w:rFonts w:ascii="黑体" w:eastAsia="黑体" w:hAnsi="黑体"/>
          <w:sz w:val="32"/>
        </w:rPr>
      </w:pPr>
      <w:bookmarkStart w:id="212" w:name="_Toc408300989"/>
      <w:bookmarkStart w:id="213" w:name="_Toc408749919"/>
      <w:bookmarkStart w:id="214" w:name="_Toc3371"/>
      <w:bookmarkStart w:id="215" w:name="_Toc31045"/>
      <w:bookmarkStart w:id="216" w:name="_Toc1153"/>
      <w:bookmarkStart w:id="217" w:name="_Toc11289"/>
      <w:bookmarkStart w:id="218" w:name="_Toc23946980"/>
      <w:r>
        <w:rPr>
          <w:rFonts w:ascii="黑体" w:eastAsia="黑体" w:hAnsi="黑体" w:hint="eastAsia"/>
          <w:sz w:val="32"/>
        </w:rPr>
        <w:t>第四章 开户管理</w:t>
      </w:r>
      <w:bookmarkEnd w:id="207"/>
      <w:bookmarkEnd w:id="208"/>
      <w:bookmarkEnd w:id="209"/>
      <w:bookmarkEnd w:id="210"/>
      <w:bookmarkEnd w:id="211"/>
      <w:bookmarkEnd w:id="212"/>
      <w:bookmarkEnd w:id="213"/>
      <w:bookmarkEnd w:id="214"/>
      <w:bookmarkEnd w:id="215"/>
      <w:bookmarkEnd w:id="216"/>
      <w:bookmarkEnd w:id="217"/>
      <w:bookmarkEnd w:id="218"/>
    </w:p>
    <w:p w:rsidR="00FC3217" w:rsidRDefault="00FC3217" w:rsidP="00FC3217">
      <w:pPr>
        <w:pStyle w:val="2"/>
        <w:ind w:firstLine="562"/>
        <w:rPr>
          <w:szCs w:val="28"/>
        </w:rPr>
      </w:pPr>
      <w:bookmarkStart w:id="219" w:name="_Toc406438901"/>
      <w:bookmarkStart w:id="220" w:name="_Toc408300990"/>
      <w:bookmarkStart w:id="221" w:name="_Toc408749920"/>
      <w:bookmarkStart w:id="222" w:name="_Toc8532"/>
      <w:bookmarkStart w:id="223" w:name="_Toc26165"/>
      <w:bookmarkStart w:id="224" w:name="_Toc21974"/>
      <w:bookmarkStart w:id="225" w:name="_Toc23480"/>
      <w:bookmarkStart w:id="226" w:name="_Toc23946981"/>
      <w:r>
        <w:rPr>
          <w:rFonts w:hint="eastAsia"/>
        </w:rPr>
        <w:t>一、账户体系</w:t>
      </w:r>
      <w:bookmarkEnd w:id="219"/>
      <w:bookmarkEnd w:id="220"/>
      <w:bookmarkEnd w:id="221"/>
      <w:bookmarkEnd w:id="222"/>
      <w:bookmarkEnd w:id="223"/>
      <w:bookmarkEnd w:id="224"/>
      <w:bookmarkEnd w:id="225"/>
      <w:bookmarkEnd w:id="226"/>
    </w:p>
    <w:p w:rsidR="00FC3217" w:rsidRDefault="00FC3217" w:rsidP="00FC3217">
      <w:pPr>
        <w:ind w:firstLineChars="200" w:firstLine="560"/>
        <w:jc w:val="left"/>
        <w:rPr>
          <w:rFonts w:ascii="仿宋_GB2312" w:eastAsia="仿宋_GB2312"/>
          <w:color w:val="000000"/>
          <w:sz w:val="28"/>
          <w:szCs w:val="28"/>
        </w:rPr>
      </w:pPr>
      <w:bookmarkStart w:id="227" w:name="_Toc406438902"/>
    </w:p>
    <w:p w:rsidR="00FC3217" w:rsidRDefault="00FC3217" w:rsidP="00FC3217">
      <w:pPr>
        <w:ind w:firstLineChars="200" w:firstLine="562"/>
        <w:jc w:val="left"/>
        <w:rPr>
          <w:rFonts w:ascii="仿宋_GB2312" w:eastAsia="仿宋_GB2312"/>
          <w:b/>
          <w:color w:val="000000"/>
          <w:sz w:val="28"/>
          <w:szCs w:val="28"/>
        </w:rPr>
      </w:pPr>
      <w:r>
        <w:rPr>
          <w:rFonts w:ascii="仿宋_GB2312" w:eastAsia="仿宋_GB2312" w:hint="eastAsia"/>
          <w:b/>
          <w:color w:val="000000"/>
          <w:sz w:val="28"/>
          <w:szCs w:val="28"/>
        </w:rPr>
        <w:t>（一）客户需要开立的账户</w:t>
      </w:r>
    </w:p>
    <w:p w:rsidR="00FC3217" w:rsidRDefault="00FC3217" w:rsidP="00FC3217">
      <w:pPr>
        <w:ind w:firstLineChars="200" w:firstLine="560"/>
        <w:jc w:val="left"/>
        <w:rPr>
          <w:rFonts w:ascii="仿宋_GB2312" w:eastAsia="仿宋_GB2312"/>
          <w:color w:val="000000"/>
          <w:sz w:val="28"/>
          <w:szCs w:val="28"/>
        </w:rPr>
      </w:pPr>
      <w:r>
        <w:rPr>
          <w:rFonts w:ascii="仿宋_GB2312" w:eastAsia="仿宋_GB2312" w:hint="eastAsia"/>
          <w:color w:val="000000"/>
          <w:sz w:val="28"/>
          <w:szCs w:val="28"/>
        </w:rPr>
        <w:t>1. 证券现货交易相关账户</w:t>
      </w:r>
    </w:p>
    <w:p w:rsidR="00FC3217" w:rsidRDefault="00FC3217" w:rsidP="00FC3217">
      <w:pPr>
        <w:ind w:firstLineChars="200" w:firstLine="560"/>
        <w:jc w:val="left"/>
        <w:rPr>
          <w:rFonts w:ascii="仿宋_GB2312" w:eastAsia="仿宋_GB2312"/>
          <w:color w:val="000000"/>
          <w:sz w:val="28"/>
          <w:szCs w:val="28"/>
        </w:rPr>
      </w:pPr>
      <w:r>
        <w:rPr>
          <w:rFonts w:ascii="仿宋_GB2312" w:eastAsia="仿宋_GB2312" w:hint="eastAsia"/>
          <w:color w:val="000000"/>
          <w:sz w:val="28"/>
          <w:szCs w:val="28"/>
        </w:rPr>
        <w:t>（1）证券账户</w:t>
      </w:r>
    </w:p>
    <w:p w:rsidR="00FC3217" w:rsidRDefault="00FC3217" w:rsidP="00FC3217">
      <w:pPr>
        <w:ind w:firstLineChars="200" w:firstLine="560"/>
        <w:jc w:val="left"/>
        <w:rPr>
          <w:rFonts w:ascii="仿宋_GB2312" w:eastAsia="仿宋_GB2312"/>
          <w:color w:val="000000"/>
          <w:sz w:val="28"/>
          <w:szCs w:val="28"/>
        </w:rPr>
      </w:pPr>
      <w:r>
        <w:rPr>
          <w:rFonts w:ascii="仿宋_GB2312" w:eastAsia="仿宋_GB2312" w:hint="eastAsia"/>
          <w:color w:val="000000"/>
          <w:sz w:val="28"/>
          <w:szCs w:val="28"/>
        </w:rPr>
        <w:t>用于证券现货交易。期货公司客户参与期权交易，应当向期货公</w:t>
      </w:r>
      <w:r>
        <w:rPr>
          <w:rFonts w:ascii="仿宋_GB2312" w:eastAsia="仿宋_GB2312" w:hint="eastAsia"/>
          <w:color w:val="000000"/>
          <w:sz w:val="28"/>
          <w:szCs w:val="28"/>
        </w:rPr>
        <w:lastRenderedPageBreak/>
        <w:t>司申请开立证券账户。已经在证券公司开立了证券账户的，应当在期货公司另行开立证券账户。</w:t>
      </w:r>
    </w:p>
    <w:p w:rsidR="00FC3217" w:rsidRDefault="00FC3217" w:rsidP="00FC3217">
      <w:pPr>
        <w:ind w:firstLineChars="200" w:firstLine="560"/>
        <w:jc w:val="left"/>
        <w:rPr>
          <w:rFonts w:ascii="仿宋_GB2312" w:eastAsia="仿宋_GB2312"/>
          <w:color w:val="000000"/>
          <w:sz w:val="28"/>
          <w:szCs w:val="28"/>
        </w:rPr>
      </w:pPr>
      <w:r>
        <w:rPr>
          <w:rFonts w:ascii="仿宋_GB2312" w:eastAsia="仿宋_GB2312" w:hint="eastAsia"/>
          <w:color w:val="000000"/>
          <w:sz w:val="28"/>
          <w:szCs w:val="28"/>
        </w:rPr>
        <w:t>期货公司客户参与期权知识测试时，尚未在期货公司开立证券账户的，期货公司可以先为客户开立证券账户，便于客户提交知识测试需要的相关信息，待期货公司完成对客户的适当性管理审核后，再为客户证券账户开通使用权限。</w:t>
      </w:r>
    </w:p>
    <w:p w:rsidR="00FC3217" w:rsidRDefault="00FC3217" w:rsidP="00FC3217">
      <w:pPr>
        <w:ind w:firstLineChars="200" w:firstLine="560"/>
        <w:jc w:val="left"/>
        <w:rPr>
          <w:rFonts w:ascii="仿宋_GB2312" w:eastAsia="仿宋_GB2312"/>
          <w:color w:val="000000"/>
          <w:sz w:val="28"/>
          <w:szCs w:val="28"/>
        </w:rPr>
      </w:pPr>
      <w:r>
        <w:rPr>
          <w:rFonts w:ascii="仿宋_GB2312" w:eastAsia="仿宋_GB2312" w:hint="eastAsia"/>
          <w:color w:val="000000"/>
          <w:sz w:val="28"/>
          <w:szCs w:val="28"/>
        </w:rPr>
        <w:t>（2）证券现货资金账户</w:t>
      </w:r>
    </w:p>
    <w:p w:rsidR="00FC3217" w:rsidRDefault="00FC3217" w:rsidP="00FC3217">
      <w:pPr>
        <w:ind w:firstLineChars="200" w:firstLine="560"/>
        <w:jc w:val="left"/>
        <w:rPr>
          <w:rFonts w:ascii="仿宋_GB2312" w:eastAsia="仿宋_GB2312"/>
          <w:color w:val="000000"/>
          <w:sz w:val="28"/>
          <w:szCs w:val="28"/>
        </w:rPr>
      </w:pPr>
      <w:r>
        <w:rPr>
          <w:rFonts w:ascii="仿宋_GB2312" w:eastAsia="仿宋_GB2312" w:hint="eastAsia"/>
          <w:color w:val="000000"/>
          <w:sz w:val="28"/>
          <w:szCs w:val="28"/>
        </w:rPr>
        <w:t>期货公司客户应当在存管银行开立与证券账户相对应的资金账户。</w:t>
      </w:r>
    </w:p>
    <w:p w:rsidR="00FC3217" w:rsidRDefault="00FC3217" w:rsidP="00FC3217">
      <w:pPr>
        <w:ind w:firstLineChars="200" w:firstLine="560"/>
        <w:jc w:val="left"/>
        <w:rPr>
          <w:rFonts w:ascii="仿宋_GB2312" w:eastAsia="仿宋_GB2312"/>
          <w:color w:val="000000"/>
          <w:sz w:val="28"/>
          <w:szCs w:val="28"/>
        </w:rPr>
      </w:pPr>
      <w:r>
        <w:rPr>
          <w:rFonts w:ascii="仿宋_GB2312" w:eastAsia="仿宋_GB2312" w:hint="eastAsia"/>
          <w:color w:val="000000"/>
          <w:sz w:val="28"/>
          <w:szCs w:val="28"/>
        </w:rPr>
        <w:t>2.股票期权交易相关账户</w:t>
      </w:r>
    </w:p>
    <w:p w:rsidR="00FC3217" w:rsidRDefault="00FC3217" w:rsidP="00FC3217">
      <w:pPr>
        <w:ind w:firstLineChars="200" w:firstLine="560"/>
        <w:jc w:val="left"/>
        <w:rPr>
          <w:rFonts w:ascii="仿宋_GB2312" w:eastAsia="仿宋_GB2312"/>
          <w:color w:val="000000"/>
          <w:sz w:val="28"/>
          <w:szCs w:val="28"/>
        </w:rPr>
      </w:pPr>
      <w:r>
        <w:rPr>
          <w:rFonts w:ascii="仿宋_GB2312" w:eastAsia="仿宋_GB2312" w:hint="eastAsia"/>
          <w:color w:val="000000"/>
          <w:sz w:val="28"/>
          <w:szCs w:val="28"/>
        </w:rPr>
        <w:t>（1）衍生品合约账户</w:t>
      </w:r>
    </w:p>
    <w:p w:rsidR="00FC3217" w:rsidRDefault="00FC3217" w:rsidP="00FC3217">
      <w:pPr>
        <w:ind w:firstLineChars="200" w:firstLine="560"/>
        <w:jc w:val="left"/>
        <w:rPr>
          <w:rFonts w:ascii="仿宋_GB2312" w:eastAsia="仿宋_GB2312"/>
          <w:color w:val="000000"/>
          <w:sz w:val="28"/>
          <w:szCs w:val="28"/>
        </w:rPr>
      </w:pPr>
      <w:r>
        <w:rPr>
          <w:rFonts w:ascii="仿宋_GB2312" w:eastAsia="仿宋_GB2312" w:hint="eastAsia"/>
          <w:color w:val="000000"/>
          <w:sz w:val="28"/>
          <w:szCs w:val="28"/>
        </w:rPr>
        <w:t>投资者向期货公司申请开立衍生品合约账户，期货公司向中国结算上海分公司报送账户注册资料等信息，并申请配发编号。中国结算根据期货公司提交的配号申请，按照证券账户号码加三位固定数字“888”的配号规则发放合约账户号码。</w:t>
      </w:r>
    </w:p>
    <w:p w:rsidR="00FC3217" w:rsidRDefault="00FC3217" w:rsidP="00FC3217">
      <w:pPr>
        <w:ind w:firstLineChars="200" w:firstLine="560"/>
        <w:jc w:val="left"/>
        <w:rPr>
          <w:rFonts w:ascii="仿宋_GB2312" w:eastAsia="仿宋_GB2312"/>
          <w:color w:val="000000"/>
          <w:sz w:val="28"/>
          <w:szCs w:val="28"/>
        </w:rPr>
      </w:pPr>
      <w:r>
        <w:rPr>
          <w:rFonts w:ascii="仿宋_GB2312" w:eastAsia="仿宋_GB2312" w:hint="eastAsia"/>
          <w:color w:val="000000"/>
          <w:sz w:val="28"/>
          <w:szCs w:val="28"/>
        </w:rPr>
        <w:t>衍生品合约账户与投资者在期货公司开立的证券账户一一对应，用于客户期权交易、行权申报和记录期权合约持仓信息。</w:t>
      </w:r>
    </w:p>
    <w:p w:rsidR="00FC3217" w:rsidRDefault="00FC3217" w:rsidP="00FC3217">
      <w:pPr>
        <w:ind w:firstLineChars="200" w:firstLine="560"/>
        <w:jc w:val="left"/>
        <w:rPr>
          <w:rFonts w:ascii="仿宋_GB2312" w:eastAsia="仿宋_GB2312"/>
          <w:color w:val="000000"/>
          <w:sz w:val="28"/>
          <w:szCs w:val="28"/>
        </w:rPr>
      </w:pPr>
      <w:r>
        <w:rPr>
          <w:rFonts w:ascii="仿宋_GB2312" w:eastAsia="仿宋_GB2312" w:hint="eastAsia"/>
          <w:color w:val="000000"/>
          <w:sz w:val="28"/>
          <w:szCs w:val="28"/>
        </w:rPr>
        <w:t>（2）股票期权保证金账户</w:t>
      </w:r>
    </w:p>
    <w:p w:rsidR="00FC3217" w:rsidRDefault="00FC3217" w:rsidP="00FC3217">
      <w:pPr>
        <w:ind w:firstLineChars="200" w:firstLine="560"/>
        <w:jc w:val="left"/>
        <w:rPr>
          <w:rFonts w:ascii="仿宋_GB2312" w:eastAsia="仿宋_GB2312"/>
          <w:color w:val="000000"/>
          <w:sz w:val="28"/>
          <w:szCs w:val="28"/>
        </w:rPr>
      </w:pPr>
      <w:r>
        <w:rPr>
          <w:rFonts w:ascii="仿宋_GB2312" w:eastAsia="仿宋_GB2312" w:hint="eastAsia"/>
          <w:color w:val="000000"/>
          <w:sz w:val="28"/>
          <w:szCs w:val="28"/>
        </w:rPr>
        <w:t>股票期权保证金账户用于权利金和行权资金的交收及股票期权保证金的存放。期货公司客户可以复用其期货保证金账户。</w:t>
      </w:r>
    </w:p>
    <w:p w:rsidR="00FC3217" w:rsidRDefault="00FC3217" w:rsidP="00FC3217">
      <w:pPr>
        <w:ind w:firstLineChars="200" w:firstLine="560"/>
        <w:jc w:val="left"/>
        <w:rPr>
          <w:rFonts w:ascii="仿宋_GB2312" w:eastAsia="仿宋_GB2312"/>
          <w:color w:val="000000"/>
          <w:sz w:val="28"/>
          <w:szCs w:val="28"/>
        </w:rPr>
      </w:pPr>
      <w:r>
        <w:rPr>
          <w:rFonts w:ascii="仿宋_GB2312" w:eastAsia="仿宋_GB2312" w:hint="eastAsia"/>
          <w:color w:val="000000"/>
          <w:sz w:val="28"/>
          <w:szCs w:val="28"/>
        </w:rPr>
        <w:t>（3）银行结算账户</w:t>
      </w:r>
    </w:p>
    <w:p w:rsidR="00FC3217" w:rsidRDefault="00FC3217" w:rsidP="00FC3217">
      <w:pPr>
        <w:ind w:firstLineChars="200" w:firstLine="560"/>
        <w:jc w:val="left"/>
        <w:rPr>
          <w:rFonts w:ascii="仿宋_GB2312" w:eastAsia="仿宋_GB2312"/>
          <w:color w:val="000000"/>
          <w:sz w:val="28"/>
          <w:szCs w:val="28"/>
        </w:rPr>
      </w:pPr>
      <w:r>
        <w:rPr>
          <w:rFonts w:ascii="仿宋_GB2312" w:eastAsia="仿宋_GB2312" w:hint="eastAsia"/>
          <w:color w:val="000000"/>
          <w:sz w:val="28"/>
          <w:szCs w:val="28"/>
        </w:rPr>
        <w:t>银行结算账户用于与股票期权保证金账户之间进行资金划转，期</w:t>
      </w:r>
      <w:r>
        <w:rPr>
          <w:rFonts w:ascii="仿宋_GB2312" w:eastAsia="仿宋_GB2312" w:hint="eastAsia"/>
          <w:color w:val="000000"/>
          <w:sz w:val="28"/>
          <w:szCs w:val="28"/>
        </w:rPr>
        <w:lastRenderedPageBreak/>
        <w:t>货公司客户可使用已有的银行结算账户。</w:t>
      </w:r>
    </w:p>
    <w:p w:rsidR="00FC3217" w:rsidRDefault="00FC3217" w:rsidP="00FC3217">
      <w:pPr>
        <w:ind w:firstLineChars="200" w:firstLine="562"/>
        <w:jc w:val="left"/>
        <w:rPr>
          <w:rFonts w:ascii="仿宋_GB2312" w:eastAsia="仿宋_GB2312"/>
          <w:b/>
          <w:color w:val="000000"/>
          <w:sz w:val="28"/>
          <w:szCs w:val="28"/>
        </w:rPr>
      </w:pPr>
      <w:r>
        <w:rPr>
          <w:rFonts w:ascii="仿宋_GB2312" w:eastAsia="仿宋_GB2312" w:hint="eastAsia"/>
          <w:b/>
          <w:color w:val="000000"/>
          <w:sz w:val="28"/>
          <w:szCs w:val="28"/>
        </w:rPr>
        <w:t>（二）期货公司需要开立的账户</w:t>
      </w:r>
    </w:p>
    <w:p w:rsidR="00FC3217" w:rsidRDefault="00FC3217" w:rsidP="00FC3217">
      <w:pPr>
        <w:ind w:firstLineChars="200" w:firstLine="560"/>
        <w:jc w:val="left"/>
        <w:rPr>
          <w:rFonts w:ascii="仿宋_GB2312" w:eastAsia="仿宋_GB2312"/>
          <w:color w:val="000000"/>
          <w:sz w:val="28"/>
          <w:szCs w:val="28"/>
        </w:rPr>
      </w:pPr>
      <w:r>
        <w:rPr>
          <w:rFonts w:ascii="仿宋_GB2312" w:eastAsia="仿宋_GB2312" w:hint="eastAsia"/>
          <w:color w:val="000000"/>
          <w:sz w:val="28"/>
          <w:szCs w:val="28"/>
        </w:rPr>
        <w:t>1.证券现货交易相关账户</w:t>
      </w:r>
    </w:p>
    <w:p w:rsidR="00FC3217" w:rsidRDefault="00FC3217" w:rsidP="00FC3217">
      <w:pPr>
        <w:ind w:firstLineChars="200" w:firstLine="560"/>
        <w:jc w:val="left"/>
        <w:rPr>
          <w:rFonts w:ascii="仿宋_GB2312" w:eastAsia="仿宋_GB2312"/>
          <w:color w:val="000000"/>
          <w:sz w:val="28"/>
          <w:szCs w:val="28"/>
        </w:rPr>
      </w:pPr>
      <w:r>
        <w:rPr>
          <w:rFonts w:ascii="仿宋_GB2312" w:eastAsia="仿宋_GB2312" w:hint="eastAsia"/>
          <w:color w:val="000000"/>
          <w:sz w:val="28"/>
          <w:szCs w:val="28"/>
        </w:rPr>
        <w:t>期货公司参与股票期权业务的现货交易相关账户体系可以参照证券公司股票交易账户体系设置。主要账户如下：</w:t>
      </w:r>
    </w:p>
    <w:p w:rsidR="00FC3217" w:rsidRDefault="00FC3217" w:rsidP="00FC3217">
      <w:pPr>
        <w:ind w:firstLineChars="200" w:firstLine="560"/>
        <w:jc w:val="left"/>
        <w:rPr>
          <w:rFonts w:ascii="仿宋_GB2312" w:eastAsia="仿宋_GB2312"/>
          <w:color w:val="000000"/>
          <w:sz w:val="28"/>
          <w:szCs w:val="28"/>
        </w:rPr>
      </w:pPr>
      <w:r>
        <w:rPr>
          <w:rFonts w:ascii="仿宋_GB2312" w:eastAsia="仿宋_GB2312" w:hint="eastAsia"/>
          <w:color w:val="000000"/>
          <w:sz w:val="28"/>
          <w:szCs w:val="28"/>
        </w:rPr>
        <w:t>（1）资金交收账户（结算备付金账户）</w:t>
      </w:r>
    </w:p>
    <w:p w:rsidR="00FC3217" w:rsidRDefault="00FC3217" w:rsidP="00FC3217">
      <w:pPr>
        <w:ind w:firstLineChars="200" w:firstLine="560"/>
        <w:jc w:val="left"/>
        <w:rPr>
          <w:rFonts w:ascii="仿宋_GB2312" w:eastAsia="仿宋_GB2312"/>
          <w:color w:val="000000"/>
          <w:sz w:val="28"/>
          <w:szCs w:val="28"/>
        </w:rPr>
      </w:pPr>
      <w:r>
        <w:rPr>
          <w:rFonts w:ascii="仿宋_GB2312" w:eastAsia="仿宋_GB2312" w:hint="eastAsia"/>
          <w:color w:val="000000"/>
          <w:sz w:val="28"/>
          <w:szCs w:val="28"/>
        </w:rPr>
        <w:t>用于办理期货公司与中国结算之间针对备兑开仓以及行权相关的证券交易的资金交收。</w:t>
      </w:r>
    </w:p>
    <w:p w:rsidR="00FC3217" w:rsidRDefault="00FC3217" w:rsidP="00FC3217">
      <w:pPr>
        <w:ind w:firstLineChars="200" w:firstLine="560"/>
        <w:jc w:val="left"/>
        <w:rPr>
          <w:rFonts w:ascii="仿宋_GB2312" w:eastAsia="仿宋_GB2312"/>
          <w:color w:val="000000"/>
          <w:sz w:val="28"/>
          <w:szCs w:val="28"/>
        </w:rPr>
      </w:pPr>
      <w:r>
        <w:rPr>
          <w:rFonts w:ascii="仿宋_GB2312" w:eastAsia="仿宋_GB2312" w:hint="eastAsia"/>
          <w:color w:val="000000"/>
          <w:sz w:val="28"/>
          <w:szCs w:val="28"/>
        </w:rPr>
        <w:t>（2）客户交易结算资金专用存款账户</w:t>
      </w:r>
    </w:p>
    <w:p w:rsidR="00FC3217" w:rsidRDefault="00FC3217" w:rsidP="00FC3217">
      <w:pPr>
        <w:ind w:firstLineChars="200" w:firstLine="560"/>
        <w:jc w:val="left"/>
        <w:rPr>
          <w:rFonts w:ascii="仿宋_GB2312" w:eastAsia="仿宋_GB2312"/>
          <w:color w:val="000000"/>
          <w:sz w:val="28"/>
          <w:szCs w:val="28"/>
        </w:rPr>
      </w:pPr>
      <w:r>
        <w:rPr>
          <w:rFonts w:ascii="仿宋_GB2312" w:eastAsia="仿宋_GB2312" w:hint="eastAsia"/>
          <w:color w:val="000000"/>
          <w:sz w:val="28"/>
          <w:szCs w:val="28"/>
        </w:rPr>
        <w:t>期货公司需要就相应的证券交易在结算银行开立客户交易结算资金专用存款账户，用于存放客户现货交易结算资金。</w:t>
      </w:r>
    </w:p>
    <w:p w:rsidR="00FC3217" w:rsidRDefault="00FC3217" w:rsidP="00FC3217">
      <w:pPr>
        <w:ind w:firstLineChars="200" w:firstLine="560"/>
        <w:jc w:val="left"/>
        <w:rPr>
          <w:rFonts w:ascii="仿宋_GB2312" w:eastAsia="仿宋_GB2312"/>
          <w:color w:val="000000"/>
          <w:sz w:val="28"/>
          <w:szCs w:val="28"/>
        </w:rPr>
      </w:pPr>
      <w:r>
        <w:rPr>
          <w:rFonts w:ascii="仿宋_GB2312" w:eastAsia="仿宋_GB2312" w:hint="eastAsia"/>
          <w:color w:val="000000"/>
          <w:sz w:val="28"/>
          <w:szCs w:val="28"/>
        </w:rPr>
        <w:t>2.股票期权交易相关账户</w:t>
      </w:r>
    </w:p>
    <w:p w:rsidR="00FC3217" w:rsidRDefault="00FC3217" w:rsidP="00FC3217">
      <w:pPr>
        <w:ind w:firstLineChars="200" w:firstLine="560"/>
        <w:jc w:val="left"/>
        <w:rPr>
          <w:rFonts w:ascii="仿宋_GB2312" w:eastAsia="仿宋_GB2312"/>
          <w:color w:val="000000"/>
          <w:sz w:val="28"/>
          <w:szCs w:val="28"/>
        </w:rPr>
      </w:pPr>
      <w:r>
        <w:rPr>
          <w:rFonts w:ascii="仿宋_GB2312" w:eastAsia="仿宋_GB2312" w:hint="eastAsia"/>
          <w:color w:val="000000"/>
          <w:sz w:val="28"/>
          <w:szCs w:val="28"/>
        </w:rPr>
        <w:t>（1）客户股票期权保证金账户</w:t>
      </w:r>
    </w:p>
    <w:p w:rsidR="00FC3217" w:rsidRDefault="00FC3217" w:rsidP="00FC3217">
      <w:pPr>
        <w:ind w:firstLineChars="200" w:firstLine="560"/>
        <w:jc w:val="left"/>
        <w:rPr>
          <w:rFonts w:ascii="仿宋_GB2312" w:eastAsia="仿宋_GB2312"/>
          <w:color w:val="000000"/>
          <w:sz w:val="28"/>
          <w:szCs w:val="28"/>
        </w:rPr>
      </w:pPr>
      <w:r>
        <w:rPr>
          <w:rFonts w:ascii="仿宋_GB2312" w:eastAsia="仿宋_GB2312" w:hint="eastAsia"/>
          <w:color w:val="000000"/>
          <w:sz w:val="28"/>
          <w:szCs w:val="28"/>
        </w:rPr>
        <w:t>具备中国结算上海分公司结算参与人资格的期货公司在中国结算上海分公司开立客户股票期权保证金账户，用于客户股票期权业务的资金交收。</w:t>
      </w:r>
    </w:p>
    <w:p w:rsidR="00FC3217" w:rsidRDefault="00FC3217" w:rsidP="00FC3217">
      <w:pPr>
        <w:ind w:firstLineChars="200" w:firstLine="560"/>
        <w:jc w:val="left"/>
        <w:rPr>
          <w:rFonts w:ascii="仿宋_GB2312" w:eastAsia="仿宋_GB2312"/>
          <w:color w:val="000000"/>
          <w:sz w:val="28"/>
          <w:szCs w:val="28"/>
        </w:rPr>
      </w:pPr>
      <w:r>
        <w:rPr>
          <w:rFonts w:ascii="仿宋_GB2312" w:eastAsia="仿宋_GB2312" w:hint="eastAsia"/>
          <w:color w:val="000000"/>
          <w:sz w:val="28"/>
          <w:szCs w:val="28"/>
        </w:rPr>
        <w:t>（2）客户衍生品结算资金汇总账户</w:t>
      </w:r>
    </w:p>
    <w:p w:rsidR="00FC3217" w:rsidRDefault="00FC3217" w:rsidP="00FC3217">
      <w:pPr>
        <w:ind w:firstLineChars="200" w:firstLine="560"/>
        <w:jc w:val="left"/>
        <w:rPr>
          <w:rFonts w:ascii="仿宋_GB2312" w:eastAsia="仿宋_GB2312"/>
          <w:color w:val="000000"/>
          <w:sz w:val="28"/>
          <w:szCs w:val="28"/>
        </w:rPr>
      </w:pPr>
      <w:r>
        <w:rPr>
          <w:rFonts w:ascii="仿宋_GB2312" w:eastAsia="仿宋_GB2312" w:hint="eastAsia"/>
          <w:color w:val="000000"/>
          <w:sz w:val="28"/>
          <w:szCs w:val="28"/>
        </w:rPr>
        <w:t>期货公司可以复用其在结算银行开立的期货保证金账户，无需另行在结算银行开立客户衍生品结算资金汇总账户。</w:t>
      </w:r>
    </w:p>
    <w:p w:rsidR="00FC3217" w:rsidRDefault="00FC3217" w:rsidP="00FC3217">
      <w:pPr>
        <w:ind w:firstLineChars="200" w:firstLine="560"/>
        <w:jc w:val="left"/>
        <w:rPr>
          <w:rFonts w:ascii="仿宋_GB2312" w:eastAsia="仿宋_GB2312"/>
          <w:color w:val="000000"/>
          <w:sz w:val="28"/>
          <w:szCs w:val="28"/>
        </w:rPr>
      </w:pPr>
      <w:r>
        <w:rPr>
          <w:rFonts w:ascii="仿宋_GB2312" w:eastAsia="仿宋_GB2312" w:hint="eastAsia"/>
          <w:color w:val="000000"/>
          <w:sz w:val="28"/>
          <w:szCs w:val="28"/>
        </w:rPr>
        <w:t>（3）证券处置账户</w:t>
      </w:r>
    </w:p>
    <w:p w:rsidR="00FC3217" w:rsidRDefault="00FC3217" w:rsidP="00FC3217">
      <w:pPr>
        <w:ind w:firstLineChars="200" w:firstLine="560"/>
        <w:jc w:val="left"/>
        <w:rPr>
          <w:rFonts w:ascii="仿宋_GB2312" w:eastAsia="仿宋_GB2312"/>
          <w:color w:val="000000"/>
          <w:sz w:val="28"/>
          <w:szCs w:val="28"/>
        </w:rPr>
      </w:pPr>
      <w:r>
        <w:rPr>
          <w:rFonts w:ascii="仿宋_GB2312" w:eastAsia="仿宋_GB2312" w:hint="eastAsia"/>
          <w:color w:val="000000"/>
          <w:sz w:val="28"/>
          <w:szCs w:val="28"/>
        </w:rPr>
        <w:t>结算参与人在业务开展前向中国结算申请开立证券处置账户。如结算参与人客户出现行权资金交收违约，结算参与人可以通过交易系</w:t>
      </w:r>
      <w:r>
        <w:rPr>
          <w:rFonts w:ascii="仿宋_GB2312" w:eastAsia="仿宋_GB2312" w:hint="eastAsia"/>
          <w:color w:val="000000"/>
          <w:sz w:val="28"/>
          <w:szCs w:val="28"/>
        </w:rPr>
        <w:lastRenderedPageBreak/>
        <w:t>统发出指令，委托中国结算将客户行权应得标的证券划付到其证券处置账户内，并可根据相关规定或与客户的约定对证券处置账户内的客户行权标的证券予以处置。</w:t>
      </w:r>
    </w:p>
    <w:p w:rsidR="00FC3217" w:rsidRDefault="00FC3217" w:rsidP="00FC3217">
      <w:pPr>
        <w:ind w:firstLineChars="200" w:firstLine="560"/>
        <w:jc w:val="left"/>
        <w:rPr>
          <w:rFonts w:ascii="仿宋_GB2312" w:eastAsia="仿宋_GB2312"/>
          <w:color w:val="000000"/>
          <w:sz w:val="28"/>
          <w:szCs w:val="28"/>
        </w:rPr>
      </w:pPr>
    </w:p>
    <w:p w:rsidR="00FC3217" w:rsidRDefault="00FC3217" w:rsidP="00FC3217">
      <w:pPr>
        <w:pStyle w:val="2"/>
        <w:ind w:firstLine="562"/>
      </w:pPr>
      <w:bookmarkStart w:id="228" w:name="_Toc408749992"/>
      <w:bookmarkStart w:id="229" w:name="_Toc32640"/>
      <w:bookmarkStart w:id="230" w:name="_Toc807"/>
      <w:bookmarkStart w:id="231" w:name="_Toc23946982"/>
      <w:bookmarkStart w:id="232" w:name="_Toc406438904"/>
      <w:bookmarkStart w:id="233" w:name="_Toc408300991"/>
      <w:bookmarkStart w:id="234" w:name="_Toc408749921"/>
      <w:bookmarkEnd w:id="227"/>
      <w:r>
        <w:rPr>
          <w:rFonts w:hint="eastAsia"/>
        </w:rPr>
        <w:t>二、衍生品合约账户的开立与管理</w:t>
      </w:r>
      <w:bookmarkEnd w:id="228"/>
      <w:bookmarkEnd w:id="229"/>
      <w:bookmarkEnd w:id="230"/>
      <w:bookmarkEnd w:id="231"/>
    </w:p>
    <w:p w:rsidR="00FC3217" w:rsidRDefault="00FC3217" w:rsidP="00FC3217">
      <w:pPr>
        <w:rPr>
          <w:rFonts w:ascii="仿宋_GB2312" w:eastAsia="仿宋_GB2312" w:hAnsi="宋体" w:cs="仿宋_GB2312"/>
          <w:bCs/>
          <w:color w:val="000000"/>
          <w:kern w:val="0"/>
          <w:sz w:val="28"/>
          <w:szCs w:val="28"/>
        </w:rPr>
      </w:pPr>
      <w:r>
        <w:rPr>
          <w:rFonts w:ascii="仿宋_GB2312" w:eastAsia="仿宋_GB2312" w:hAnsi="宋体" w:cs="仿宋_GB2312" w:hint="eastAsia"/>
          <w:bCs/>
          <w:color w:val="000000"/>
          <w:kern w:val="0"/>
          <w:sz w:val="28"/>
          <w:szCs w:val="28"/>
        </w:rPr>
        <w:t xml:space="preserve">   </w:t>
      </w:r>
      <w:r>
        <w:rPr>
          <w:rFonts w:ascii="仿宋_GB2312" w:eastAsia="仿宋_GB2312" w:hAnsi="宋体" w:cs="仿宋_GB2312" w:hint="eastAsia"/>
          <w:b/>
          <w:color w:val="000000"/>
          <w:kern w:val="0"/>
          <w:sz w:val="28"/>
          <w:szCs w:val="28"/>
        </w:rPr>
        <w:t>（一）个人投资者股票期权开户</w:t>
      </w:r>
    </w:p>
    <w:p w:rsidR="00FC3217" w:rsidRDefault="00FC3217" w:rsidP="00FC3217">
      <w:pPr>
        <w:rPr>
          <w:rFonts w:ascii="仿宋_GB2312" w:eastAsia="仿宋_GB2312" w:hAnsi="宋体" w:cs="仿宋_GB2312"/>
          <w:bCs/>
          <w:color w:val="000000"/>
          <w:kern w:val="0"/>
          <w:sz w:val="28"/>
          <w:szCs w:val="28"/>
        </w:rPr>
      </w:pPr>
      <w:r>
        <w:rPr>
          <w:rFonts w:ascii="仿宋_GB2312" w:eastAsia="仿宋_GB2312" w:hAnsi="宋体" w:cs="仿宋_GB2312" w:hint="eastAsia"/>
          <w:bCs/>
          <w:color w:val="000000"/>
          <w:kern w:val="0"/>
          <w:sz w:val="28"/>
          <w:szCs w:val="28"/>
        </w:rPr>
        <w:t xml:space="preserve">    1、 投资者开户需要准备的资料</w:t>
      </w:r>
    </w:p>
    <w:p w:rsidR="00FC3217" w:rsidRDefault="00FC3217" w:rsidP="00FC3217">
      <w:pPr>
        <w:rPr>
          <w:rFonts w:ascii="仿宋_GB2312" w:eastAsia="仿宋_GB2312" w:hAnsi="宋体" w:cs="仿宋_GB2312"/>
          <w:bCs/>
          <w:color w:val="000000"/>
          <w:kern w:val="0"/>
          <w:sz w:val="28"/>
          <w:szCs w:val="28"/>
        </w:rPr>
      </w:pPr>
      <w:r>
        <w:rPr>
          <w:rFonts w:ascii="仿宋_GB2312" w:eastAsia="仿宋_GB2312" w:hAnsi="宋体" w:cs="仿宋_GB2312" w:hint="eastAsia"/>
          <w:bCs/>
          <w:color w:val="000000"/>
          <w:kern w:val="0"/>
          <w:sz w:val="28"/>
          <w:szCs w:val="28"/>
        </w:rPr>
        <w:t xml:space="preserve">    1.1 身份证</w:t>
      </w:r>
    </w:p>
    <w:p w:rsidR="00FC3217" w:rsidRDefault="00FC3217" w:rsidP="00FC3217">
      <w:pPr>
        <w:ind w:firstLineChars="200" w:firstLine="560"/>
        <w:rPr>
          <w:rFonts w:ascii="仿宋_GB2312" w:eastAsia="仿宋_GB2312" w:hAnsi="宋体" w:cs="仿宋_GB2312"/>
          <w:bCs/>
          <w:color w:val="000000"/>
          <w:kern w:val="0"/>
          <w:sz w:val="28"/>
          <w:szCs w:val="28"/>
        </w:rPr>
      </w:pPr>
      <w:r>
        <w:rPr>
          <w:rFonts w:ascii="仿宋_GB2312" w:eastAsia="仿宋_GB2312" w:hAnsi="宋体" w:cs="仿宋_GB2312" w:hint="eastAsia"/>
          <w:bCs/>
          <w:color w:val="000000"/>
          <w:kern w:val="0"/>
          <w:sz w:val="28"/>
          <w:szCs w:val="28"/>
        </w:rPr>
        <w:t>1.2 融资融券业务账户证明（已开立融资融券账户投资者）或期货公司出具的金融期货交易结算单</w:t>
      </w:r>
    </w:p>
    <w:p w:rsidR="00FC3217" w:rsidRDefault="00FC3217" w:rsidP="00FC3217">
      <w:pPr>
        <w:ind w:firstLineChars="200" w:firstLine="560"/>
        <w:rPr>
          <w:rFonts w:ascii="仿宋_GB2312" w:eastAsia="仿宋_GB2312" w:hAnsi="宋体" w:cs="仿宋_GB2312"/>
          <w:bCs/>
          <w:color w:val="000000"/>
          <w:kern w:val="0"/>
          <w:sz w:val="28"/>
          <w:szCs w:val="28"/>
        </w:rPr>
      </w:pPr>
      <w:r>
        <w:rPr>
          <w:rFonts w:ascii="仿宋_GB2312" w:eastAsia="仿宋_GB2312" w:hAnsi="宋体" w:cs="仿宋_GB2312" w:hint="eastAsia"/>
          <w:bCs/>
          <w:color w:val="000000"/>
          <w:kern w:val="0"/>
          <w:sz w:val="28"/>
          <w:szCs w:val="28"/>
        </w:rPr>
        <w:t>1.3 期货公司要求的其他材料</w:t>
      </w:r>
    </w:p>
    <w:p w:rsidR="00FC3217" w:rsidRDefault="00FC3217" w:rsidP="00FC3217">
      <w:pPr>
        <w:ind w:firstLineChars="200" w:firstLine="560"/>
        <w:rPr>
          <w:rFonts w:ascii="仿宋_GB2312" w:eastAsia="仿宋_GB2312" w:hAnsi="宋体" w:cs="仿宋_GB2312"/>
          <w:bCs/>
          <w:color w:val="000000"/>
          <w:kern w:val="0"/>
          <w:sz w:val="28"/>
          <w:szCs w:val="28"/>
        </w:rPr>
      </w:pPr>
    </w:p>
    <w:p w:rsidR="00FC3217" w:rsidRDefault="00FC3217" w:rsidP="00FC3217">
      <w:pPr>
        <w:ind w:firstLineChars="200" w:firstLine="562"/>
        <w:rPr>
          <w:rFonts w:ascii="仿宋_GB2312" w:eastAsia="仿宋_GB2312" w:hAnsi="宋体" w:cs="仿宋_GB2312"/>
          <w:b/>
          <w:color w:val="000000"/>
          <w:kern w:val="0"/>
          <w:sz w:val="28"/>
          <w:szCs w:val="28"/>
        </w:rPr>
      </w:pPr>
      <w:r>
        <w:rPr>
          <w:rFonts w:ascii="仿宋_GB2312" w:eastAsia="仿宋_GB2312" w:hAnsi="宋体" w:cs="仿宋_GB2312" w:hint="eastAsia"/>
          <w:b/>
          <w:color w:val="000000"/>
          <w:kern w:val="0"/>
          <w:sz w:val="28"/>
          <w:szCs w:val="28"/>
        </w:rPr>
        <w:t>2、营业部资格初审</w:t>
      </w:r>
    </w:p>
    <w:p w:rsidR="00FC3217" w:rsidRDefault="00FC3217" w:rsidP="00FC3217">
      <w:pPr>
        <w:ind w:firstLineChars="200" w:firstLine="560"/>
        <w:rPr>
          <w:rFonts w:ascii="仿宋_GB2312" w:eastAsia="仿宋_GB2312" w:hAnsi="宋体" w:cs="仿宋_GB2312"/>
          <w:bCs/>
          <w:color w:val="000000"/>
          <w:kern w:val="0"/>
          <w:sz w:val="28"/>
          <w:szCs w:val="28"/>
        </w:rPr>
      </w:pPr>
      <w:r>
        <w:rPr>
          <w:rFonts w:ascii="仿宋_GB2312" w:eastAsia="仿宋_GB2312" w:hAnsi="宋体" w:cs="仿宋_GB2312" w:hint="eastAsia"/>
          <w:bCs/>
          <w:color w:val="000000"/>
          <w:kern w:val="0"/>
          <w:sz w:val="28"/>
          <w:szCs w:val="28"/>
        </w:rPr>
        <w:t>营业部根据本指南第三章投资者适当性管理的认定标准进行资格初审。</w:t>
      </w:r>
    </w:p>
    <w:p w:rsidR="00FC3217" w:rsidRDefault="00FC3217" w:rsidP="00FC3217">
      <w:pPr>
        <w:ind w:firstLineChars="200" w:firstLine="560"/>
        <w:rPr>
          <w:rFonts w:ascii="仿宋_GB2312" w:eastAsia="仿宋_GB2312" w:hAnsi="宋体" w:cs="仿宋_GB2312"/>
          <w:bCs/>
          <w:color w:val="000000"/>
          <w:kern w:val="0"/>
          <w:sz w:val="28"/>
          <w:szCs w:val="28"/>
        </w:rPr>
      </w:pPr>
      <w:r>
        <w:rPr>
          <w:rFonts w:ascii="仿宋_GB2312" w:eastAsia="仿宋_GB2312" w:hAnsi="宋体" w:cs="仿宋_GB2312" w:hint="eastAsia"/>
          <w:bCs/>
          <w:color w:val="000000"/>
          <w:kern w:val="0"/>
          <w:sz w:val="28"/>
          <w:szCs w:val="28"/>
        </w:rPr>
        <w:t>2.1核对投资者身份证明文件：必须投资者本人持有效证件临柜开户。</w:t>
      </w:r>
    </w:p>
    <w:p w:rsidR="00FC3217" w:rsidRDefault="00FC3217" w:rsidP="00FC3217">
      <w:pPr>
        <w:ind w:firstLineChars="200" w:firstLine="560"/>
        <w:rPr>
          <w:rFonts w:ascii="仿宋_GB2312" w:eastAsia="仿宋_GB2312" w:hAnsi="宋体" w:cs="仿宋_GB2312"/>
          <w:bCs/>
          <w:color w:val="000000"/>
          <w:kern w:val="0"/>
          <w:sz w:val="28"/>
          <w:szCs w:val="28"/>
        </w:rPr>
      </w:pPr>
      <w:r>
        <w:rPr>
          <w:rFonts w:ascii="仿宋_GB2312" w:eastAsia="仿宋_GB2312" w:hAnsi="宋体" w:cs="仿宋_GB2312" w:hint="eastAsia"/>
          <w:bCs/>
          <w:color w:val="000000"/>
          <w:kern w:val="0"/>
          <w:sz w:val="28"/>
          <w:szCs w:val="28"/>
        </w:rPr>
        <w:t>2.2核对上海证券交易所Ａ股证券账户：</w:t>
      </w:r>
    </w:p>
    <w:p w:rsidR="00FC3217" w:rsidRDefault="00FC3217" w:rsidP="00FC3217">
      <w:pPr>
        <w:ind w:firstLineChars="200" w:firstLine="560"/>
        <w:rPr>
          <w:rFonts w:ascii="仿宋_GB2312" w:eastAsia="仿宋_GB2312" w:hAnsi="宋体" w:cs="仿宋_GB2312"/>
          <w:bCs/>
          <w:color w:val="000000"/>
          <w:kern w:val="0"/>
          <w:sz w:val="28"/>
          <w:szCs w:val="28"/>
        </w:rPr>
      </w:pPr>
      <w:r>
        <w:rPr>
          <w:rFonts w:ascii="仿宋_GB2312" w:eastAsia="仿宋_GB2312" w:hAnsi="宋体" w:cs="仿宋_GB2312" w:hint="eastAsia"/>
          <w:bCs/>
          <w:color w:val="000000"/>
          <w:kern w:val="0"/>
          <w:sz w:val="28"/>
          <w:szCs w:val="28"/>
        </w:rPr>
        <w:t>(1)若在本公司已有A股账户，核对通过；</w:t>
      </w:r>
    </w:p>
    <w:p w:rsidR="00FC3217" w:rsidRDefault="00FC3217" w:rsidP="00FC3217">
      <w:pPr>
        <w:ind w:firstLineChars="200" w:firstLine="560"/>
        <w:rPr>
          <w:rFonts w:ascii="仿宋_GB2312" w:eastAsia="仿宋_GB2312" w:hAnsi="宋体" w:cs="仿宋_GB2312"/>
          <w:bCs/>
          <w:color w:val="000000"/>
          <w:kern w:val="0"/>
          <w:sz w:val="28"/>
          <w:szCs w:val="28"/>
        </w:rPr>
      </w:pPr>
      <w:r>
        <w:rPr>
          <w:rFonts w:ascii="仿宋_GB2312" w:eastAsia="仿宋_GB2312" w:hAnsi="宋体" w:cs="仿宋_GB2312" w:hint="eastAsia"/>
          <w:bCs/>
          <w:color w:val="000000"/>
          <w:kern w:val="0"/>
          <w:sz w:val="28"/>
          <w:szCs w:val="28"/>
        </w:rPr>
        <w:t>(2)若无本公司A股账户，需首先开立A股账户。</w:t>
      </w:r>
    </w:p>
    <w:p w:rsidR="00FC3217" w:rsidRDefault="00FC3217" w:rsidP="00FC3217">
      <w:pPr>
        <w:ind w:firstLineChars="200" w:firstLine="560"/>
        <w:rPr>
          <w:rFonts w:ascii="仿宋_GB2312" w:eastAsia="仿宋_GB2312" w:hAnsi="宋体" w:cs="仿宋_GB2312"/>
          <w:bCs/>
          <w:color w:val="000000"/>
          <w:kern w:val="0"/>
          <w:sz w:val="28"/>
          <w:szCs w:val="28"/>
        </w:rPr>
      </w:pPr>
      <w:r>
        <w:rPr>
          <w:rFonts w:ascii="仿宋_GB2312" w:eastAsia="仿宋_GB2312" w:hAnsi="宋体" w:cs="仿宋_GB2312" w:hint="eastAsia"/>
          <w:bCs/>
          <w:color w:val="000000"/>
          <w:kern w:val="0"/>
          <w:sz w:val="28"/>
          <w:szCs w:val="28"/>
        </w:rPr>
        <w:t>2.3核对托管资产。</w:t>
      </w:r>
    </w:p>
    <w:p w:rsidR="00FC3217" w:rsidRDefault="00FC3217" w:rsidP="00FC3217">
      <w:pPr>
        <w:ind w:firstLineChars="200" w:firstLine="560"/>
        <w:rPr>
          <w:rFonts w:ascii="仿宋_GB2312" w:eastAsia="仿宋_GB2312" w:hAnsi="宋体" w:cs="仿宋_GB2312"/>
          <w:bCs/>
          <w:color w:val="000000"/>
          <w:kern w:val="0"/>
          <w:sz w:val="28"/>
          <w:szCs w:val="28"/>
        </w:rPr>
      </w:pPr>
      <w:r>
        <w:rPr>
          <w:rFonts w:ascii="仿宋_GB2312" w:eastAsia="仿宋_GB2312" w:hAnsi="宋体" w:cs="仿宋_GB2312" w:hint="eastAsia"/>
          <w:bCs/>
          <w:color w:val="000000"/>
          <w:kern w:val="0"/>
          <w:sz w:val="28"/>
          <w:szCs w:val="28"/>
        </w:rPr>
        <w:lastRenderedPageBreak/>
        <w:t>2.4核对交易经历。</w:t>
      </w:r>
    </w:p>
    <w:p w:rsidR="00FC3217" w:rsidRDefault="00FC3217" w:rsidP="00FC3217">
      <w:pPr>
        <w:ind w:firstLineChars="200" w:firstLine="560"/>
        <w:rPr>
          <w:rFonts w:ascii="仿宋_GB2312" w:eastAsia="仿宋_GB2312" w:hAnsi="宋体" w:cs="仿宋_GB2312"/>
          <w:bCs/>
          <w:color w:val="000000"/>
          <w:kern w:val="0"/>
          <w:sz w:val="28"/>
          <w:szCs w:val="28"/>
        </w:rPr>
      </w:pPr>
      <w:r>
        <w:rPr>
          <w:rFonts w:ascii="仿宋_GB2312" w:eastAsia="仿宋_GB2312" w:hAnsi="宋体" w:cs="仿宋_GB2312" w:hint="eastAsia"/>
          <w:bCs/>
          <w:color w:val="000000"/>
          <w:kern w:val="0"/>
          <w:sz w:val="28"/>
          <w:szCs w:val="28"/>
        </w:rPr>
        <w:t>2.5核对期权模拟交易经历。</w:t>
      </w:r>
    </w:p>
    <w:p w:rsidR="00FC3217" w:rsidRDefault="00FC3217" w:rsidP="00FC3217">
      <w:pPr>
        <w:ind w:firstLineChars="200" w:firstLine="560"/>
        <w:rPr>
          <w:rFonts w:ascii="仿宋_GB2312" w:eastAsia="仿宋_GB2312" w:hAnsi="宋体" w:cs="仿宋_GB2312"/>
          <w:bCs/>
          <w:color w:val="000000"/>
          <w:kern w:val="0"/>
          <w:sz w:val="28"/>
          <w:szCs w:val="28"/>
        </w:rPr>
      </w:pPr>
      <w:r>
        <w:rPr>
          <w:rFonts w:ascii="仿宋_GB2312" w:eastAsia="仿宋_GB2312" w:hAnsi="宋体" w:cs="仿宋_GB2312" w:hint="eastAsia"/>
          <w:bCs/>
          <w:color w:val="000000"/>
          <w:kern w:val="0"/>
          <w:sz w:val="28"/>
          <w:szCs w:val="28"/>
        </w:rPr>
        <w:t>2.6核对知识测试成绩。</w:t>
      </w:r>
    </w:p>
    <w:p w:rsidR="00FC3217" w:rsidRDefault="00FC3217" w:rsidP="00FC3217">
      <w:pPr>
        <w:ind w:firstLineChars="200" w:firstLine="560"/>
        <w:rPr>
          <w:rFonts w:ascii="仿宋_GB2312" w:eastAsia="仿宋_GB2312" w:hAnsi="宋体" w:cs="仿宋_GB2312"/>
          <w:bCs/>
          <w:color w:val="000000"/>
          <w:kern w:val="0"/>
          <w:sz w:val="28"/>
          <w:szCs w:val="28"/>
        </w:rPr>
      </w:pPr>
      <w:r>
        <w:rPr>
          <w:rFonts w:ascii="仿宋_GB2312" w:eastAsia="仿宋_GB2312" w:hAnsi="宋体" w:cs="仿宋_GB2312" w:hint="eastAsia"/>
          <w:bCs/>
          <w:color w:val="000000"/>
          <w:kern w:val="0"/>
          <w:sz w:val="28"/>
          <w:szCs w:val="28"/>
        </w:rPr>
        <w:t>2.7评估客户风险承受能力。</w:t>
      </w:r>
    </w:p>
    <w:p w:rsidR="00FC3217" w:rsidRDefault="00FC3217" w:rsidP="00FC3217">
      <w:pPr>
        <w:ind w:firstLineChars="200" w:firstLine="560"/>
        <w:rPr>
          <w:rFonts w:ascii="仿宋_GB2312" w:eastAsia="仿宋_GB2312" w:hAnsi="宋体" w:cs="仿宋_GB2312"/>
          <w:bCs/>
          <w:color w:val="000000"/>
          <w:kern w:val="0"/>
          <w:sz w:val="28"/>
          <w:szCs w:val="28"/>
        </w:rPr>
      </w:pPr>
      <w:r>
        <w:rPr>
          <w:rFonts w:ascii="仿宋_GB2312" w:eastAsia="仿宋_GB2312" w:hAnsi="宋体" w:cs="仿宋_GB2312" w:hint="eastAsia"/>
          <w:bCs/>
          <w:color w:val="000000"/>
          <w:kern w:val="0"/>
          <w:sz w:val="28"/>
          <w:szCs w:val="28"/>
        </w:rPr>
        <w:t>2.8核实投资者诚信记录。</w:t>
      </w:r>
    </w:p>
    <w:p w:rsidR="00FC3217" w:rsidRDefault="00FC3217" w:rsidP="00FC3217">
      <w:pPr>
        <w:ind w:firstLineChars="200" w:firstLine="560"/>
        <w:rPr>
          <w:rFonts w:ascii="仿宋_GB2312" w:eastAsia="仿宋_GB2312" w:hAnsi="宋体" w:cs="仿宋_GB2312"/>
          <w:bCs/>
          <w:color w:val="000000"/>
          <w:kern w:val="0"/>
          <w:sz w:val="28"/>
          <w:szCs w:val="28"/>
        </w:rPr>
      </w:pPr>
      <w:r>
        <w:rPr>
          <w:rFonts w:ascii="仿宋_GB2312" w:eastAsia="仿宋_GB2312" w:hAnsi="宋体" w:cs="仿宋_GB2312" w:hint="eastAsia"/>
          <w:bCs/>
          <w:color w:val="000000"/>
          <w:kern w:val="0"/>
          <w:sz w:val="28"/>
          <w:szCs w:val="28"/>
        </w:rPr>
        <w:t>2.9完成适当性综合评估表。</w:t>
      </w:r>
    </w:p>
    <w:p w:rsidR="00FC3217" w:rsidRDefault="00FC3217" w:rsidP="00FC3217">
      <w:pPr>
        <w:ind w:firstLineChars="200" w:firstLine="560"/>
        <w:rPr>
          <w:rFonts w:ascii="仿宋_GB2312" w:eastAsia="仿宋_GB2312" w:hAnsi="宋体" w:cs="仿宋_GB2312"/>
          <w:bCs/>
          <w:color w:val="000000"/>
          <w:kern w:val="0"/>
          <w:sz w:val="28"/>
          <w:szCs w:val="28"/>
        </w:rPr>
      </w:pPr>
    </w:p>
    <w:p w:rsidR="00FC3217" w:rsidRDefault="00FC3217" w:rsidP="00FC3217">
      <w:pPr>
        <w:ind w:firstLineChars="200" w:firstLine="562"/>
        <w:rPr>
          <w:rFonts w:ascii="仿宋_GB2312" w:eastAsia="仿宋_GB2312" w:hAnsi="宋体" w:cs="仿宋_GB2312"/>
          <w:b/>
          <w:color w:val="000000"/>
          <w:kern w:val="0"/>
          <w:sz w:val="28"/>
          <w:szCs w:val="28"/>
        </w:rPr>
      </w:pPr>
      <w:r>
        <w:rPr>
          <w:rFonts w:ascii="仿宋_GB2312" w:eastAsia="仿宋_GB2312" w:hAnsi="宋体" w:cs="仿宋_GB2312" w:hint="eastAsia"/>
          <w:b/>
          <w:color w:val="000000"/>
          <w:kern w:val="0"/>
          <w:sz w:val="28"/>
          <w:szCs w:val="28"/>
        </w:rPr>
        <w:t xml:space="preserve">3、开户程序 </w:t>
      </w:r>
    </w:p>
    <w:p w:rsidR="00FC3217" w:rsidRDefault="00FC3217" w:rsidP="00FC3217">
      <w:pPr>
        <w:ind w:firstLineChars="200" w:firstLine="560"/>
        <w:rPr>
          <w:rFonts w:ascii="仿宋_GB2312" w:eastAsia="仿宋_GB2312" w:hAnsi="宋体" w:cs="仿宋_GB2312"/>
          <w:bCs/>
          <w:color w:val="000000"/>
          <w:kern w:val="0"/>
          <w:sz w:val="28"/>
          <w:szCs w:val="28"/>
        </w:rPr>
      </w:pPr>
      <w:r>
        <w:rPr>
          <w:rFonts w:ascii="仿宋_GB2312" w:eastAsia="仿宋_GB2312" w:hAnsi="宋体" w:cs="仿宋_GB2312" w:hint="eastAsia"/>
          <w:bCs/>
          <w:color w:val="000000"/>
          <w:kern w:val="0"/>
          <w:sz w:val="28"/>
          <w:szCs w:val="28"/>
        </w:rPr>
        <w:t>3.1向客户解释风险揭示书及经纪合同的核心内容</w:t>
      </w:r>
    </w:p>
    <w:p w:rsidR="00FC3217" w:rsidRDefault="00FC3217" w:rsidP="00FC3217">
      <w:pPr>
        <w:ind w:firstLineChars="200" w:firstLine="560"/>
        <w:rPr>
          <w:rFonts w:ascii="仿宋_GB2312" w:eastAsia="仿宋_GB2312" w:hAnsi="宋体" w:cs="仿宋_GB2312"/>
          <w:bCs/>
          <w:color w:val="000000"/>
          <w:kern w:val="0"/>
          <w:sz w:val="28"/>
          <w:szCs w:val="28"/>
        </w:rPr>
      </w:pPr>
      <w:r>
        <w:rPr>
          <w:rFonts w:ascii="仿宋_GB2312" w:eastAsia="仿宋_GB2312" w:hAnsi="宋体" w:cs="仿宋_GB2312" w:hint="eastAsia"/>
          <w:bCs/>
          <w:color w:val="000000"/>
          <w:kern w:val="0"/>
          <w:sz w:val="28"/>
          <w:szCs w:val="28"/>
        </w:rPr>
        <w:t>为提高效率，期货公司可在投资者临柜前将经纪合同、风险揭示书等相关开户资料提前发给投资者阅知，或提醒投资者认真阅读上述文件。各期货公司应在符合相关指引和通知要求的前提下，尽量缩短客户临柜开户时间，提高开户效率，提升客户体验。</w:t>
      </w:r>
    </w:p>
    <w:p w:rsidR="00FC3217" w:rsidRDefault="00FC3217" w:rsidP="00FC3217">
      <w:pPr>
        <w:ind w:firstLineChars="200" w:firstLine="560"/>
        <w:rPr>
          <w:rFonts w:ascii="仿宋_GB2312" w:eastAsia="仿宋_GB2312" w:hAnsi="宋体" w:cs="仿宋_GB2312"/>
          <w:bCs/>
          <w:color w:val="000000"/>
          <w:kern w:val="0"/>
          <w:sz w:val="28"/>
          <w:szCs w:val="28"/>
        </w:rPr>
      </w:pPr>
      <w:r>
        <w:rPr>
          <w:rFonts w:ascii="仿宋_GB2312" w:eastAsia="仿宋_GB2312" w:hAnsi="宋体" w:cs="仿宋_GB2312" w:hint="eastAsia"/>
          <w:bCs/>
          <w:color w:val="000000"/>
          <w:kern w:val="0"/>
          <w:sz w:val="28"/>
          <w:szCs w:val="28"/>
        </w:rPr>
        <w:t>3.2投资者签署风险揭示书</w:t>
      </w:r>
    </w:p>
    <w:p w:rsidR="00FC3217" w:rsidRDefault="00FC3217" w:rsidP="00FC3217">
      <w:pPr>
        <w:ind w:firstLineChars="200" w:firstLine="560"/>
        <w:rPr>
          <w:rFonts w:ascii="仿宋_GB2312" w:eastAsia="仿宋_GB2312" w:hAnsi="宋体" w:cs="仿宋_GB2312"/>
          <w:bCs/>
          <w:color w:val="000000"/>
          <w:kern w:val="0"/>
          <w:sz w:val="28"/>
          <w:szCs w:val="28"/>
        </w:rPr>
      </w:pPr>
      <w:r>
        <w:rPr>
          <w:rFonts w:ascii="仿宋_GB2312" w:eastAsia="仿宋_GB2312" w:hAnsi="宋体" w:cs="仿宋_GB2312" w:hint="eastAsia"/>
          <w:bCs/>
          <w:color w:val="000000"/>
          <w:kern w:val="0"/>
          <w:sz w:val="28"/>
          <w:szCs w:val="28"/>
        </w:rPr>
        <w:t>投资者按风险揭示书要求抄写或朗读承诺并签名，期货公司对投资者抄写或朗读承诺文字的过程进行拍照或录像存档。</w:t>
      </w:r>
    </w:p>
    <w:p w:rsidR="00FC3217" w:rsidRDefault="00FC3217" w:rsidP="00FC3217">
      <w:pPr>
        <w:ind w:firstLineChars="200" w:firstLine="560"/>
        <w:rPr>
          <w:rFonts w:ascii="仿宋_GB2312" w:eastAsia="仿宋_GB2312" w:hAnsi="宋体" w:cs="仿宋_GB2312"/>
          <w:bCs/>
          <w:color w:val="000000"/>
          <w:kern w:val="0"/>
          <w:sz w:val="28"/>
          <w:szCs w:val="28"/>
        </w:rPr>
      </w:pPr>
      <w:r>
        <w:rPr>
          <w:rFonts w:ascii="仿宋_GB2312" w:eastAsia="仿宋_GB2312" w:hAnsi="宋体" w:cs="仿宋_GB2312" w:hint="eastAsia"/>
          <w:bCs/>
          <w:color w:val="000000"/>
          <w:kern w:val="0"/>
          <w:sz w:val="28"/>
          <w:szCs w:val="28"/>
        </w:rPr>
        <w:t>3.3投资者签署经纪合同。</w:t>
      </w:r>
    </w:p>
    <w:p w:rsidR="00FC3217" w:rsidRDefault="00FC3217" w:rsidP="00FC3217">
      <w:pPr>
        <w:ind w:firstLineChars="200" w:firstLine="560"/>
        <w:rPr>
          <w:rFonts w:ascii="仿宋_GB2312" w:eastAsia="仿宋_GB2312" w:hAnsi="宋体" w:cs="仿宋_GB2312"/>
          <w:bCs/>
          <w:color w:val="000000"/>
          <w:kern w:val="0"/>
          <w:sz w:val="28"/>
          <w:szCs w:val="28"/>
        </w:rPr>
      </w:pPr>
      <w:r>
        <w:rPr>
          <w:rFonts w:ascii="仿宋_GB2312" w:eastAsia="仿宋_GB2312" w:hAnsi="宋体" w:cs="仿宋_GB2312" w:hint="eastAsia"/>
          <w:bCs/>
          <w:color w:val="000000"/>
          <w:kern w:val="0"/>
          <w:sz w:val="28"/>
          <w:szCs w:val="28"/>
        </w:rPr>
        <w:t>投资者可以在通过相应等级知识测试并申请相应等级交易权限的同时，当场签署开户申请表、风险揭示书、经纪合同等开户必备文件，一次临柜完成开户相关文件的填写和签署。期货公司在完成后续审核之前，应当充分告知投资者开户相关文件需经期货公司完成后续审核后方可生效。</w:t>
      </w:r>
    </w:p>
    <w:p w:rsidR="00FC3217" w:rsidRDefault="00FC3217" w:rsidP="00FC3217">
      <w:pPr>
        <w:ind w:firstLineChars="200" w:firstLine="560"/>
        <w:rPr>
          <w:rFonts w:ascii="仿宋_GB2312" w:eastAsia="仿宋_GB2312" w:hAnsi="宋体" w:cs="仿宋_GB2312"/>
          <w:bCs/>
          <w:color w:val="000000"/>
          <w:kern w:val="0"/>
          <w:sz w:val="28"/>
          <w:szCs w:val="28"/>
        </w:rPr>
      </w:pPr>
      <w:r>
        <w:rPr>
          <w:rFonts w:ascii="仿宋_GB2312" w:eastAsia="仿宋_GB2312" w:hAnsi="宋体" w:cs="仿宋_GB2312" w:hint="eastAsia"/>
          <w:bCs/>
          <w:color w:val="000000"/>
          <w:kern w:val="0"/>
          <w:sz w:val="28"/>
          <w:szCs w:val="28"/>
        </w:rPr>
        <w:lastRenderedPageBreak/>
        <w:t>3.4为投资者办理所有开户手续（包括密码设置等)，但在总部完成审核前，账户暂不生效。</w:t>
      </w:r>
    </w:p>
    <w:p w:rsidR="00FC3217" w:rsidRDefault="00FC3217" w:rsidP="00FC3217">
      <w:pPr>
        <w:ind w:firstLineChars="200" w:firstLine="560"/>
        <w:rPr>
          <w:rFonts w:ascii="仿宋_GB2312" w:eastAsia="仿宋_GB2312" w:hAnsi="宋体" w:cs="仿宋_GB2312"/>
          <w:bCs/>
          <w:color w:val="000000"/>
          <w:kern w:val="0"/>
          <w:sz w:val="28"/>
          <w:szCs w:val="28"/>
        </w:rPr>
      </w:pPr>
      <w:r>
        <w:rPr>
          <w:rFonts w:ascii="仿宋_GB2312" w:eastAsia="仿宋_GB2312" w:hAnsi="宋体" w:cs="仿宋_GB2312" w:hint="eastAsia"/>
          <w:bCs/>
          <w:color w:val="000000"/>
          <w:kern w:val="0"/>
          <w:sz w:val="28"/>
          <w:szCs w:val="28"/>
        </w:rPr>
        <w:t>3.5期货公司总部进行审核</w:t>
      </w:r>
    </w:p>
    <w:p w:rsidR="00FC3217" w:rsidRDefault="00FC3217" w:rsidP="00FC3217">
      <w:pPr>
        <w:ind w:firstLineChars="200" w:firstLine="560"/>
        <w:rPr>
          <w:rFonts w:ascii="仿宋_GB2312" w:eastAsia="仿宋_GB2312" w:hAnsi="宋体" w:cs="仿宋_GB2312"/>
          <w:bCs/>
          <w:color w:val="000000"/>
          <w:kern w:val="0"/>
          <w:sz w:val="28"/>
          <w:szCs w:val="28"/>
        </w:rPr>
      </w:pPr>
      <w:r>
        <w:rPr>
          <w:rFonts w:ascii="仿宋_GB2312" w:eastAsia="仿宋_GB2312" w:hAnsi="宋体" w:cs="仿宋_GB2312" w:hint="eastAsia"/>
          <w:bCs/>
          <w:color w:val="000000"/>
          <w:kern w:val="0"/>
          <w:sz w:val="28"/>
          <w:szCs w:val="28"/>
        </w:rPr>
        <w:t>投资者适当性评估及交易权限分级等事宜经期货公司总部期权经纪业务相关部门负责人或其授权人核准后，营业部可为投资者激活衍生品合约账户和股票期权保证金账户；未通过相关审核的，期货公司不得对开户相关文件进行签署，投资者此前签署的文件即予作废处理。</w:t>
      </w:r>
    </w:p>
    <w:p w:rsidR="00FC3217" w:rsidRDefault="00FC3217" w:rsidP="00FC3217">
      <w:pPr>
        <w:ind w:firstLineChars="200" w:firstLine="560"/>
        <w:rPr>
          <w:rFonts w:ascii="仿宋_GB2312" w:eastAsia="仿宋_GB2312" w:hAnsi="宋体" w:cs="仿宋_GB2312"/>
          <w:bCs/>
          <w:color w:val="000000"/>
          <w:kern w:val="0"/>
          <w:sz w:val="28"/>
          <w:szCs w:val="28"/>
        </w:rPr>
      </w:pPr>
      <w:r>
        <w:rPr>
          <w:rFonts w:ascii="仿宋_GB2312" w:eastAsia="仿宋_GB2312" w:hAnsi="宋体" w:cs="仿宋_GB2312" w:hint="eastAsia"/>
          <w:bCs/>
          <w:color w:val="000000"/>
          <w:kern w:val="0"/>
          <w:sz w:val="28"/>
          <w:szCs w:val="28"/>
        </w:rPr>
        <w:t>3.6开户结果反馈，通知客户办理银衍签约</w:t>
      </w:r>
    </w:p>
    <w:p w:rsidR="00FC3217" w:rsidRDefault="00FC3217" w:rsidP="00FC3217">
      <w:pPr>
        <w:ind w:firstLineChars="200" w:firstLine="560"/>
        <w:rPr>
          <w:rFonts w:ascii="仿宋_GB2312" w:eastAsia="仿宋_GB2312" w:hAnsi="宋体" w:cs="仿宋_GB2312"/>
          <w:bCs/>
          <w:color w:val="000000"/>
          <w:kern w:val="0"/>
          <w:sz w:val="28"/>
          <w:szCs w:val="28"/>
        </w:rPr>
      </w:pPr>
      <w:r>
        <w:rPr>
          <w:rFonts w:ascii="仿宋_GB2312" w:eastAsia="仿宋_GB2312" w:hAnsi="宋体" w:cs="仿宋_GB2312" w:hint="eastAsia"/>
          <w:bCs/>
          <w:color w:val="000000"/>
          <w:kern w:val="0"/>
          <w:sz w:val="28"/>
          <w:szCs w:val="28"/>
        </w:rPr>
        <w:t>期货公司应当及时将审核及开户结果告知投资者，通知通过审核的投资者办理银衍签约。</w:t>
      </w:r>
    </w:p>
    <w:p w:rsidR="00FC3217" w:rsidRDefault="00FC3217" w:rsidP="00FC3217">
      <w:pPr>
        <w:ind w:firstLineChars="200" w:firstLine="560"/>
        <w:rPr>
          <w:rFonts w:ascii="仿宋_GB2312" w:eastAsia="仿宋_GB2312" w:hAnsi="宋体" w:cs="仿宋_GB2312"/>
          <w:bCs/>
          <w:color w:val="000000"/>
          <w:kern w:val="0"/>
          <w:sz w:val="28"/>
          <w:szCs w:val="28"/>
        </w:rPr>
      </w:pPr>
    </w:p>
    <w:p w:rsidR="00FC3217" w:rsidRDefault="00FC3217" w:rsidP="00FC3217">
      <w:pPr>
        <w:ind w:firstLineChars="200" w:firstLine="560"/>
        <w:rPr>
          <w:rFonts w:ascii="仿宋_GB2312" w:eastAsia="仿宋_GB2312" w:hAnsi="宋体" w:cs="仿宋_GB2312"/>
          <w:b/>
          <w:color w:val="000000"/>
          <w:kern w:val="0"/>
          <w:sz w:val="28"/>
          <w:szCs w:val="28"/>
        </w:rPr>
      </w:pPr>
      <w:r>
        <w:rPr>
          <w:rFonts w:ascii="仿宋_GB2312" w:eastAsia="仿宋_GB2312" w:hAnsi="宋体" w:cs="仿宋_GB2312" w:hint="eastAsia"/>
          <w:bCs/>
          <w:color w:val="000000"/>
          <w:kern w:val="0"/>
          <w:sz w:val="28"/>
          <w:szCs w:val="28"/>
        </w:rPr>
        <w:t xml:space="preserve">  </w:t>
      </w:r>
      <w:r>
        <w:rPr>
          <w:rFonts w:ascii="仿宋_GB2312" w:eastAsia="仿宋_GB2312" w:hAnsi="宋体" w:cs="仿宋_GB2312" w:hint="eastAsia"/>
          <w:b/>
          <w:color w:val="000000"/>
          <w:kern w:val="0"/>
          <w:sz w:val="28"/>
          <w:szCs w:val="28"/>
        </w:rPr>
        <w:t>（二）机构投资者股票期权开户</w:t>
      </w:r>
    </w:p>
    <w:p w:rsidR="00FC3217" w:rsidRDefault="00FC3217" w:rsidP="00FC3217">
      <w:pPr>
        <w:ind w:firstLineChars="200" w:firstLine="562"/>
        <w:rPr>
          <w:rFonts w:ascii="仿宋_GB2312" w:eastAsia="仿宋_GB2312" w:hAnsi="宋体" w:cs="仿宋_GB2312"/>
          <w:b/>
          <w:color w:val="000000"/>
          <w:kern w:val="0"/>
          <w:sz w:val="28"/>
          <w:szCs w:val="28"/>
        </w:rPr>
      </w:pPr>
      <w:r>
        <w:rPr>
          <w:rFonts w:ascii="仿宋_GB2312" w:eastAsia="仿宋_GB2312" w:hAnsi="宋体" w:cs="仿宋_GB2312" w:hint="eastAsia"/>
          <w:b/>
          <w:color w:val="000000"/>
          <w:kern w:val="0"/>
          <w:sz w:val="28"/>
          <w:szCs w:val="28"/>
        </w:rPr>
        <w:t xml:space="preserve"> 1、开户准备材料</w:t>
      </w:r>
    </w:p>
    <w:p w:rsidR="00FC3217" w:rsidRDefault="00FC3217" w:rsidP="00FC3217">
      <w:pPr>
        <w:ind w:firstLineChars="200" w:firstLine="560"/>
        <w:rPr>
          <w:rFonts w:ascii="仿宋_GB2312" w:eastAsia="仿宋_GB2312" w:hAnsi="宋体" w:cs="仿宋_GB2312"/>
          <w:bCs/>
          <w:color w:val="000000"/>
          <w:kern w:val="0"/>
          <w:sz w:val="28"/>
          <w:szCs w:val="28"/>
        </w:rPr>
      </w:pPr>
      <w:r>
        <w:rPr>
          <w:rFonts w:ascii="仿宋_GB2312" w:eastAsia="仿宋_GB2312" w:hAnsi="宋体" w:cs="仿宋_GB2312" w:hint="eastAsia"/>
          <w:bCs/>
          <w:color w:val="000000"/>
          <w:kern w:val="0"/>
          <w:sz w:val="28"/>
          <w:szCs w:val="28"/>
        </w:rPr>
        <w:t xml:space="preserve"> 1.1法人证明证件：组织机构代码证、工商营业执照、税务登记证。</w:t>
      </w:r>
    </w:p>
    <w:p w:rsidR="00FC3217" w:rsidRDefault="00FC3217" w:rsidP="00FC3217">
      <w:pPr>
        <w:ind w:firstLineChars="200" w:firstLine="560"/>
        <w:rPr>
          <w:rFonts w:ascii="仿宋_GB2312" w:eastAsia="仿宋_GB2312" w:hAnsi="宋体" w:cs="仿宋_GB2312"/>
          <w:bCs/>
          <w:color w:val="000000"/>
          <w:kern w:val="0"/>
          <w:sz w:val="28"/>
          <w:szCs w:val="28"/>
        </w:rPr>
      </w:pPr>
      <w:r>
        <w:rPr>
          <w:rFonts w:ascii="仿宋_GB2312" w:eastAsia="仿宋_GB2312" w:hAnsi="宋体" w:cs="仿宋_GB2312" w:hint="eastAsia"/>
          <w:bCs/>
          <w:color w:val="000000"/>
          <w:kern w:val="0"/>
          <w:sz w:val="28"/>
          <w:szCs w:val="28"/>
        </w:rPr>
        <w:t>1.2期货公司所需的机构投资者经办人身份证明和业务授权等材料。</w:t>
      </w:r>
    </w:p>
    <w:p w:rsidR="00FC3217" w:rsidRDefault="00FC3217" w:rsidP="00FC3217">
      <w:pPr>
        <w:ind w:firstLineChars="200" w:firstLine="560"/>
        <w:rPr>
          <w:rFonts w:ascii="仿宋_GB2312" w:eastAsia="仿宋_GB2312" w:hAnsi="宋体" w:cs="仿宋_GB2312"/>
          <w:bCs/>
          <w:color w:val="000000"/>
          <w:kern w:val="0"/>
          <w:sz w:val="28"/>
          <w:szCs w:val="28"/>
        </w:rPr>
      </w:pPr>
      <w:r>
        <w:rPr>
          <w:rFonts w:ascii="仿宋_GB2312" w:eastAsia="仿宋_GB2312" w:hAnsi="宋体" w:cs="仿宋_GB2312" w:hint="eastAsia"/>
          <w:bCs/>
          <w:color w:val="000000"/>
          <w:kern w:val="0"/>
          <w:sz w:val="28"/>
          <w:szCs w:val="28"/>
        </w:rPr>
        <w:t>1.3对于普通机构投资者，还需提供上一季末净资产相关证明，或最近净资产证明。</w:t>
      </w:r>
    </w:p>
    <w:p w:rsidR="00FC3217" w:rsidRDefault="00FC3217" w:rsidP="00FC3217">
      <w:pPr>
        <w:ind w:firstLineChars="200" w:firstLine="560"/>
        <w:rPr>
          <w:rFonts w:ascii="仿宋_GB2312" w:eastAsia="仿宋_GB2312" w:hAnsi="宋体" w:cs="仿宋_GB2312"/>
          <w:bCs/>
          <w:color w:val="000000"/>
          <w:kern w:val="0"/>
          <w:sz w:val="28"/>
          <w:szCs w:val="28"/>
        </w:rPr>
      </w:pPr>
      <w:r>
        <w:rPr>
          <w:rFonts w:ascii="仿宋_GB2312" w:eastAsia="仿宋_GB2312" w:hAnsi="宋体" w:cs="仿宋_GB2312" w:hint="eastAsia"/>
          <w:bCs/>
          <w:color w:val="000000"/>
          <w:kern w:val="0"/>
          <w:sz w:val="28"/>
          <w:szCs w:val="28"/>
        </w:rPr>
        <w:t>1.4根据相关监管机构要求需要进行备案的专业机构投资者，还需提供在相关监管机构的成立备案文件。</w:t>
      </w:r>
    </w:p>
    <w:p w:rsidR="00FC3217" w:rsidRDefault="00FC3217" w:rsidP="00FC3217">
      <w:pPr>
        <w:ind w:firstLineChars="200" w:firstLine="560"/>
        <w:rPr>
          <w:rFonts w:ascii="仿宋_GB2312" w:eastAsia="仿宋_GB2312" w:hAnsi="宋体" w:cs="仿宋_GB2312"/>
          <w:bCs/>
          <w:color w:val="000000"/>
          <w:kern w:val="0"/>
          <w:sz w:val="28"/>
          <w:szCs w:val="28"/>
        </w:rPr>
      </w:pPr>
    </w:p>
    <w:p w:rsidR="00FC3217" w:rsidRDefault="00FC3217" w:rsidP="00FC3217">
      <w:pPr>
        <w:ind w:firstLineChars="200" w:firstLine="562"/>
        <w:rPr>
          <w:rFonts w:ascii="仿宋_GB2312" w:eastAsia="仿宋_GB2312" w:hAnsi="宋体" w:cs="仿宋_GB2312"/>
          <w:b/>
          <w:color w:val="000000"/>
          <w:kern w:val="0"/>
          <w:sz w:val="28"/>
          <w:szCs w:val="28"/>
        </w:rPr>
      </w:pPr>
      <w:r>
        <w:rPr>
          <w:rFonts w:ascii="仿宋_GB2312" w:eastAsia="仿宋_GB2312" w:hAnsi="宋体" w:cs="仿宋_GB2312" w:hint="eastAsia"/>
          <w:b/>
          <w:color w:val="000000"/>
          <w:kern w:val="0"/>
          <w:sz w:val="28"/>
          <w:szCs w:val="28"/>
        </w:rPr>
        <w:t>2、普通机构投资者资格初审</w:t>
      </w:r>
    </w:p>
    <w:p w:rsidR="00FC3217" w:rsidRDefault="00FC3217" w:rsidP="00FC3217">
      <w:pPr>
        <w:ind w:firstLineChars="200" w:firstLine="560"/>
        <w:rPr>
          <w:rFonts w:ascii="仿宋_GB2312" w:eastAsia="仿宋_GB2312" w:hAnsi="宋体" w:cs="仿宋_GB2312"/>
          <w:bCs/>
          <w:color w:val="000000"/>
          <w:kern w:val="0"/>
          <w:sz w:val="28"/>
          <w:szCs w:val="28"/>
        </w:rPr>
      </w:pPr>
      <w:r>
        <w:rPr>
          <w:rFonts w:ascii="仿宋_GB2312" w:eastAsia="仿宋_GB2312" w:hAnsi="宋体" w:cs="仿宋_GB2312" w:hint="eastAsia"/>
          <w:bCs/>
          <w:color w:val="000000"/>
          <w:kern w:val="0"/>
          <w:sz w:val="28"/>
          <w:szCs w:val="28"/>
        </w:rPr>
        <w:t>2.1核对机构法人证明文件：原件与复印件一致性、年检有效期等信息。</w:t>
      </w:r>
    </w:p>
    <w:p w:rsidR="00FC3217" w:rsidRDefault="00FC3217" w:rsidP="00FC3217">
      <w:pPr>
        <w:ind w:firstLineChars="200" w:firstLine="560"/>
        <w:rPr>
          <w:rFonts w:ascii="仿宋_GB2312" w:eastAsia="仿宋_GB2312" w:hAnsi="宋体" w:cs="仿宋_GB2312"/>
          <w:bCs/>
          <w:color w:val="000000"/>
          <w:kern w:val="0"/>
          <w:sz w:val="28"/>
          <w:szCs w:val="28"/>
        </w:rPr>
      </w:pPr>
      <w:r>
        <w:rPr>
          <w:rFonts w:ascii="仿宋_GB2312" w:eastAsia="仿宋_GB2312" w:hAnsi="宋体" w:cs="仿宋_GB2312" w:hint="eastAsia"/>
          <w:bCs/>
          <w:color w:val="000000"/>
          <w:kern w:val="0"/>
          <w:sz w:val="28"/>
          <w:szCs w:val="28"/>
        </w:rPr>
        <w:t>2.2核对机构投资者经办人身份信息和业务授权等材料。</w:t>
      </w:r>
    </w:p>
    <w:p w:rsidR="00FC3217" w:rsidRDefault="00FC3217" w:rsidP="00FC3217">
      <w:pPr>
        <w:ind w:firstLineChars="200" w:firstLine="560"/>
        <w:rPr>
          <w:rFonts w:ascii="仿宋_GB2312" w:eastAsia="仿宋_GB2312" w:hAnsi="宋体" w:cs="仿宋_GB2312"/>
          <w:bCs/>
          <w:color w:val="000000"/>
          <w:kern w:val="0"/>
          <w:sz w:val="28"/>
          <w:szCs w:val="28"/>
        </w:rPr>
      </w:pPr>
      <w:r>
        <w:rPr>
          <w:rFonts w:ascii="仿宋_GB2312" w:eastAsia="仿宋_GB2312" w:hAnsi="宋体" w:cs="仿宋_GB2312" w:hint="eastAsia"/>
          <w:bCs/>
          <w:color w:val="000000"/>
          <w:kern w:val="0"/>
          <w:sz w:val="28"/>
          <w:szCs w:val="28"/>
        </w:rPr>
        <w:t>2.3核对上海证券交易所Ａ股证券账户：</w:t>
      </w:r>
    </w:p>
    <w:p w:rsidR="00FC3217" w:rsidRDefault="00FC3217" w:rsidP="00FC3217">
      <w:pPr>
        <w:ind w:firstLineChars="200" w:firstLine="560"/>
        <w:rPr>
          <w:rFonts w:ascii="仿宋_GB2312" w:eastAsia="仿宋_GB2312" w:hAnsi="宋体" w:cs="仿宋_GB2312"/>
          <w:bCs/>
          <w:color w:val="000000"/>
          <w:kern w:val="0"/>
          <w:sz w:val="28"/>
          <w:szCs w:val="28"/>
        </w:rPr>
      </w:pPr>
      <w:r>
        <w:rPr>
          <w:rFonts w:ascii="仿宋_GB2312" w:eastAsia="仿宋_GB2312" w:hAnsi="宋体" w:cs="仿宋_GB2312" w:hint="eastAsia"/>
          <w:bCs/>
          <w:color w:val="000000"/>
          <w:kern w:val="0"/>
          <w:sz w:val="28"/>
          <w:szCs w:val="28"/>
        </w:rPr>
        <w:t>(1)若在本公司已有A股账户，核对通过；</w:t>
      </w:r>
    </w:p>
    <w:p w:rsidR="00FC3217" w:rsidRDefault="00FC3217" w:rsidP="00FC3217">
      <w:pPr>
        <w:ind w:firstLineChars="200" w:firstLine="560"/>
        <w:rPr>
          <w:rFonts w:ascii="仿宋_GB2312" w:eastAsia="仿宋_GB2312" w:hAnsi="宋体" w:cs="仿宋_GB2312"/>
          <w:bCs/>
          <w:color w:val="000000"/>
          <w:kern w:val="0"/>
          <w:sz w:val="28"/>
          <w:szCs w:val="28"/>
        </w:rPr>
      </w:pPr>
      <w:r>
        <w:rPr>
          <w:rFonts w:ascii="仿宋_GB2312" w:eastAsia="仿宋_GB2312" w:hAnsi="宋体" w:cs="仿宋_GB2312" w:hint="eastAsia"/>
          <w:bCs/>
          <w:color w:val="000000"/>
          <w:kern w:val="0"/>
          <w:sz w:val="28"/>
          <w:szCs w:val="28"/>
        </w:rPr>
        <w:t>(2)若无本公司A股账户，需首先开立A股账户。</w:t>
      </w:r>
    </w:p>
    <w:p w:rsidR="00FC3217" w:rsidRDefault="00FC3217" w:rsidP="00FC3217">
      <w:pPr>
        <w:ind w:firstLineChars="200" w:firstLine="560"/>
        <w:rPr>
          <w:rFonts w:ascii="仿宋_GB2312" w:eastAsia="仿宋_GB2312" w:hAnsi="宋体" w:cs="仿宋_GB2312"/>
          <w:bCs/>
          <w:color w:val="000000"/>
          <w:kern w:val="0"/>
          <w:sz w:val="28"/>
          <w:szCs w:val="28"/>
        </w:rPr>
      </w:pPr>
      <w:r>
        <w:rPr>
          <w:rFonts w:ascii="仿宋_GB2312" w:eastAsia="仿宋_GB2312" w:hAnsi="宋体" w:cs="仿宋_GB2312" w:hint="eastAsia"/>
          <w:bCs/>
          <w:color w:val="000000"/>
          <w:kern w:val="0"/>
          <w:sz w:val="28"/>
          <w:szCs w:val="28"/>
        </w:rPr>
        <w:t>2.4核对托管资产。</w:t>
      </w:r>
    </w:p>
    <w:p w:rsidR="00FC3217" w:rsidRDefault="00FC3217" w:rsidP="00FC3217">
      <w:pPr>
        <w:ind w:firstLineChars="200" w:firstLine="560"/>
        <w:rPr>
          <w:rFonts w:ascii="仿宋_GB2312" w:eastAsia="仿宋_GB2312" w:hAnsi="宋体" w:cs="仿宋_GB2312"/>
          <w:bCs/>
          <w:color w:val="000000"/>
          <w:kern w:val="0"/>
          <w:sz w:val="28"/>
          <w:szCs w:val="28"/>
        </w:rPr>
      </w:pPr>
      <w:r>
        <w:rPr>
          <w:rFonts w:ascii="仿宋_GB2312" w:eastAsia="仿宋_GB2312" w:hAnsi="宋体" w:cs="仿宋_GB2312" w:hint="eastAsia"/>
          <w:bCs/>
          <w:color w:val="000000"/>
          <w:kern w:val="0"/>
          <w:sz w:val="28"/>
          <w:szCs w:val="28"/>
        </w:rPr>
        <w:t>2.5核对相关业务人员的模拟交易经历。</w:t>
      </w:r>
    </w:p>
    <w:p w:rsidR="00FC3217" w:rsidRDefault="00FC3217" w:rsidP="00FC3217">
      <w:pPr>
        <w:ind w:firstLineChars="200" w:firstLine="560"/>
        <w:rPr>
          <w:rFonts w:ascii="仿宋_GB2312" w:eastAsia="仿宋_GB2312" w:hAnsi="宋体" w:cs="仿宋_GB2312"/>
          <w:bCs/>
          <w:color w:val="000000"/>
          <w:kern w:val="0"/>
          <w:sz w:val="28"/>
          <w:szCs w:val="28"/>
        </w:rPr>
      </w:pPr>
      <w:r>
        <w:rPr>
          <w:rFonts w:ascii="仿宋_GB2312" w:eastAsia="仿宋_GB2312" w:hAnsi="宋体" w:cs="仿宋_GB2312" w:hint="eastAsia"/>
          <w:bCs/>
          <w:color w:val="000000"/>
          <w:kern w:val="0"/>
          <w:sz w:val="28"/>
          <w:szCs w:val="28"/>
        </w:rPr>
        <w:t>2.6核对相关业务人员的知识测试成绩。</w:t>
      </w:r>
    </w:p>
    <w:p w:rsidR="00FC3217" w:rsidRDefault="00FC3217" w:rsidP="00FC3217">
      <w:pPr>
        <w:ind w:firstLineChars="200" w:firstLine="560"/>
        <w:rPr>
          <w:rFonts w:ascii="仿宋_GB2312" w:eastAsia="仿宋_GB2312" w:hAnsi="宋体" w:cs="仿宋_GB2312"/>
          <w:bCs/>
          <w:color w:val="000000"/>
          <w:kern w:val="0"/>
          <w:sz w:val="28"/>
          <w:szCs w:val="28"/>
        </w:rPr>
      </w:pPr>
      <w:r>
        <w:rPr>
          <w:rFonts w:ascii="仿宋_GB2312" w:eastAsia="仿宋_GB2312" w:hAnsi="宋体" w:cs="仿宋_GB2312" w:hint="eastAsia"/>
          <w:bCs/>
          <w:color w:val="000000"/>
          <w:kern w:val="0"/>
          <w:sz w:val="28"/>
          <w:szCs w:val="28"/>
        </w:rPr>
        <w:t>2.7审核其他相关信息。</w:t>
      </w:r>
    </w:p>
    <w:p w:rsidR="00FC3217" w:rsidRDefault="00FC3217" w:rsidP="00FC3217">
      <w:pPr>
        <w:ind w:firstLineChars="200" w:firstLine="560"/>
        <w:rPr>
          <w:rFonts w:ascii="仿宋_GB2312" w:eastAsia="仿宋_GB2312" w:hAnsi="宋体" w:cs="仿宋_GB2312"/>
          <w:bCs/>
          <w:color w:val="000000"/>
          <w:kern w:val="0"/>
          <w:sz w:val="28"/>
          <w:szCs w:val="28"/>
        </w:rPr>
      </w:pPr>
    </w:p>
    <w:p w:rsidR="00FC3217" w:rsidRDefault="00FC3217" w:rsidP="00FC3217">
      <w:pPr>
        <w:ind w:firstLineChars="200" w:firstLine="562"/>
        <w:rPr>
          <w:rFonts w:ascii="仿宋_GB2312" w:eastAsia="仿宋_GB2312" w:hAnsi="宋体" w:cs="仿宋_GB2312"/>
          <w:b/>
          <w:color w:val="000000"/>
          <w:kern w:val="0"/>
          <w:sz w:val="28"/>
          <w:szCs w:val="28"/>
        </w:rPr>
      </w:pPr>
      <w:r>
        <w:rPr>
          <w:rFonts w:ascii="仿宋_GB2312" w:eastAsia="仿宋_GB2312" w:hAnsi="宋体" w:cs="仿宋_GB2312" w:hint="eastAsia"/>
          <w:b/>
          <w:color w:val="000000"/>
          <w:kern w:val="0"/>
          <w:sz w:val="28"/>
          <w:szCs w:val="28"/>
        </w:rPr>
        <w:t>3、专业机构投资者资格初审</w:t>
      </w:r>
    </w:p>
    <w:p w:rsidR="00FC3217" w:rsidRDefault="00FC3217" w:rsidP="00FC3217">
      <w:pPr>
        <w:ind w:firstLineChars="200" w:firstLine="560"/>
        <w:rPr>
          <w:rFonts w:ascii="仿宋_GB2312" w:eastAsia="仿宋_GB2312" w:hAnsi="宋体" w:cs="仿宋_GB2312"/>
          <w:bCs/>
          <w:color w:val="000000"/>
          <w:kern w:val="0"/>
          <w:sz w:val="28"/>
          <w:szCs w:val="28"/>
        </w:rPr>
      </w:pPr>
      <w:r>
        <w:rPr>
          <w:rFonts w:ascii="仿宋_GB2312" w:eastAsia="仿宋_GB2312" w:hAnsi="宋体" w:cs="仿宋_GB2312" w:hint="eastAsia"/>
          <w:bCs/>
          <w:color w:val="000000"/>
          <w:kern w:val="0"/>
          <w:sz w:val="28"/>
          <w:szCs w:val="28"/>
        </w:rPr>
        <w:t>3.1核对相关监管机构出具的成立备案文件。</w:t>
      </w:r>
    </w:p>
    <w:p w:rsidR="00FC3217" w:rsidRDefault="00FC3217" w:rsidP="00FC3217">
      <w:pPr>
        <w:ind w:firstLineChars="200" w:firstLine="560"/>
        <w:rPr>
          <w:rFonts w:ascii="仿宋_GB2312" w:eastAsia="仿宋_GB2312" w:hAnsi="宋体" w:cs="仿宋_GB2312"/>
          <w:bCs/>
          <w:color w:val="000000"/>
          <w:kern w:val="0"/>
          <w:sz w:val="28"/>
          <w:szCs w:val="28"/>
        </w:rPr>
      </w:pPr>
      <w:r>
        <w:rPr>
          <w:rFonts w:ascii="仿宋_GB2312" w:eastAsia="仿宋_GB2312" w:hAnsi="宋体" w:cs="仿宋_GB2312" w:hint="eastAsia"/>
          <w:bCs/>
          <w:color w:val="000000"/>
          <w:kern w:val="0"/>
          <w:sz w:val="28"/>
          <w:szCs w:val="28"/>
        </w:rPr>
        <w:t>3.2核对机构法人证明文件：原件与复印件一致性、年检有效期等信息。</w:t>
      </w:r>
    </w:p>
    <w:p w:rsidR="00FC3217" w:rsidRDefault="00FC3217" w:rsidP="00FC3217">
      <w:pPr>
        <w:ind w:firstLineChars="200" w:firstLine="560"/>
        <w:rPr>
          <w:rFonts w:ascii="仿宋_GB2312" w:eastAsia="仿宋_GB2312" w:hAnsi="宋体" w:cs="仿宋_GB2312"/>
          <w:bCs/>
          <w:color w:val="000000"/>
          <w:kern w:val="0"/>
          <w:sz w:val="28"/>
          <w:szCs w:val="28"/>
        </w:rPr>
      </w:pPr>
      <w:r>
        <w:rPr>
          <w:rFonts w:ascii="仿宋_GB2312" w:eastAsia="仿宋_GB2312" w:hAnsi="宋体" w:cs="仿宋_GB2312" w:hint="eastAsia"/>
          <w:bCs/>
          <w:color w:val="000000"/>
          <w:kern w:val="0"/>
          <w:sz w:val="28"/>
          <w:szCs w:val="28"/>
        </w:rPr>
        <w:t>3.3核对机构投资者经办人身份信息和业务授权等材料。</w:t>
      </w:r>
    </w:p>
    <w:p w:rsidR="00FC3217" w:rsidRDefault="00FC3217" w:rsidP="00FC3217">
      <w:pPr>
        <w:ind w:firstLineChars="200" w:firstLine="560"/>
        <w:rPr>
          <w:rFonts w:ascii="仿宋_GB2312" w:eastAsia="仿宋_GB2312" w:hAnsi="宋体" w:cs="仿宋_GB2312"/>
          <w:bCs/>
          <w:color w:val="000000"/>
          <w:kern w:val="0"/>
          <w:sz w:val="28"/>
          <w:szCs w:val="28"/>
        </w:rPr>
      </w:pPr>
      <w:r>
        <w:rPr>
          <w:rFonts w:ascii="仿宋_GB2312" w:eastAsia="仿宋_GB2312" w:hAnsi="宋体" w:cs="仿宋_GB2312" w:hint="eastAsia"/>
          <w:bCs/>
          <w:color w:val="000000"/>
          <w:kern w:val="0"/>
          <w:sz w:val="28"/>
          <w:szCs w:val="28"/>
        </w:rPr>
        <w:t>3.4核对上海证券交易所Ａ股证券账户：</w:t>
      </w:r>
    </w:p>
    <w:p w:rsidR="00FC3217" w:rsidRDefault="00FC3217" w:rsidP="00FC3217">
      <w:pPr>
        <w:ind w:firstLineChars="200" w:firstLine="560"/>
        <w:rPr>
          <w:rFonts w:ascii="仿宋_GB2312" w:eastAsia="仿宋_GB2312" w:hAnsi="宋体" w:cs="仿宋_GB2312"/>
          <w:bCs/>
          <w:color w:val="000000"/>
          <w:kern w:val="0"/>
          <w:sz w:val="28"/>
          <w:szCs w:val="28"/>
        </w:rPr>
      </w:pPr>
      <w:r>
        <w:rPr>
          <w:rFonts w:ascii="仿宋_GB2312" w:eastAsia="仿宋_GB2312" w:hAnsi="宋体" w:cs="仿宋_GB2312"/>
          <w:bCs/>
          <w:color w:val="000000"/>
          <w:kern w:val="0"/>
          <w:sz w:val="28"/>
          <w:szCs w:val="28"/>
        </w:rPr>
        <w:t>采用托管人结算模式</w:t>
      </w:r>
      <w:r>
        <w:rPr>
          <w:rFonts w:ascii="仿宋_GB2312" w:eastAsia="仿宋_GB2312" w:hAnsi="宋体" w:cs="仿宋_GB2312" w:hint="eastAsia"/>
          <w:bCs/>
          <w:color w:val="000000"/>
          <w:kern w:val="0"/>
          <w:sz w:val="28"/>
          <w:szCs w:val="28"/>
        </w:rPr>
        <w:t>特殊机构和</w:t>
      </w:r>
      <w:r>
        <w:rPr>
          <w:rFonts w:ascii="仿宋_GB2312" w:eastAsia="仿宋_GB2312" w:hAnsi="宋体" w:cs="仿宋_GB2312"/>
          <w:bCs/>
          <w:color w:val="000000"/>
          <w:kern w:val="0"/>
          <w:sz w:val="28"/>
          <w:szCs w:val="28"/>
        </w:rPr>
        <w:t>产品，</w:t>
      </w:r>
      <w:r>
        <w:rPr>
          <w:rFonts w:ascii="仿宋_GB2312" w:eastAsia="仿宋_GB2312" w:hAnsi="宋体" w:cs="仿宋_GB2312" w:hint="eastAsia"/>
          <w:bCs/>
          <w:color w:val="000000"/>
          <w:kern w:val="0"/>
          <w:sz w:val="28"/>
          <w:szCs w:val="28"/>
        </w:rPr>
        <w:t>如需参加期权交易，</w:t>
      </w:r>
      <w:r>
        <w:rPr>
          <w:rFonts w:ascii="仿宋_GB2312" w:eastAsia="仿宋_GB2312" w:hAnsi="宋体" w:cs="仿宋_GB2312"/>
          <w:bCs/>
          <w:color w:val="000000"/>
          <w:kern w:val="0"/>
          <w:sz w:val="28"/>
          <w:szCs w:val="28"/>
        </w:rPr>
        <w:t>应当按照现有证券账户开立方式向中国结算申请新开立一个普通证券账户，并将该证券账户指定交易在</w:t>
      </w:r>
      <w:r>
        <w:rPr>
          <w:rFonts w:ascii="仿宋_GB2312" w:eastAsia="仿宋_GB2312" w:hAnsi="宋体" w:cs="仿宋_GB2312" w:hint="eastAsia"/>
          <w:bCs/>
          <w:color w:val="000000"/>
          <w:kern w:val="0"/>
          <w:sz w:val="28"/>
          <w:szCs w:val="28"/>
        </w:rPr>
        <w:t>开户期货</w:t>
      </w:r>
      <w:r>
        <w:rPr>
          <w:rFonts w:ascii="仿宋_GB2312" w:eastAsia="仿宋_GB2312" w:hAnsi="宋体" w:cs="仿宋_GB2312"/>
          <w:bCs/>
          <w:color w:val="000000"/>
          <w:kern w:val="0"/>
          <w:sz w:val="28"/>
          <w:szCs w:val="28"/>
        </w:rPr>
        <w:t>公司，</w:t>
      </w:r>
      <w:r>
        <w:rPr>
          <w:rFonts w:ascii="仿宋_GB2312" w:eastAsia="仿宋_GB2312" w:hAnsi="宋体" w:cs="仿宋_GB2312" w:hint="eastAsia"/>
          <w:bCs/>
          <w:color w:val="000000"/>
          <w:kern w:val="0"/>
          <w:sz w:val="28"/>
          <w:szCs w:val="28"/>
        </w:rPr>
        <w:t>由期货公司为其进行</w:t>
      </w:r>
      <w:r>
        <w:rPr>
          <w:rFonts w:ascii="仿宋_GB2312" w:eastAsia="仿宋_GB2312" w:hAnsi="宋体" w:cs="仿宋_GB2312"/>
          <w:bCs/>
          <w:color w:val="000000"/>
          <w:kern w:val="0"/>
          <w:sz w:val="28"/>
          <w:szCs w:val="28"/>
        </w:rPr>
        <w:lastRenderedPageBreak/>
        <w:t>衍生品合约账户</w:t>
      </w:r>
      <w:r>
        <w:rPr>
          <w:rFonts w:ascii="仿宋_GB2312" w:eastAsia="仿宋_GB2312" w:hAnsi="宋体" w:cs="仿宋_GB2312" w:hint="eastAsia"/>
          <w:bCs/>
          <w:color w:val="000000"/>
          <w:kern w:val="0"/>
          <w:sz w:val="28"/>
          <w:szCs w:val="28"/>
        </w:rPr>
        <w:t>配号。</w:t>
      </w:r>
    </w:p>
    <w:p w:rsidR="00FC3217" w:rsidRDefault="00FC3217" w:rsidP="00FC3217">
      <w:pPr>
        <w:ind w:firstLineChars="200" w:firstLine="560"/>
        <w:rPr>
          <w:rFonts w:ascii="仿宋_GB2312" w:eastAsia="仿宋_GB2312" w:hAnsi="宋体" w:cs="仿宋_GB2312"/>
          <w:bCs/>
          <w:color w:val="000000"/>
          <w:kern w:val="0"/>
          <w:sz w:val="28"/>
          <w:szCs w:val="28"/>
        </w:rPr>
      </w:pPr>
      <w:r>
        <w:rPr>
          <w:rFonts w:ascii="仿宋_GB2312" w:eastAsia="仿宋_GB2312" w:hAnsi="宋体" w:cs="仿宋_GB2312" w:hint="eastAsia"/>
          <w:bCs/>
          <w:color w:val="000000"/>
          <w:kern w:val="0"/>
          <w:sz w:val="28"/>
          <w:szCs w:val="28"/>
        </w:rPr>
        <w:t>(1)若在本公司已有A股账户，核对通过；</w:t>
      </w:r>
    </w:p>
    <w:p w:rsidR="00FC3217" w:rsidRDefault="00FC3217" w:rsidP="00FC3217">
      <w:pPr>
        <w:ind w:firstLineChars="200" w:firstLine="560"/>
        <w:rPr>
          <w:rFonts w:ascii="仿宋_GB2312" w:eastAsia="仿宋_GB2312" w:hAnsi="宋体" w:cs="仿宋_GB2312"/>
          <w:bCs/>
          <w:color w:val="000000"/>
          <w:kern w:val="0"/>
          <w:sz w:val="28"/>
          <w:szCs w:val="28"/>
        </w:rPr>
      </w:pPr>
      <w:r>
        <w:rPr>
          <w:rFonts w:ascii="仿宋_GB2312" w:eastAsia="仿宋_GB2312" w:hAnsi="宋体" w:cs="仿宋_GB2312" w:hint="eastAsia"/>
          <w:bCs/>
          <w:color w:val="000000"/>
          <w:kern w:val="0"/>
          <w:sz w:val="28"/>
          <w:szCs w:val="28"/>
        </w:rPr>
        <w:t>(2)若无本公司A股账户，需首先开立A股账户。</w:t>
      </w:r>
    </w:p>
    <w:p w:rsidR="00FC3217" w:rsidRDefault="00FC3217" w:rsidP="00FC3217">
      <w:pPr>
        <w:ind w:firstLineChars="200" w:firstLine="560"/>
        <w:rPr>
          <w:rFonts w:ascii="仿宋_GB2312" w:eastAsia="仿宋_GB2312" w:hAnsi="宋体" w:cs="仿宋_GB2312"/>
          <w:bCs/>
          <w:color w:val="000000"/>
          <w:kern w:val="0"/>
          <w:sz w:val="28"/>
          <w:szCs w:val="28"/>
        </w:rPr>
      </w:pPr>
    </w:p>
    <w:p w:rsidR="00FC3217" w:rsidRDefault="00FC3217" w:rsidP="00FC3217">
      <w:pPr>
        <w:ind w:firstLineChars="200" w:firstLine="562"/>
        <w:rPr>
          <w:rFonts w:ascii="仿宋_GB2312" w:eastAsia="仿宋_GB2312" w:hAnsi="宋体" w:cs="仿宋_GB2312"/>
          <w:b/>
          <w:color w:val="000000"/>
          <w:kern w:val="0"/>
          <w:sz w:val="28"/>
          <w:szCs w:val="28"/>
        </w:rPr>
      </w:pPr>
      <w:r>
        <w:rPr>
          <w:rFonts w:ascii="仿宋_GB2312" w:eastAsia="仿宋_GB2312" w:hAnsi="宋体" w:cs="仿宋_GB2312" w:hint="eastAsia"/>
          <w:b/>
          <w:color w:val="000000"/>
          <w:kern w:val="0"/>
          <w:sz w:val="28"/>
          <w:szCs w:val="28"/>
        </w:rPr>
        <w:t>4、开户程序</w:t>
      </w:r>
    </w:p>
    <w:p w:rsidR="00FC3217" w:rsidRDefault="00FC3217" w:rsidP="00FC3217">
      <w:pPr>
        <w:ind w:firstLineChars="200" w:firstLine="560"/>
        <w:jc w:val="left"/>
        <w:rPr>
          <w:rFonts w:ascii="仿宋_GB2312" w:eastAsia="仿宋_GB2312" w:hAnsi="宋体"/>
          <w:color w:val="000000"/>
          <w:kern w:val="0"/>
          <w:sz w:val="28"/>
          <w:szCs w:val="28"/>
        </w:rPr>
      </w:pPr>
      <w:r>
        <w:rPr>
          <w:rFonts w:ascii="仿宋_GB2312" w:eastAsia="仿宋_GB2312" w:hAnsi="宋体" w:cs="仿宋_GB2312" w:hint="eastAsia"/>
          <w:bCs/>
          <w:color w:val="000000"/>
          <w:kern w:val="0"/>
          <w:sz w:val="28"/>
          <w:szCs w:val="28"/>
        </w:rPr>
        <w:t>4.1普通机构投资者签署风险揭示书。</w:t>
      </w:r>
      <w:r>
        <w:rPr>
          <w:rFonts w:ascii="仿宋_GB2312" w:eastAsia="仿宋_GB2312" w:hAnsi="宋体" w:hint="eastAsia"/>
          <w:color w:val="000000"/>
          <w:kern w:val="0"/>
          <w:sz w:val="28"/>
          <w:szCs w:val="28"/>
        </w:rPr>
        <w:t>开户人按风险揭示书要求抄写或朗读承诺并签名，期货公司对开户人抄写或朗读承诺文字的过程进行拍照或录像存档。</w:t>
      </w:r>
    </w:p>
    <w:p w:rsidR="00FC3217" w:rsidRDefault="00FC3217" w:rsidP="00FC3217">
      <w:pPr>
        <w:ind w:firstLineChars="200" w:firstLine="560"/>
        <w:rPr>
          <w:rFonts w:ascii="仿宋_GB2312" w:eastAsia="仿宋_GB2312" w:hAnsi="宋体" w:cs="仿宋_GB2312"/>
          <w:bCs/>
          <w:color w:val="000000"/>
          <w:kern w:val="0"/>
          <w:sz w:val="28"/>
          <w:szCs w:val="28"/>
        </w:rPr>
      </w:pPr>
      <w:r>
        <w:rPr>
          <w:rFonts w:ascii="仿宋_GB2312" w:eastAsia="仿宋_GB2312" w:hAnsi="宋体" w:cs="仿宋_GB2312" w:hint="eastAsia"/>
          <w:bCs/>
          <w:color w:val="000000"/>
          <w:kern w:val="0"/>
          <w:sz w:val="28"/>
          <w:szCs w:val="28"/>
        </w:rPr>
        <w:t>4.2机构投资者签署经纪合同。</w:t>
      </w:r>
    </w:p>
    <w:p w:rsidR="00FC3217" w:rsidRDefault="00FC3217" w:rsidP="00FC3217">
      <w:pPr>
        <w:ind w:firstLineChars="200" w:firstLine="560"/>
        <w:rPr>
          <w:rFonts w:ascii="仿宋_GB2312" w:eastAsia="仿宋_GB2312" w:hAnsi="宋体" w:cs="仿宋_GB2312"/>
          <w:bCs/>
          <w:color w:val="000000"/>
          <w:kern w:val="0"/>
          <w:sz w:val="28"/>
          <w:szCs w:val="28"/>
        </w:rPr>
      </w:pPr>
      <w:r>
        <w:rPr>
          <w:rFonts w:ascii="仿宋_GB2312" w:eastAsia="仿宋_GB2312" w:hAnsi="宋体" w:cs="仿宋_GB2312" w:hint="eastAsia"/>
          <w:bCs/>
          <w:color w:val="000000"/>
          <w:kern w:val="0"/>
          <w:sz w:val="28"/>
          <w:szCs w:val="28"/>
        </w:rPr>
        <w:t>4.3公司总部审核。</w:t>
      </w:r>
    </w:p>
    <w:p w:rsidR="00FC3217" w:rsidRDefault="00FC3217" w:rsidP="00FC3217">
      <w:pPr>
        <w:ind w:firstLineChars="200" w:firstLine="560"/>
        <w:rPr>
          <w:rFonts w:ascii="仿宋_GB2312" w:eastAsia="仿宋_GB2312" w:hAnsi="宋体" w:cs="仿宋_GB2312"/>
          <w:bCs/>
          <w:color w:val="000000"/>
          <w:kern w:val="0"/>
          <w:sz w:val="28"/>
          <w:szCs w:val="28"/>
        </w:rPr>
      </w:pPr>
      <w:r>
        <w:rPr>
          <w:rFonts w:ascii="仿宋_GB2312" w:eastAsia="仿宋_GB2312" w:hAnsi="宋体" w:cs="仿宋_GB2312" w:hint="eastAsia"/>
          <w:bCs/>
          <w:color w:val="000000"/>
          <w:kern w:val="0"/>
          <w:sz w:val="28"/>
          <w:szCs w:val="28"/>
        </w:rPr>
        <w:t>4.4审核与开户结果反馈，通知客户办理银衍签约。</w:t>
      </w:r>
    </w:p>
    <w:p w:rsidR="00FC3217" w:rsidRDefault="00FC3217" w:rsidP="00FC3217">
      <w:pPr>
        <w:ind w:firstLineChars="200" w:firstLine="560"/>
        <w:rPr>
          <w:rFonts w:ascii="仿宋_GB2312" w:eastAsia="仿宋_GB2312" w:hAnsi="宋体" w:cs="仿宋_GB2312"/>
          <w:bCs/>
          <w:color w:val="000000"/>
          <w:kern w:val="0"/>
          <w:sz w:val="28"/>
          <w:szCs w:val="28"/>
        </w:rPr>
      </w:pPr>
    </w:p>
    <w:p w:rsidR="00FC3217" w:rsidRDefault="00FC3217" w:rsidP="00FC3217">
      <w:pPr>
        <w:ind w:firstLineChars="200" w:firstLine="562"/>
        <w:rPr>
          <w:rFonts w:ascii="仿宋_GB2312" w:eastAsia="仿宋_GB2312" w:hAnsi="宋体" w:cs="仿宋_GB2312"/>
          <w:b/>
          <w:color w:val="000000"/>
          <w:kern w:val="0"/>
          <w:sz w:val="28"/>
          <w:szCs w:val="28"/>
        </w:rPr>
      </w:pPr>
      <w:r>
        <w:rPr>
          <w:rFonts w:ascii="仿宋_GB2312" w:eastAsia="仿宋_GB2312" w:hAnsi="宋体" w:cs="仿宋_GB2312" w:hint="eastAsia"/>
          <w:b/>
          <w:color w:val="000000"/>
          <w:kern w:val="0"/>
          <w:sz w:val="28"/>
          <w:szCs w:val="28"/>
        </w:rPr>
        <w:t>（三）客户开立多个衍生品账户</w:t>
      </w:r>
    </w:p>
    <w:p w:rsidR="00FC3217" w:rsidRDefault="00FC3217" w:rsidP="00FC3217">
      <w:pPr>
        <w:ind w:firstLineChars="200" w:firstLine="560"/>
        <w:rPr>
          <w:rFonts w:ascii="仿宋_GB2312" w:eastAsia="仿宋_GB2312" w:hAnsi="宋体" w:cs="仿宋_GB2312"/>
          <w:bCs/>
          <w:color w:val="000000"/>
          <w:kern w:val="0"/>
          <w:sz w:val="28"/>
          <w:szCs w:val="28"/>
        </w:rPr>
      </w:pPr>
      <w:r>
        <w:rPr>
          <w:rFonts w:ascii="仿宋_GB2312" w:eastAsia="仿宋_GB2312" w:hAnsi="宋体" w:cs="仿宋_GB2312" w:hint="eastAsia"/>
          <w:bCs/>
          <w:color w:val="000000"/>
          <w:kern w:val="0"/>
          <w:sz w:val="28"/>
          <w:szCs w:val="28"/>
        </w:rPr>
        <w:t>符合股票期权投资者适当性管理相关要求的投资者（含个人投资者、机构投资者以及期权经营机构自营业务），可以同时开立最多五个合约账户进行股票期权交易。根据衍生品合约账户与证券账户一一对应的原则，个人和机构投资者（不含自营）在一家期权经营机构只能开立一个合约账户。</w:t>
      </w:r>
    </w:p>
    <w:p w:rsidR="00FC3217" w:rsidRDefault="00FC3217" w:rsidP="00FC3217">
      <w:pPr>
        <w:ind w:firstLineChars="200" w:firstLine="560"/>
        <w:rPr>
          <w:rFonts w:ascii="仿宋_GB2312" w:eastAsia="仿宋_GB2312" w:hAnsi="宋体" w:cs="仿宋_GB2312"/>
          <w:bCs/>
          <w:color w:val="000000"/>
          <w:kern w:val="0"/>
          <w:sz w:val="28"/>
          <w:szCs w:val="28"/>
        </w:rPr>
      </w:pPr>
      <w:r>
        <w:rPr>
          <w:rFonts w:ascii="仿宋_GB2312" w:eastAsia="仿宋_GB2312" w:hAnsi="宋体" w:cs="仿宋_GB2312" w:hint="eastAsia"/>
          <w:bCs/>
          <w:color w:val="000000"/>
          <w:kern w:val="0"/>
          <w:sz w:val="28"/>
          <w:szCs w:val="28"/>
        </w:rPr>
        <w:t>投资者开立非首个期权合约账户时，在提供已开立的首个合约账户相关凭证或交易记录的情况下，只需执行以下投资者适当性评估要求，无需再对投资者的交易经历、知识测试成绩、期权模拟交易经历进行核查：</w:t>
      </w:r>
    </w:p>
    <w:p w:rsidR="00FC3217" w:rsidRDefault="00FC3217" w:rsidP="00FC3217">
      <w:pPr>
        <w:ind w:firstLineChars="202" w:firstLine="566"/>
        <w:rPr>
          <w:rFonts w:ascii="仿宋_GB2312" w:eastAsia="仿宋_GB2312" w:hAnsi="宋体" w:cs="仿宋_GB2312"/>
          <w:bCs/>
          <w:color w:val="000000"/>
          <w:kern w:val="0"/>
          <w:sz w:val="28"/>
          <w:szCs w:val="28"/>
        </w:rPr>
      </w:pPr>
      <w:r>
        <w:rPr>
          <w:rFonts w:ascii="仿宋_GB2312" w:eastAsia="仿宋_GB2312" w:hAnsi="宋体" w:cs="仿宋_GB2312" w:hint="eastAsia"/>
          <w:bCs/>
          <w:color w:val="000000"/>
          <w:kern w:val="0"/>
          <w:sz w:val="28"/>
          <w:szCs w:val="28"/>
        </w:rPr>
        <w:lastRenderedPageBreak/>
        <w:t xml:space="preserve">  1、个人投资者</w:t>
      </w:r>
    </w:p>
    <w:p w:rsidR="00FC3217" w:rsidRDefault="00FC3217" w:rsidP="00FC3217">
      <w:pPr>
        <w:ind w:firstLineChars="202" w:firstLine="566"/>
        <w:rPr>
          <w:rFonts w:ascii="仿宋_GB2312" w:eastAsia="仿宋_GB2312" w:hAnsi="宋体" w:cs="仿宋_GB2312"/>
          <w:bCs/>
          <w:color w:val="000000"/>
          <w:kern w:val="0"/>
          <w:sz w:val="28"/>
          <w:szCs w:val="28"/>
        </w:rPr>
      </w:pPr>
      <w:r>
        <w:rPr>
          <w:rFonts w:ascii="仿宋_GB2312" w:eastAsia="仿宋_GB2312" w:hAnsi="宋体" w:cs="仿宋_GB2312" w:hint="eastAsia"/>
          <w:bCs/>
          <w:color w:val="000000"/>
          <w:kern w:val="0"/>
          <w:sz w:val="28"/>
          <w:szCs w:val="28"/>
        </w:rPr>
        <w:t xml:space="preserve"> （1）</w:t>
      </w:r>
      <w:r>
        <w:rPr>
          <w:rFonts w:ascii="仿宋_GB2312" w:eastAsia="仿宋_GB2312" w:hAnsi="宋体" w:hint="eastAsia"/>
          <w:sz w:val="28"/>
          <w:szCs w:val="28"/>
        </w:rPr>
        <w:t>申请开户时托管在其委托的期权经营机构的证券市值与资金账户可用余额（不含通过融资融券交易融入的资金或证券），合计不低于人民币50万元</w:t>
      </w:r>
      <w:r>
        <w:rPr>
          <w:rFonts w:ascii="仿宋_GB2312" w:eastAsia="仿宋_GB2312" w:hAnsi="宋体" w:cs="仿宋_GB2312" w:hint="eastAsia"/>
          <w:bCs/>
          <w:color w:val="000000"/>
          <w:kern w:val="0"/>
          <w:sz w:val="28"/>
          <w:szCs w:val="28"/>
        </w:rPr>
        <w:t>；</w:t>
      </w:r>
    </w:p>
    <w:p w:rsidR="00FC3217" w:rsidRDefault="00FC3217" w:rsidP="00FC3217">
      <w:pPr>
        <w:ind w:firstLineChars="202" w:firstLine="566"/>
        <w:rPr>
          <w:rFonts w:ascii="仿宋_GB2312" w:eastAsia="仿宋_GB2312" w:hAnsi="宋体" w:cs="仿宋_GB2312"/>
          <w:bCs/>
          <w:color w:val="000000"/>
          <w:kern w:val="0"/>
          <w:sz w:val="28"/>
          <w:szCs w:val="28"/>
        </w:rPr>
      </w:pPr>
      <w:r>
        <w:rPr>
          <w:rFonts w:ascii="仿宋_GB2312" w:eastAsia="仿宋_GB2312" w:hAnsi="宋体" w:cs="仿宋_GB2312" w:hint="eastAsia"/>
          <w:bCs/>
          <w:color w:val="000000"/>
          <w:kern w:val="0"/>
          <w:sz w:val="28"/>
          <w:szCs w:val="28"/>
        </w:rPr>
        <w:t xml:space="preserve"> （2）通过本公司的风险承受能力评估。本公司1年内对该投资者进行过风险评估的，可不重做评估。</w:t>
      </w:r>
    </w:p>
    <w:p w:rsidR="00FC3217" w:rsidRDefault="00FC3217" w:rsidP="00FC3217">
      <w:pPr>
        <w:ind w:firstLineChars="202" w:firstLine="566"/>
        <w:rPr>
          <w:rFonts w:ascii="仿宋_GB2312" w:eastAsia="仿宋_GB2312" w:hAnsi="宋体" w:cs="仿宋_GB2312"/>
          <w:bCs/>
          <w:color w:val="000000"/>
          <w:kern w:val="0"/>
          <w:sz w:val="28"/>
          <w:szCs w:val="28"/>
        </w:rPr>
      </w:pPr>
      <w:r>
        <w:rPr>
          <w:rFonts w:ascii="仿宋_GB2312" w:eastAsia="仿宋_GB2312" w:hAnsi="宋体" w:cs="仿宋_GB2312" w:hint="eastAsia"/>
          <w:bCs/>
          <w:color w:val="000000"/>
          <w:kern w:val="0"/>
          <w:sz w:val="28"/>
          <w:szCs w:val="28"/>
        </w:rPr>
        <w:t>2、普通机构投资者</w:t>
      </w:r>
    </w:p>
    <w:p w:rsidR="00FC3217" w:rsidRDefault="00FC3217" w:rsidP="00FC3217">
      <w:pPr>
        <w:ind w:firstLineChars="202" w:firstLine="566"/>
        <w:rPr>
          <w:rFonts w:ascii="仿宋_GB2312" w:eastAsia="仿宋_GB2312" w:hAnsi="宋体" w:cs="仿宋_GB2312"/>
          <w:bCs/>
          <w:color w:val="000000"/>
          <w:kern w:val="0"/>
          <w:sz w:val="28"/>
          <w:szCs w:val="28"/>
        </w:rPr>
      </w:pPr>
      <w:r>
        <w:rPr>
          <w:rFonts w:ascii="仿宋_GB2312" w:eastAsia="仿宋_GB2312" w:hAnsi="宋体" w:cs="仿宋_GB2312" w:hint="eastAsia"/>
          <w:bCs/>
          <w:color w:val="000000"/>
          <w:kern w:val="0"/>
          <w:sz w:val="28"/>
          <w:szCs w:val="28"/>
        </w:rPr>
        <w:t>（1）</w:t>
      </w:r>
      <w:r>
        <w:rPr>
          <w:rFonts w:ascii="仿宋_GB2312" w:eastAsia="仿宋_GB2312" w:hAnsi="宋体" w:hint="eastAsia"/>
          <w:sz w:val="28"/>
          <w:szCs w:val="28"/>
        </w:rPr>
        <w:t>申请开户时托管在其委托的期权经营机构的证券市值与资金账户可用余额（不含通过融资融券交易融入的资金或证券），合计不低于人民币</w:t>
      </w:r>
      <w:r>
        <w:rPr>
          <w:rFonts w:ascii="仿宋_GB2312" w:eastAsia="仿宋_GB2312" w:hAnsi="宋体" w:cs="仿宋_GB2312" w:hint="eastAsia"/>
          <w:bCs/>
          <w:color w:val="000000"/>
          <w:kern w:val="0"/>
          <w:sz w:val="28"/>
          <w:szCs w:val="28"/>
        </w:rPr>
        <w:t>100万元；</w:t>
      </w:r>
    </w:p>
    <w:p w:rsidR="00FC3217" w:rsidRDefault="00FC3217" w:rsidP="00FC3217">
      <w:pPr>
        <w:ind w:firstLineChars="202" w:firstLine="566"/>
        <w:rPr>
          <w:rFonts w:ascii="仿宋_GB2312" w:eastAsia="仿宋_GB2312" w:hAnsi="宋体" w:cs="仿宋_GB2312"/>
          <w:b/>
          <w:color w:val="000000"/>
          <w:kern w:val="0"/>
          <w:sz w:val="28"/>
          <w:szCs w:val="28"/>
        </w:rPr>
      </w:pPr>
      <w:r>
        <w:rPr>
          <w:rFonts w:ascii="仿宋_GB2312" w:eastAsia="仿宋_GB2312" w:hAnsi="宋体" w:cs="仿宋_GB2312" w:hint="eastAsia"/>
          <w:bCs/>
          <w:color w:val="000000"/>
          <w:kern w:val="0"/>
          <w:sz w:val="28"/>
          <w:szCs w:val="28"/>
        </w:rPr>
        <w:t>（2）</w:t>
      </w:r>
      <w:r>
        <w:rPr>
          <w:rFonts w:ascii="仿宋_GB2312" w:eastAsia="仿宋_GB2312" w:hint="eastAsia"/>
          <w:color w:val="000000"/>
          <w:sz w:val="28"/>
          <w:szCs w:val="28"/>
        </w:rPr>
        <w:t>上一季度末净资产不低于人民币100万元</w:t>
      </w:r>
      <w:r>
        <w:rPr>
          <w:rFonts w:ascii="仿宋_GB2312" w:eastAsia="仿宋_GB2312" w:hAnsi="宋体" w:hint="eastAsia"/>
          <w:sz w:val="28"/>
          <w:szCs w:val="28"/>
        </w:rPr>
        <w:t>（新成立的机构取最近净资产）</w:t>
      </w:r>
      <w:r>
        <w:rPr>
          <w:rFonts w:ascii="仿宋_GB2312" w:eastAsia="仿宋_GB2312" w:hint="eastAsia"/>
          <w:color w:val="000000"/>
          <w:sz w:val="28"/>
          <w:szCs w:val="28"/>
        </w:rPr>
        <w:t>。</w:t>
      </w:r>
    </w:p>
    <w:p w:rsidR="00FC3217" w:rsidRDefault="00FC3217" w:rsidP="00FC3217">
      <w:pPr>
        <w:ind w:firstLineChars="200" w:firstLine="562"/>
        <w:rPr>
          <w:rFonts w:ascii="仿宋_GB2312" w:eastAsia="仿宋_GB2312" w:cs="仿宋_GB2312"/>
          <w:b/>
          <w:sz w:val="28"/>
          <w:szCs w:val="28"/>
        </w:rPr>
      </w:pPr>
      <w:r>
        <w:rPr>
          <w:rFonts w:ascii="仿宋_GB2312" w:eastAsia="仿宋_GB2312" w:cs="仿宋_GB2312" w:hint="eastAsia"/>
          <w:b/>
          <w:sz w:val="28"/>
          <w:szCs w:val="28"/>
        </w:rPr>
        <w:t>（四）客户资料的修改</w:t>
      </w:r>
    </w:p>
    <w:p w:rsidR="00FC3217" w:rsidRDefault="00FC3217" w:rsidP="00FC3217">
      <w:pPr>
        <w:ind w:firstLineChars="200" w:firstLine="560"/>
        <w:rPr>
          <w:rFonts w:ascii="仿宋_GB2312" w:eastAsia="仿宋_GB2312" w:hAnsi="宋体" w:cs="仿宋_GB2312"/>
          <w:color w:val="000000"/>
          <w:kern w:val="0"/>
          <w:sz w:val="28"/>
          <w:szCs w:val="28"/>
        </w:rPr>
      </w:pPr>
      <w:r>
        <w:rPr>
          <w:rFonts w:ascii="仿宋_GB2312" w:eastAsia="仿宋_GB2312" w:hAnsi="宋体" w:cs="仿宋_GB2312" w:hint="eastAsia"/>
          <w:color w:val="000000"/>
          <w:kern w:val="0"/>
          <w:sz w:val="28"/>
          <w:szCs w:val="28"/>
        </w:rPr>
        <w:t>客户资料修改业务包括客户信息资料修改、交易权限修改、持仓限额修改、密码重置等。账户资料修改应符合相关规定，并留痕。</w:t>
      </w:r>
    </w:p>
    <w:p w:rsidR="00FC3217" w:rsidRDefault="00FC3217" w:rsidP="00FC3217">
      <w:pPr>
        <w:ind w:firstLineChars="200" w:firstLine="560"/>
        <w:rPr>
          <w:rFonts w:ascii="仿宋_GB2312" w:eastAsia="仿宋_GB2312" w:hAnsi="宋体" w:cs="仿宋_GB2312"/>
          <w:color w:val="000000"/>
          <w:kern w:val="0"/>
          <w:sz w:val="28"/>
          <w:szCs w:val="28"/>
        </w:rPr>
      </w:pPr>
      <w:r>
        <w:rPr>
          <w:rFonts w:ascii="仿宋_GB2312" w:eastAsia="仿宋_GB2312" w:hAnsi="宋体" w:cs="仿宋_GB2312" w:hint="eastAsia"/>
          <w:color w:val="000000"/>
          <w:kern w:val="0"/>
          <w:sz w:val="28"/>
          <w:szCs w:val="28"/>
        </w:rPr>
        <w:t>客户信息资料及密码的修改等操作应严格遵循期货公司内部操作流程。客户交易权限及持仓限额的修改，由分支机构进行初步审查、复核后提交至总部审核。</w:t>
      </w:r>
    </w:p>
    <w:p w:rsidR="00FC3217" w:rsidRDefault="00FC3217" w:rsidP="00FC3217">
      <w:pPr>
        <w:ind w:firstLineChars="200" w:firstLine="562"/>
        <w:rPr>
          <w:rFonts w:ascii="仿宋_GB2312" w:eastAsia="仿宋_GB2312" w:cs="仿宋_GB2312"/>
          <w:b/>
          <w:sz w:val="28"/>
          <w:szCs w:val="28"/>
        </w:rPr>
      </w:pPr>
      <w:r>
        <w:rPr>
          <w:rFonts w:ascii="仿宋_GB2312" w:eastAsia="仿宋_GB2312" w:cs="仿宋_GB2312" w:hint="eastAsia"/>
          <w:b/>
          <w:sz w:val="28"/>
          <w:szCs w:val="28"/>
        </w:rPr>
        <w:t>（五）客户衍生品合约账户销户</w:t>
      </w:r>
    </w:p>
    <w:p w:rsidR="00FC3217" w:rsidRDefault="00FC3217" w:rsidP="00FC3217">
      <w:pPr>
        <w:ind w:firstLineChars="200" w:firstLine="560"/>
        <w:jc w:val="left"/>
        <w:rPr>
          <w:rFonts w:ascii="仿宋_GB2312" w:eastAsia="仿宋_GB2312" w:cs="仿宋_GB2312"/>
          <w:sz w:val="28"/>
          <w:szCs w:val="28"/>
        </w:rPr>
      </w:pPr>
      <w:r>
        <w:rPr>
          <w:rFonts w:ascii="仿宋_GB2312" w:eastAsia="仿宋_GB2312" w:hAnsi="宋体" w:cs="仿宋_GB2312" w:hint="eastAsia"/>
          <w:color w:val="000000"/>
          <w:kern w:val="0"/>
          <w:sz w:val="28"/>
          <w:szCs w:val="28"/>
        </w:rPr>
        <w:t>衍生品合约账户销户业务须</w:t>
      </w:r>
      <w:r>
        <w:rPr>
          <w:rFonts w:ascii="仿宋_GB2312" w:eastAsia="仿宋_GB2312" w:cs="仿宋_GB2312" w:hint="eastAsia"/>
          <w:sz w:val="28"/>
          <w:szCs w:val="28"/>
        </w:rPr>
        <w:t>由客户本人按以下顺序办理：</w:t>
      </w:r>
    </w:p>
    <w:p w:rsidR="00FC3217" w:rsidRDefault="00FC3217" w:rsidP="00FC3217">
      <w:pPr>
        <w:ind w:firstLineChars="200" w:firstLine="560"/>
        <w:jc w:val="left"/>
        <w:rPr>
          <w:rFonts w:ascii="仿宋_GB2312" w:eastAsia="仿宋_GB2312" w:hAnsi="宋体" w:cs="仿宋_GB2312"/>
          <w:color w:val="000000"/>
          <w:kern w:val="0"/>
          <w:sz w:val="28"/>
          <w:szCs w:val="28"/>
        </w:rPr>
      </w:pPr>
      <w:r>
        <w:rPr>
          <w:rFonts w:ascii="仿宋_GB2312" w:eastAsia="仿宋_GB2312" w:hAnsi="宋体" w:cs="仿宋_GB2312" w:hint="eastAsia"/>
          <w:color w:val="000000"/>
          <w:kern w:val="0"/>
          <w:sz w:val="28"/>
          <w:szCs w:val="28"/>
        </w:rPr>
        <w:t>1、注销衍生品合约账户；</w:t>
      </w:r>
    </w:p>
    <w:p w:rsidR="00FC3217" w:rsidRDefault="00FC3217" w:rsidP="00FC3217">
      <w:pPr>
        <w:ind w:firstLineChars="200" w:firstLine="560"/>
        <w:jc w:val="left"/>
        <w:rPr>
          <w:rFonts w:ascii="仿宋_GB2312" w:eastAsia="仿宋_GB2312" w:hAnsi="宋体" w:cs="仿宋_GB2312"/>
          <w:color w:val="000000"/>
          <w:kern w:val="0"/>
          <w:sz w:val="28"/>
          <w:szCs w:val="28"/>
        </w:rPr>
      </w:pPr>
      <w:r>
        <w:rPr>
          <w:rFonts w:ascii="仿宋_GB2312" w:eastAsia="仿宋_GB2312" w:hAnsi="宋体" w:cs="仿宋_GB2312" w:hint="eastAsia"/>
          <w:color w:val="000000"/>
          <w:kern w:val="0"/>
          <w:sz w:val="28"/>
          <w:szCs w:val="28"/>
        </w:rPr>
        <w:t>2、撤销银衍转账；</w:t>
      </w:r>
    </w:p>
    <w:p w:rsidR="00FC3217" w:rsidRDefault="00FC3217" w:rsidP="00FC3217">
      <w:pPr>
        <w:ind w:firstLineChars="200" w:firstLine="560"/>
        <w:jc w:val="left"/>
        <w:rPr>
          <w:rFonts w:ascii="仿宋_GB2312" w:eastAsia="仿宋_GB2312" w:hAnsi="宋体" w:cs="仿宋_GB2312"/>
          <w:color w:val="000000"/>
          <w:kern w:val="0"/>
          <w:sz w:val="28"/>
          <w:szCs w:val="28"/>
        </w:rPr>
      </w:pPr>
      <w:r>
        <w:rPr>
          <w:rFonts w:ascii="仿宋_GB2312" w:eastAsia="仿宋_GB2312" w:hAnsi="宋体" w:cs="仿宋_GB2312" w:hint="eastAsia"/>
          <w:color w:val="000000"/>
          <w:kern w:val="0"/>
          <w:sz w:val="28"/>
          <w:szCs w:val="28"/>
        </w:rPr>
        <w:lastRenderedPageBreak/>
        <w:t>3、注销股票期权保证金账户。</w:t>
      </w:r>
    </w:p>
    <w:p w:rsidR="00FC3217" w:rsidRDefault="00FC3217" w:rsidP="00FC3217">
      <w:pPr>
        <w:ind w:firstLineChars="200" w:firstLine="560"/>
        <w:jc w:val="left"/>
        <w:rPr>
          <w:rFonts w:ascii="仿宋_GB2312" w:eastAsia="仿宋_GB2312" w:hAnsi="宋体" w:cs="仿宋_GB2312"/>
          <w:color w:val="000000"/>
          <w:sz w:val="28"/>
          <w:szCs w:val="28"/>
        </w:rPr>
      </w:pPr>
      <w:r>
        <w:rPr>
          <w:rFonts w:ascii="仿宋_GB2312" w:eastAsia="仿宋_GB2312" w:hAnsi="宋体" w:cs="仿宋_GB2312" w:hint="eastAsia"/>
          <w:color w:val="000000"/>
          <w:sz w:val="28"/>
          <w:szCs w:val="28"/>
        </w:rPr>
        <w:t>期货公司确认投资者合约账户内没有持仓及未了结债权债务后，方可办理投资者合约账户销户。投资者合约账户销户后方可办理对应证券账户的撤销指定交易和销户。</w:t>
      </w:r>
    </w:p>
    <w:bookmarkEnd w:id="232"/>
    <w:bookmarkEnd w:id="233"/>
    <w:bookmarkEnd w:id="234"/>
    <w:p w:rsidR="00FC3217" w:rsidRDefault="00FC3217" w:rsidP="00FC3217">
      <w:pPr>
        <w:ind w:firstLine="555"/>
        <w:rPr>
          <w:rFonts w:ascii="仿宋_GB2312" w:eastAsia="仿宋_GB2312" w:cs="仿宋_GB2312"/>
          <w:color w:val="000000"/>
          <w:sz w:val="28"/>
          <w:szCs w:val="28"/>
        </w:rPr>
      </w:pPr>
    </w:p>
    <w:p w:rsidR="00FC3217" w:rsidRDefault="00FC3217" w:rsidP="00021BE0">
      <w:pPr>
        <w:pStyle w:val="2"/>
        <w:spacing w:beforeLines="50" w:afterLines="50"/>
        <w:ind w:firstLine="643"/>
        <w:jc w:val="center"/>
        <w:rPr>
          <w:rFonts w:ascii="黑体" w:eastAsia="黑体" w:hAnsi="黑体"/>
          <w:sz w:val="32"/>
        </w:rPr>
      </w:pPr>
      <w:bookmarkStart w:id="235" w:name="_Toc408746732"/>
      <w:bookmarkStart w:id="236" w:name="_Toc3747"/>
      <w:bookmarkStart w:id="237" w:name="_Toc32483"/>
      <w:bookmarkStart w:id="238" w:name="_Toc9441"/>
      <w:bookmarkStart w:id="239" w:name="_Toc14048"/>
      <w:bookmarkStart w:id="240" w:name="_Toc23946983"/>
      <w:bookmarkStart w:id="241" w:name="_Toc406438951"/>
      <w:bookmarkStart w:id="242" w:name="_Toc406439136"/>
      <w:bookmarkStart w:id="243" w:name="_Toc406436502"/>
      <w:bookmarkStart w:id="244" w:name="_Toc406438905"/>
      <w:r>
        <w:rPr>
          <w:rFonts w:ascii="黑体" w:eastAsia="黑体" w:hAnsi="黑体" w:hint="eastAsia"/>
          <w:sz w:val="32"/>
        </w:rPr>
        <w:t>第五章 持仓额度管理</w:t>
      </w:r>
      <w:bookmarkEnd w:id="235"/>
      <w:bookmarkEnd w:id="236"/>
      <w:bookmarkEnd w:id="237"/>
      <w:bookmarkEnd w:id="238"/>
      <w:bookmarkEnd w:id="239"/>
      <w:bookmarkEnd w:id="240"/>
    </w:p>
    <w:p w:rsidR="00FC3217" w:rsidRDefault="00FC3217" w:rsidP="00FC3217">
      <w:pPr>
        <w:ind w:firstLine="555"/>
        <w:rPr>
          <w:rFonts w:ascii="仿宋_GB2312" w:eastAsia="仿宋_GB2312" w:cs="仿宋_GB2312"/>
          <w:sz w:val="28"/>
          <w:szCs w:val="28"/>
        </w:rPr>
      </w:pPr>
      <w:r>
        <w:rPr>
          <w:rFonts w:ascii="仿宋_GB2312" w:eastAsia="仿宋_GB2312" w:cs="仿宋_GB2312" w:hint="eastAsia"/>
          <w:sz w:val="28"/>
          <w:szCs w:val="28"/>
        </w:rPr>
        <w:t>公司总部负责制定持仓限额管理相关制度、统筹审核管理客户持仓及限购额度以及本公司经纪业务持仓额度，分支机构协助总部做好相关工作。</w:t>
      </w:r>
    </w:p>
    <w:p w:rsidR="00FC3217" w:rsidRDefault="00FC3217" w:rsidP="00FC3217">
      <w:pPr>
        <w:pStyle w:val="2"/>
        <w:ind w:firstLine="562"/>
      </w:pPr>
      <w:bookmarkStart w:id="245" w:name="_Toc19903"/>
      <w:bookmarkStart w:id="246" w:name="_Toc26598"/>
      <w:bookmarkStart w:id="247" w:name="_Toc9125"/>
      <w:bookmarkStart w:id="248" w:name="_Toc408749994"/>
      <w:bookmarkStart w:id="249" w:name="_Toc30425"/>
      <w:bookmarkStart w:id="250" w:name="_Toc23946984"/>
      <w:r>
        <w:rPr>
          <w:rFonts w:hint="eastAsia"/>
        </w:rPr>
        <w:t>一、持仓限额前端控制</w:t>
      </w:r>
      <w:bookmarkEnd w:id="245"/>
      <w:bookmarkEnd w:id="246"/>
      <w:bookmarkEnd w:id="247"/>
      <w:bookmarkEnd w:id="248"/>
      <w:bookmarkEnd w:id="249"/>
      <w:bookmarkEnd w:id="250"/>
    </w:p>
    <w:p w:rsidR="00FC3217" w:rsidRDefault="00FC3217" w:rsidP="00021BE0">
      <w:pPr>
        <w:spacing w:beforeLines="50" w:afterLines="50"/>
        <w:ind w:firstLineChars="180" w:firstLine="504"/>
        <w:rPr>
          <w:rFonts w:ascii="仿宋_GB2312" w:eastAsia="仿宋_GB2312" w:cs="仿宋_GB2312"/>
          <w:sz w:val="28"/>
          <w:szCs w:val="28"/>
        </w:rPr>
      </w:pPr>
      <w:r>
        <w:rPr>
          <w:rFonts w:ascii="仿宋_GB2312" w:eastAsia="仿宋_GB2312" w:cs="仿宋_GB2312" w:hint="eastAsia"/>
          <w:sz w:val="28"/>
          <w:szCs w:val="28"/>
        </w:rPr>
        <w:t>（一）持仓限额标准</w:t>
      </w:r>
    </w:p>
    <w:p w:rsidR="00173848" w:rsidRDefault="00FC3217" w:rsidP="00021BE0">
      <w:pPr>
        <w:spacing w:beforeLines="50" w:afterLines="50"/>
        <w:ind w:firstLineChars="180" w:firstLine="504"/>
        <w:rPr>
          <w:rFonts w:ascii="仿宋_GB2312" w:eastAsia="仿宋_GB2312" w:cs="仿宋_GB2312"/>
          <w:sz w:val="28"/>
          <w:szCs w:val="28"/>
        </w:rPr>
      </w:pPr>
      <w:r>
        <w:rPr>
          <w:rFonts w:ascii="仿宋_GB2312" w:eastAsia="仿宋_GB2312" w:cs="仿宋_GB2312" w:hint="eastAsia"/>
          <w:sz w:val="28"/>
          <w:szCs w:val="28"/>
        </w:rPr>
        <w:t>投资者（含期权经营机构自营业务）单个衍生品合约账户对单个合约品种的权利仓持仓限额、总持仓限额、单日买入开仓限额标准如下：</w:t>
      </w:r>
    </w:p>
    <w:p w:rsidR="00173848" w:rsidRDefault="00FC3217" w:rsidP="00021BE0">
      <w:pPr>
        <w:spacing w:beforeLines="50" w:afterLines="50"/>
        <w:ind w:firstLineChars="180" w:firstLine="504"/>
        <w:rPr>
          <w:rFonts w:ascii="仿宋_GB2312" w:eastAsia="仿宋_GB2312" w:cs="仿宋_GB2312"/>
          <w:sz w:val="28"/>
          <w:szCs w:val="28"/>
        </w:rPr>
      </w:pPr>
      <w:r>
        <w:rPr>
          <w:rFonts w:ascii="仿宋_GB2312" w:eastAsia="仿宋_GB2312" w:cs="仿宋_GB2312" w:hint="eastAsia"/>
          <w:sz w:val="28"/>
          <w:szCs w:val="28"/>
        </w:rPr>
        <w:t>权利仓持仓限额标准为：1、新开立合约账户的投资者，权利仓持仓限额为20张，总持仓限额为50张。2、合约账户开立满1个月且期权合约成交量达到100张的投资者，权利仓持仓限额为1000张。对于经评估认为风险承受能力较强且具备三级交易权限的客户，期货公司可以适当缩短其合约账户开立时限要求。3、经期货公司评估认为风险承受能力较强、期权合约成交量达到500张且在期货公司托管</w:t>
      </w:r>
      <w:r>
        <w:rPr>
          <w:rFonts w:ascii="仿宋_GB2312" w:eastAsia="仿宋_GB2312" w:cs="仿宋_GB2312" w:hint="eastAsia"/>
          <w:sz w:val="28"/>
          <w:szCs w:val="28"/>
        </w:rPr>
        <w:lastRenderedPageBreak/>
        <w:t>的自有资产余额超过100万的客户，权利仓持仓限额为2000张。4、经期货公司评估认为风险承受能力较强、期权合约成交量达到1000张且在期货公司托管的自有资产余额超过500万的客户，权利仓持仓限额为5000张。总持仓限额根据权利仓持仓限额相应进行调整，为权利仓持仓限额的2倍，单日买入开仓限额</w:t>
      </w:r>
      <w:r w:rsidRPr="006E4686">
        <w:rPr>
          <w:rFonts w:ascii="仿宋_GB2312" w:eastAsia="仿宋_GB2312" w:cs="仿宋_GB2312"/>
          <w:sz w:val="28"/>
          <w:szCs w:val="28"/>
        </w:rPr>
        <w:t>为总持仓限额的2倍，最大不超过1万张。</w:t>
      </w:r>
    </w:p>
    <w:p w:rsidR="00173848" w:rsidRDefault="00FC3217" w:rsidP="00021BE0">
      <w:pPr>
        <w:spacing w:beforeLines="50" w:afterLines="50"/>
        <w:ind w:firstLineChars="180" w:firstLine="504"/>
        <w:rPr>
          <w:rFonts w:ascii="仿宋_GB2312" w:eastAsia="仿宋_GB2312" w:cs="仿宋_GB2312"/>
          <w:sz w:val="28"/>
          <w:szCs w:val="28"/>
        </w:rPr>
      </w:pPr>
      <w:r>
        <w:rPr>
          <w:rFonts w:ascii="仿宋_GB2312" w:eastAsia="仿宋_GB2312" w:cs="仿宋_GB2312" w:hint="eastAsia"/>
          <w:sz w:val="28"/>
          <w:szCs w:val="28"/>
        </w:rPr>
        <w:t>（二）前端控制</w:t>
      </w:r>
    </w:p>
    <w:p w:rsidR="00173848" w:rsidRDefault="00FC3217" w:rsidP="00021BE0">
      <w:pPr>
        <w:spacing w:beforeLines="50" w:afterLines="50"/>
        <w:ind w:firstLineChars="180" w:firstLine="504"/>
        <w:rPr>
          <w:rFonts w:ascii="仿宋_GB2312" w:eastAsia="仿宋_GB2312"/>
          <w:kern w:val="0"/>
          <w:sz w:val="28"/>
          <w:szCs w:val="28"/>
        </w:rPr>
      </w:pPr>
      <w:r>
        <w:rPr>
          <w:rFonts w:ascii="仿宋_GB2312" w:eastAsia="仿宋_GB2312" w:cs="仿宋_GB2312" w:hint="eastAsia"/>
          <w:sz w:val="28"/>
          <w:szCs w:val="28"/>
        </w:rPr>
        <w:t>证券公司应监控客户及自身经纪业务的期权合约持仓情况，包括：单个账户对同一合约品种权利仓持仓限额、总持仓限额、单日买入开仓限额、证券公司对同一合约品种的经纪业务总持仓限额。</w:t>
      </w:r>
    </w:p>
    <w:p w:rsidR="00173848" w:rsidRDefault="00FC3217" w:rsidP="00021BE0">
      <w:pPr>
        <w:spacing w:beforeLines="50" w:afterLines="50"/>
        <w:ind w:firstLineChars="180" w:firstLine="504"/>
        <w:rPr>
          <w:rFonts w:ascii="仿宋_GB2312" w:eastAsia="仿宋_GB2312" w:hAnsi="Times New Roman" w:cs="仿宋_GB2312"/>
          <w:kern w:val="0"/>
          <w:sz w:val="28"/>
          <w:szCs w:val="28"/>
        </w:rPr>
      </w:pPr>
      <w:r>
        <w:rPr>
          <w:rFonts w:ascii="仿宋_GB2312" w:eastAsia="仿宋_GB2312" w:hAnsi="Times New Roman" w:cs="仿宋_GB2312" w:hint="eastAsia"/>
          <w:kern w:val="0"/>
          <w:sz w:val="28"/>
          <w:szCs w:val="28"/>
        </w:rPr>
        <w:t>单个账户对同一合约品种权利仓持仓限额指投资者持有该合约品种的认购期权和认沽期权合约的权利仓合计不超过的数量。单个账户对同一合约品种总持仓限额指投资者持有该合约品种的认购期权和认沽期权合约的权利仓和义务仓（含备兑开仓）合计不超过的数量。单个账户对同一合约品种</w:t>
      </w:r>
      <w:r>
        <w:rPr>
          <w:rFonts w:ascii="仿宋_GB2312" w:eastAsia="仿宋_GB2312" w:cs="仿宋_GB2312" w:hint="eastAsia"/>
          <w:sz w:val="28"/>
          <w:szCs w:val="28"/>
        </w:rPr>
        <w:t>单日买入开仓限额指投资者单日进行</w:t>
      </w:r>
      <w:r>
        <w:rPr>
          <w:rFonts w:ascii="仿宋_GB2312" w:eastAsia="仿宋_GB2312" w:hAnsi="Times New Roman" w:cs="仿宋_GB2312" w:hint="eastAsia"/>
          <w:kern w:val="0"/>
          <w:sz w:val="28"/>
          <w:szCs w:val="28"/>
        </w:rPr>
        <w:t>认购期权和认沽期权的权利仓开仓合计不超过的数量。</w:t>
      </w:r>
      <w:r>
        <w:rPr>
          <w:rFonts w:ascii="仿宋_GB2312" w:eastAsia="仿宋_GB2312" w:cs="仿宋_GB2312" w:hint="eastAsia"/>
          <w:sz w:val="28"/>
          <w:szCs w:val="28"/>
        </w:rPr>
        <w:t>期货</w:t>
      </w:r>
      <w:r>
        <w:rPr>
          <w:rFonts w:ascii="仿宋_GB2312" w:eastAsia="仿宋_GB2312" w:hAnsi="Times New Roman" w:cs="仿宋_GB2312" w:hint="eastAsia"/>
          <w:kern w:val="0"/>
          <w:sz w:val="28"/>
          <w:szCs w:val="28"/>
        </w:rPr>
        <w:t>公司对同一合约品种的经纪业务总持仓限额指</w:t>
      </w:r>
      <w:r>
        <w:rPr>
          <w:rFonts w:ascii="仿宋_GB2312" w:eastAsia="仿宋_GB2312" w:cs="仿宋_GB2312" w:hint="eastAsia"/>
          <w:sz w:val="28"/>
          <w:szCs w:val="28"/>
        </w:rPr>
        <w:t>期货</w:t>
      </w:r>
      <w:r>
        <w:rPr>
          <w:rFonts w:ascii="仿宋_GB2312" w:eastAsia="仿宋_GB2312" w:hAnsi="Times New Roman" w:cs="仿宋_GB2312" w:hint="eastAsia"/>
          <w:kern w:val="0"/>
          <w:sz w:val="28"/>
          <w:szCs w:val="28"/>
        </w:rPr>
        <w:t>公司经纪业务持有该合约品种的认购期权和认沽期权合约的权利仓和义务仓（含备兑开仓）合计不超过的数量。</w:t>
      </w:r>
    </w:p>
    <w:p w:rsidR="00173848" w:rsidRDefault="00FC3217" w:rsidP="00021BE0">
      <w:pPr>
        <w:spacing w:beforeLines="50" w:afterLines="50"/>
        <w:ind w:firstLineChars="180" w:firstLine="504"/>
        <w:rPr>
          <w:rFonts w:ascii="仿宋_GB2312" w:eastAsia="仿宋_GB2312" w:hAnsi="Times New Roman" w:cs="仿宋_GB2312"/>
          <w:kern w:val="0"/>
          <w:sz w:val="28"/>
          <w:szCs w:val="28"/>
        </w:rPr>
      </w:pPr>
      <w:r>
        <w:rPr>
          <w:rFonts w:ascii="仿宋_GB2312" w:eastAsia="仿宋_GB2312" w:hAnsi="Times New Roman" w:cs="仿宋_GB2312" w:hint="eastAsia"/>
          <w:kern w:val="0"/>
          <w:sz w:val="28"/>
          <w:szCs w:val="28"/>
        </w:rPr>
        <w:t>对不同合约品种，可以设置不同的持仓限额。</w:t>
      </w:r>
      <w:r>
        <w:rPr>
          <w:rFonts w:ascii="仿宋_GB2312" w:eastAsia="仿宋_GB2312" w:cs="仿宋_GB2312" w:hint="eastAsia"/>
          <w:sz w:val="28"/>
          <w:szCs w:val="28"/>
        </w:rPr>
        <w:t>期货</w:t>
      </w:r>
      <w:r>
        <w:rPr>
          <w:rFonts w:ascii="仿宋_GB2312" w:eastAsia="仿宋_GB2312" w:hAnsi="Times New Roman" w:cs="仿宋_GB2312" w:hint="eastAsia"/>
          <w:kern w:val="0"/>
          <w:sz w:val="28"/>
          <w:szCs w:val="28"/>
        </w:rPr>
        <w:t>公司可以对不同客户设置不同的持仓限额，但不得高于交易所规定标准。前端控制</w:t>
      </w:r>
      <w:r>
        <w:rPr>
          <w:rFonts w:ascii="仿宋_GB2312" w:eastAsia="仿宋_GB2312" w:hAnsi="Times New Roman" w:cs="仿宋_GB2312" w:hint="eastAsia"/>
          <w:kern w:val="0"/>
          <w:sz w:val="28"/>
          <w:szCs w:val="28"/>
        </w:rPr>
        <w:lastRenderedPageBreak/>
        <w:t>具体如下。</w:t>
      </w:r>
    </w:p>
    <w:p w:rsidR="00173848" w:rsidRDefault="00FC3217" w:rsidP="00021BE0">
      <w:pPr>
        <w:spacing w:beforeLines="50" w:afterLines="50"/>
        <w:ind w:firstLineChars="180" w:firstLine="504"/>
        <w:rPr>
          <w:rFonts w:ascii="仿宋_GB2312" w:eastAsia="仿宋_GB2312" w:hAnsi="Times New Roman" w:cs="仿宋_GB2312"/>
          <w:sz w:val="28"/>
          <w:szCs w:val="28"/>
        </w:rPr>
      </w:pPr>
      <w:r>
        <w:rPr>
          <w:rFonts w:ascii="仿宋_GB2312" w:eastAsia="仿宋_GB2312" w:hAnsi="Times New Roman" w:cs="仿宋_GB2312" w:hint="eastAsia"/>
          <w:sz w:val="28"/>
          <w:szCs w:val="28"/>
        </w:rPr>
        <w:t>对买入开仓：权利仓已持仓数量+买入开仓未成交申报数量（撤单需扣减）&lt;=权利仓持仓限额</w:t>
      </w:r>
    </w:p>
    <w:p w:rsidR="00173848" w:rsidRDefault="00FC3217" w:rsidP="00021BE0">
      <w:pPr>
        <w:spacing w:beforeLines="50" w:afterLines="50"/>
        <w:ind w:firstLineChars="180" w:firstLine="504"/>
        <w:rPr>
          <w:rFonts w:ascii="仿宋_GB2312" w:eastAsia="仿宋_GB2312" w:hAnsi="Times New Roman" w:cs="仿宋_GB2312"/>
          <w:kern w:val="0"/>
          <w:sz w:val="28"/>
          <w:szCs w:val="28"/>
        </w:rPr>
      </w:pPr>
      <w:r>
        <w:rPr>
          <w:rFonts w:ascii="仿宋_GB2312" w:eastAsia="仿宋_GB2312" w:cs="仿宋_GB2312" w:hint="eastAsia"/>
          <w:sz w:val="28"/>
          <w:szCs w:val="28"/>
        </w:rPr>
        <w:t>对买入开仓和卖出开仓：权利仓已持仓数量+义务仓已持仓数量（包括备兑开仓）+买入开仓未成交申报数量（撤单需扣减）+卖出开仓未成交申报数量（撤单需扣减，包括备兑开仓）&lt;=总持仓限额</w:t>
      </w:r>
    </w:p>
    <w:p w:rsidR="00FC3217" w:rsidRDefault="00FC3217" w:rsidP="00FC3217">
      <w:pPr>
        <w:widowControl/>
        <w:spacing w:before="120" w:after="120"/>
        <w:ind w:firstLineChars="150" w:firstLine="420"/>
        <w:jc w:val="left"/>
        <w:rPr>
          <w:rFonts w:ascii="仿宋_GB2312" w:eastAsia="仿宋_GB2312" w:cs="仿宋_GB2312"/>
          <w:sz w:val="28"/>
          <w:szCs w:val="28"/>
        </w:rPr>
      </w:pPr>
      <w:r>
        <w:rPr>
          <w:rFonts w:ascii="仿宋_GB2312" w:eastAsia="仿宋_GB2312" w:cs="仿宋_GB2312" w:hint="eastAsia"/>
          <w:sz w:val="28"/>
          <w:szCs w:val="28"/>
        </w:rPr>
        <w:t>对单日买入开仓：</w:t>
      </w:r>
      <w:r>
        <w:rPr>
          <w:rFonts w:ascii="仿宋_GB2312" w:eastAsia="仿宋_GB2312" w:hAnsi="Times New Roman" w:cs="仿宋_GB2312" w:hint="eastAsia"/>
          <w:kern w:val="0"/>
          <w:sz w:val="28"/>
          <w:szCs w:val="28"/>
        </w:rPr>
        <w:t>该合约品种当日已累计买入开仓数量（撤单需扣减实际撤单数量）+该笔买入开仓数量&lt;=该合约品种单日买入开仓限额，否则该笔开仓无效。（平仓后不计增单日可买入开仓额度）</w:t>
      </w:r>
      <w:r>
        <w:rPr>
          <w:rFonts w:ascii="仿宋_GB2312" w:eastAsia="仿宋_GB2312" w:cs="仿宋_GB2312" w:hint="eastAsia"/>
          <w:sz w:val="28"/>
          <w:szCs w:val="28"/>
        </w:rPr>
        <w:t>。</w:t>
      </w:r>
    </w:p>
    <w:p w:rsidR="00FC3217" w:rsidRDefault="00FC3217" w:rsidP="00021BE0">
      <w:pPr>
        <w:spacing w:beforeLines="50" w:afterLines="50"/>
        <w:ind w:firstLineChars="180" w:firstLine="504"/>
        <w:rPr>
          <w:rFonts w:ascii="仿宋_GB2312" w:eastAsia="仿宋_GB2312" w:hAnsi="Times New Roman" w:cs="仿宋_GB2312"/>
          <w:kern w:val="0"/>
          <w:sz w:val="28"/>
          <w:szCs w:val="28"/>
        </w:rPr>
      </w:pPr>
      <w:r>
        <w:rPr>
          <w:rFonts w:ascii="仿宋_GB2312" w:eastAsia="仿宋_GB2312" w:cs="仿宋_GB2312" w:hint="eastAsia"/>
          <w:sz w:val="28"/>
          <w:szCs w:val="28"/>
        </w:rPr>
        <w:t>期货</w:t>
      </w:r>
      <w:r>
        <w:rPr>
          <w:rFonts w:ascii="仿宋_GB2312" w:eastAsia="仿宋_GB2312" w:hAnsi="Times New Roman" w:cs="仿宋_GB2312" w:hint="eastAsia"/>
          <w:kern w:val="0"/>
          <w:sz w:val="28"/>
          <w:szCs w:val="28"/>
        </w:rPr>
        <w:t>公司应就上述针对同一合约品种的持仓数量设置持仓比例预警值，确保投资者、</w:t>
      </w:r>
      <w:r>
        <w:rPr>
          <w:rFonts w:ascii="仿宋_GB2312" w:eastAsia="仿宋_GB2312" w:cs="仿宋_GB2312" w:hint="eastAsia"/>
          <w:sz w:val="28"/>
          <w:szCs w:val="28"/>
        </w:rPr>
        <w:t>期货</w:t>
      </w:r>
      <w:r>
        <w:rPr>
          <w:rFonts w:ascii="仿宋_GB2312" w:eastAsia="仿宋_GB2312" w:hAnsi="Times New Roman" w:cs="仿宋_GB2312" w:hint="eastAsia"/>
          <w:kern w:val="0"/>
          <w:sz w:val="28"/>
          <w:szCs w:val="28"/>
        </w:rPr>
        <w:t>公司经纪业务对同一合约品种的持仓不超过</w:t>
      </w:r>
      <w:r>
        <w:rPr>
          <w:rFonts w:ascii="仿宋_GB2312" w:eastAsia="仿宋_GB2312" w:hAnsi="Times New Roman" w:cs="仿宋_GB2312" w:hint="eastAsia"/>
          <w:sz w:val="28"/>
          <w:szCs w:val="28"/>
        </w:rPr>
        <w:t>上交所</w:t>
      </w:r>
      <w:r>
        <w:rPr>
          <w:rFonts w:ascii="仿宋_GB2312" w:eastAsia="仿宋_GB2312" w:hAnsi="Times New Roman" w:cs="仿宋_GB2312" w:hint="eastAsia"/>
          <w:kern w:val="0"/>
          <w:sz w:val="28"/>
          <w:szCs w:val="28"/>
        </w:rPr>
        <w:t>规定的持仓限额。同一合约品种持仓比例=对单个合约品种持仓数量之和/持仓限额。</w:t>
      </w:r>
    </w:p>
    <w:p w:rsidR="00FC3217" w:rsidRDefault="00FC3217" w:rsidP="00FC3217">
      <w:pPr>
        <w:pStyle w:val="af1"/>
        <w:autoSpaceDE w:val="0"/>
        <w:autoSpaceDN w:val="0"/>
        <w:adjustRightInd w:val="0"/>
        <w:ind w:firstLineChars="196" w:firstLine="549"/>
        <w:jc w:val="left"/>
        <w:rPr>
          <w:rFonts w:ascii="仿宋_GB2312" w:eastAsia="仿宋_GB2312" w:hAnsi="仿宋" w:cs="仿宋_GB2312"/>
          <w:sz w:val="28"/>
          <w:szCs w:val="28"/>
        </w:rPr>
      </w:pPr>
      <w:r>
        <w:rPr>
          <w:rFonts w:ascii="仿宋_GB2312" w:eastAsia="仿宋_GB2312" w:hAnsi="Calibri" w:cs="仿宋_GB2312" w:hint="eastAsia"/>
          <w:color w:val="000000"/>
          <w:kern w:val="0"/>
          <w:sz w:val="28"/>
          <w:szCs w:val="28"/>
        </w:rPr>
        <w:t>为了对整个经纪业务持仓风险进行控制，</w:t>
      </w:r>
      <w:r>
        <w:rPr>
          <w:rFonts w:ascii="仿宋_GB2312" w:eastAsia="仿宋_GB2312" w:hAnsi="Calibri" w:cs="仿宋_GB2312" w:hint="eastAsia"/>
          <w:sz w:val="28"/>
          <w:szCs w:val="28"/>
        </w:rPr>
        <w:t>期货</w:t>
      </w:r>
      <w:r>
        <w:rPr>
          <w:rFonts w:ascii="仿宋_GB2312" w:eastAsia="仿宋_GB2312" w:hAnsi="Calibri" w:cs="仿宋_GB2312" w:hint="eastAsia"/>
          <w:color w:val="000000"/>
          <w:kern w:val="0"/>
          <w:sz w:val="28"/>
          <w:szCs w:val="28"/>
        </w:rPr>
        <w:t>公司应当对经纪业务中同一合约品种的总持仓进行前端控制。对于经纪业务同一合约品种总持仓占持仓限额比例达到一定阀值（比如80%，</w:t>
      </w:r>
      <w:r>
        <w:rPr>
          <w:rFonts w:ascii="仿宋_GB2312" w:eastAsia="仿宋_GB2312" w:hAnsi="Calibri" w:cs="仿宋_GB2312" w:hint="eastAsia"/>
          <w:sz w:val="28"/>
          <w:szCs w:val="28"/>
        </w:rPr>
        <w:t>期货</w:t>
      </w:r>
      <w:r>
        <w:rPr>
          <w:rFonts w:ascii="仿宋_GB2312" w:eastAsia="仿宋_GB2312" w:hAnsi="Calibri" w:cs="仿宋_GB2312" w:hint="eastAsia"/>
          <w:color w:val="000000"/>
          <w:kern w:val="0"/>
          <w:sz w:val="28"/>
          <w:szCs w:val="28"/>
        </w:rPr>
        <w:t>公司可以结合本公司实际情况确定阀值）时，</w:t>
      </w:r>
      <w:r>
        <w:rPr>
          <w:rFonts w:ascii="仿宋_GB2312" w:eastAsia="仿宋_GB2312" w:hAnsi="Calibri" w:cs="仿宋_GB2312" w:hint="eastAsia"/>
          <w:sz w:val="28"/>
          <w:szCs w:val="28"/>
        </w:rPr>
        <w:t>期货</w:t>
      </w:r>
      <w:r>
        <w:rPr>
          <w:rFonts w:ascii="仿宋_GB2312" w:eastAsia="仿宋_GB2312" w:hAnsi="Calibri" w:cs="仿宋_GB2312" w:hint="eastAsia"/>
          <w:color w:val="000000"/>
          <w:kern w:val="0"/>
          <w:sz w:val="28"/>
          <w:szCs w:val="28"/>
        </w:rPr>
        <w:t>公司根据自身情况决定是否向上交所提出调高总持仓限额的申请。若需调整总持仓限额，需提交相关申请材料，上交所将根据市场情况以及申请人的申请材料、资信状况、交易情况等，对其额度申请进行审核。</w:t>
      </w:r>
    </w:p>
    <w:p w:rsidR="00FC3217" w:rsidRDefault="00FC3217" w:rsidP="00FC3217">
      <w:pPr>
        <w:pStyle w:val="af1"/>
        <w:autoSpaceDE w:val="0"/>
        <w:autoSpaceDN w:val="0"/>
        <w:adjustRightInd w:val="0"/>
        <w:jc w:val="center"/>
        <w:rPr>
          <w:rFonts w:ascii="仿宋_GB2312" w:eastAsia="仿宋_GB2312" w:hAnsi="仿宋" w:cs="仿宋_GB2312"/>
          <w:sz w:val="28"/>
          <w:szCs w:val="28"/>
        </w:rPr>
      </w:pPr>
      <w:r>
        <w:rPr>
          <w:rFonts w:ascii="仿宋_GB2312" w:eastAsia="仿宋_GB2312" w:hAnsi="仿宋" w:cs="仿宋_GB2312" w:hint="eastAsia"/>
          <w:kern w:val="0"/>
          <w:sz w:val="28"/>
          <w:szCs w:val="28"/>
        </w:rPr>
        <w:t>表</w:t>
      </w:r>
      <w:r>
        <w:rPr>
          <w:rFonts w:ascii="仿宋_GB2312" w:eastAsia="仿宋_GB2312" w:hAnsi="仿宋" w:hint="eastAsia"/>
          <w:kern w:val="0"/>
          <w:sz w:val="28"/>
          <w:szCs w:val="28"/>
        </w:rPr>
        <w:t xml:space="preserve">1 </w:t>
      </w:r>
      <w:r>
        <w:rPr>
          <w:rFonts w:ascii="仿宋_GB2312" w:eastAsia="仿宋_GB2312" w:hAnsi="仿宋" w:cs="仿宋_GB2312" w:hint="eastAsia"/>
          <w:kern w:val="0"/>
          <w:sz w:val="28"/>
          <w:szCs w:val="28"/>
        </w:rPr>
        <w:t>同一合约品种持仓限额设置 （单位：张）</w:t>
      </w:r>
    </w:p>
    <w:tbl>
      <w:tblPr>
        <w:tblW w:w="0" w:type="auto"/>
        <w:tblBorders>
          <w:top w:val="single" w:sz="4" w:space="0" w:color="auto"/>
          <w:bottom w:val="single" w:sz="4" w:space="0" w:color="auto"/>
          <w:insideH w:val="single" w:sz="4" w:space="0" w:color="auto"/>
          <w:insideV w:val="single" w:sz="4" w:space="0" w:color="auto"/>
        </w:tblBorders>
        <w:tblLayout w:type="fixed"/>
        <w:tblLook w:val="0000"/>
      </w:tblPr>
      <w:tblGrid>
        <w:gridCol w:w="1901"/>
        <w:gridCol w:w="1903"/>
        <w:gridCol w:w="1901"/>
        <w:gridCol w:w="2275"/>
      </w:tblGrid>
      <w:tr w:rsidR="00FC3217" w:rsidTr="007E5952">
        <w:trPr>
          <w:trHeight w:val="313"/>
        </w:trPr>
        <w:tc>
          <w:tcPr>
            <w:tcW w:w="5705" w:type="dxa"/>
            <w:gridSpan w:val="3"/>
            <w:vAlign w:val="center"/>
          </w:tcPr>
          <w:p w:rsidR="00FC3217" w:rsidRDefault="00FC3217" w:rsidP="007E5952">
            <w:pPr>
              <w:widowControl/>
              <w:jc w:val="center"/>
              <w:rPr>
                <w:rFonts w:ascii="仿宋_GB2312" w:eastAsia="仿宋_GB2312" w:hAnsi="仿宋" w:cs="宋体"/>
                <w:kern w:val="0"/>
                <w:sz w:val="24"/>
                <w:szCs w:val="28"/>
              </w:rPr>
            </w:pPr>
            <w:r>
              <w:rPr>
                <w:rFonts w:ascii="仿宋_GB2312" w:eastAsia="仿宋_GB2312" w:hAnsi="仿宋" w:cs="宋体" w:hint="eastAsia"/>
                <w:kern w:val="0"/>
                <w:sz w:val="24"/>
                <w:szCs w:val="28"/>
              </w:rPr>
              <w:lastRenderedPageBreak/>
              <w:t>单个账户</w:t>
            </w:r>
          </w:p>
        </w:tc>
        <w:tc>
          <w:tcPr>
            <w:tcW w:w="2275" w:type="dxa"/>
            <w:tcBorders>
              <w:right w:val="single" w:sz="4" w:space="0" w:color="auto"/>
            </w:tcBorders>
            <w:vAlign w:val="center"/>
          </w:tcPr>
          <w:p w:rsidR="00FC3217" w:rsidRDefault="00FC3217" w:rsidP="007E5952">
            <w:pPr>
              <w:widowControl/>
              <w:jc w:val="center"/>
              <w:rPr>
                <w:rFonts w:ascii="仿宋_GB2312" w:eastAsia="仿宋_GB2312" w:hAnsi="仿宋" w:cs="宋体"/>
                <w:kern w:val="0"/>
                <w:sz w:val="24"/>
                <w:szCs w:val="28"/>
              </w:rPr>
            </w:pPr>
            <w:r>
              <w:rPr>
                <w:rFonts w:ascii="仿宋_GB2312" w:eastAsia="仿宋_GB2312" w:hAnsi="仿宋" w:cs="宋体" w:hint="eastAsia"/>
                <w:kern w:val="0"/>
                <w:sz w:val="24"/>
                <w:szCs w:val="28"/>
              </w:rPr>
              <w:t>期货公司</w:t>
            </w:r>
          </w:p>
        </w:tc>
      </w:tr>
      <w:tr w:rsidR="00FC3217" w:rsidTr="007E5952">
        <w:trPr>
          <w:trHeight w:val="676"/>
        </w:trPr>
        <w:tc>
          <w:tcPr>
            <w:tcW w:w="5705" w:type="dxa"/>
            <w:gridSpan w:val="3"/>
            <w:vAlign w:val="center"/>
          </w:tcPr>
          <w:p w:rsidR="00FC3217" w:rsidRDefault="00FC3217" w:rsidP="007E5952">
            <w:pPr>
              <w:jc w:val="center"/>
            </w:pPr>
            <w:r>
              <w:rPr>
                <w:rFonts w:ascii="仿宋_GB2312" w:eastAsia="仿宋_GB2312" w:hAnsi="仿宋" w:cs="宋体" w:hint="eastAsia"/>
                <w:kern w:val="0"/>
                <w:sz w:val="24"/>
                <w:szCs w:val="28"/>
              </w:rPr>
              <w:t>投资者</w:t>
            </w:r>
          </w:p>
          <w:p w:rsidR="00FC3217" w:rsidRDefault="00FC3217" w:rsidP="007E5952">
            <w:pPr>
              <w:widowControl/>
              <w:jc w:val="center"/>
              <w:rPr>
                <w:rFonts w:ascii="仿宋_GB2312" w:eastAsia="仿宋_GB2312" w:hAnsi="仿宋" w:cs="宋体"/>
                <w:kern w:val="0"/>
                <w:sz w:val="24"/>
                <w:szCs w:val="28"/>
              </w:rPr>
            </w:pPr>
            <w:r>
              <w:rPr>
                <w:rFonts w:ascii="仿宋_GB2312" w:eastAsia="仿宋_GB2312" w:hAnsi="仿宋" w:cs="宋体" w:hint="eastAsia"/>
                <w:kern w:val="0"/>
                <w:sz w:val="24"/>
                <w:szCs w:val="28"/>
              </w:rPr>
              <w:t>（包括个人投资者、机构投资者）</w:t>
            </w:r>
          </w:p>
        </w:tc>
        <w:tc>
          <w:tcPr>
            <w:tcW w:w="2275" w:type="dxa"/>
            <w:tcBorders>
              <w:right w:val="single" w:sz="4" w:space="0" w:color="auto"/>
            </w:tcBorders>
            <w:vAlign w:val="center"/>
          </w:tcPr>
          <w:p w:rsidR="00FC3217" w:rsidRDefault="00FC3217" w:rsidP="007E5952">
            <w:pPr>
              <w:widowControl/>
              <w:jc w:val="center"/>
              <w:rPr>
                <w:rFonts w:ascii="仿宋_GB2312" w:eastAsia="仿宋_GB2312" w:hAnsi="仿宋" w:cs="宋体"/>
                <w:kern w:val="0"/>
                <w:sz w:val="24"/>
                <w:szCs w:val="28"/>
              </w:rPr>
            </w:pPr>
            <w:r>
              <w:rPr>
                <w:rFonts w:ascii="仿宋_GB2312" w:eastAsia="仿宋_GB2312" w:hAnsi="仿宋" w:cs="宋体" w:hint="eastAsia"/>
                <w:kern w:val="0"/>
                <w:sz w:val="24"/>
                <w:szCs w:val="28"/>
              </w:rPr>
              <w:t>经纪</w:t>
            </w:r>
          </w:p>
        </w:tc>
      </w:tr>
      <w:tr w:rsidR="00FC3217" w:rsidTr="007E5952">
        <w:trPr>
          <w:trHeight w:val="616"/>
        </w:trPr>
        <w:tc>
          <w:tcPr>
            <w:tcW w:w="1901" w:type="dxa"/>
            <w:vAlign w:val="center"/>
          </w:tcPr>
          <w:p w:rsidR="00FC3217" w:rsidRDefault="00FC3217" w:rsidP="007E5952">
            <w:pPr>
              <w:widowControl/>
              <w:jc w:val="center"/>
              <w:rPr>
                <w:rFonts w:ascii="仿宋_GB2312" w:eastAsia="仿宋_GB2312" w:hAnsi="仿宋" w:cs="宋体"/>
                <w:kern w:val="0"/>
                <w:sz w:val="24"/>
                <w:szCs w:val="28"/>
              </w:rPr>
            </w:pPr>
            <w:r>
              <w:rPr>
                <w:rFonts w:ascii="仿宋_GB2312" w:eastAsia="仿宋_GB2312" w:hAnsi="仿宋" w:cs="宋体" w:hint="eastAsia"/>
                <w:kern w:val="0"/>
                <w:sz w:val="24"/>
                <w:szCs w:val="28"/>
              </w:rPr>
              <w:t>权利仓持仓限额</w:t>
            </w:r>
          </w:p>
        </w:tc>
        <w:tc>
          <w:tcPr>
            <w:tcW w:w="1903" w:type="dxa"/>
            <w:vAlign w:val="center"/>
          </w:tcPr>
          <w:p w:rsidR="00FC3217" w:rsidRDefault="00FC3217" w:rsidP="007E5952">
            <w:pPr>
              <w:widowControl/>
              <w:jc w:val="center"/>
              <w:rPr>
                <w:rFonts w:ascii="仿宋_GB2312" w:eastAsia="仿宋_GB2312" w:hAnsi="仿宋" w:cs="宋体"/>
                <w:kern w:val="0"/>
                <w:sz w:val="24"/>
                <w:szCs w:val="28"/>
              </w:rPr>
            </w:pPr>
            <w:r>
              <w:rPr>
                <w:rFonts w:ascii="仿宋_GB2312" w:eastAsia="仿宋_GB2312" w:hAnsi="仿宋" w:cs="宋体" w:hint="eastAsia"/>
                <w:kern w:val="0"/>
                <w:sz w:val="24"/>
                <w:szCs w:val="28"/>
              </w:rPr>
              <w:t>总持仓限额</w:t>
            </w:r>
          </w:p>
        </w:tc>
        <w:tc>
          <w:tcPr>
            <w:tcW w:w="1901" w:type="dxa"/>
            <w:vAlign w:val="center"/>
          </w:tcPr>
          <w:p w:rsidR="00FC3217" w:rsidRDefault="00FC3217" w:rsidP="007E5952">
            <w:pPr>
              <w:widowControl/>
              <w:jc w:val="center"/>
              <w:rPr>
                <w:rFonts w:ascii="仿宋_GB2312" w:eastAsia="仿宋_GB2312" w:hAnsi="仿宋" w:cs="宋体"/>
                <w:kern w:val="0"/>
                <w:sz w:val="24"/>
                <w:szCs w:val="28"/>
              </w:rPr>
            </w:pPr>
            <w:r>
              <w:rPr>
                <w:rFonts w:ascii="仿宋_GB2312" w:eastAsia="仿宋_GB2312" w:hAnsi="仿宋" w:cs="宋体" w:hint="eastAsia"/>
                <w:kern w:val="0"/>
                <w:sz w:val="24"/>
                <w:szCs w:val="28"/>
              </w:rPr>
              <w:t>单日买入开仓限额</w:t>
            </w:r>
          </w:p>
        </w:tc>
        <w:tc>
          <w:tcPr>
            <w:tcW w:w="2275" w:type="dxa"/>
            <w:tcBorders>
              <w:right w:val="single" w:sz="4" w:space="0" w:color="auto"/>
            </w:tcBorders>
            <w:vAlign w:val="center"/>
          </w:tcPr>
          <w:p w:rsidR="00FC3217" w:rsidRDefault="00FC3217" w:rsidP="007E5952">
            <w:pPr>
              <w:widowControl/>
              <w:jc w:val="center"/>
              <w:rPr>
                <w:rFonts w:ascii="仿宋_GB2312" w:eastAsia="仿宋_GB2312" w:hAnsi="仿宋" w:cs="宋体"/>
                <w:kern w:val="0"/>
                <w:sz w:val="24"/>
                <w:szCs w:val="28"/>
              </w:rPr>
            </w:pPr>
            <w:r>
              <w:rPr>
                <w:rFonts w:ascii="仿宋_GB2312" w:eastAsia="仿宋_GB2312" w:hAnsi="仿宋" w:cs="宋体" w:hint="eastAsia"/>
                <w:kern w:val="0"/>
                <w:sz w:val="24"/>
                <w:szCs w:val="28"/>
              </w:rPr>
              <w:t>总持仓限额</w:t>
            </w:r>
          </w:p>
        </w:tc>
      </w:tr>
      <w:tr w:rsidR="00FC3217" w:rsidTr="007E5952">
        <w:trPr>
          <w:trHeight w:val="323"/>
        </w:trPr>
        <w:tc>
          <w:tcPr>
            <w:tcW w:w="1901" w:type="dxa"/>
            <w:vAlign w:val="center"/>
          </w:tcPr>
          <w:p w:rsidR="00FC3217" w:rsidRDefault="00FC3217" w:rsidP="007E5952">
            <w:pPr>
              <w:widowControl/>
              <w:jc w:val="center"/>
              <w:rPr>
                <w:rFonts w:ascii="仿宋_GB2312" w:eastAsia="仿宋_GB2312" w:hAnsi="仿宋" w:cs="宋体"/>
                <w:kern w:val="0"/>
                <w:sz w:val="24"/>
                <w:szCs w:val="28"/>
              </w:rPr>
            </w:pPr>
            <w:r>
              <w:rPr>
                <w:rFonts w:ascii="仿宋_GB2312" w:eastAsia="仿宋_GB2312" w:hAnsi="仿宋" w:cs="宋体" w:hint="eastAsia"/>
                <w:kern w:val="0"/>
                <w:sz w:val="24"/>
                <w:szCs w:val="28"/>
              </w:rPr>
              <w:t>*</w:t>
            </w:r>
          </w:p>
        </w:tc>
        <w:tc>
          <w:tcPr>
            <w:tcW w:w="1903" w:type="dxa"/>
            <w:vAlign w:val="center"/>
          </w:tcPr>
          <w:p w:rsidR="00FC3217" w:rsidRDefault="00FC3217" w:rsidP="007E5952">
            <w:pPr>
              <w:widowControl/>
              <w:jc w:val="center"/>
              <w:rPr>
                <w:rFonts w:ascii="仿宋_GB2312" w:eastAsia="仿宋_GB2312" w:hAnsi="仿宋" w:cs="宋体"/>
                <w:kern w:val="0"/>
                <w:sz w:val="24"/>
                <w:szCs w:val="28"/>
              </w:rPr>
            </w:pPr>
            <w:r>
              <w:rPr>
                <w:rFonts w:ascii="仿宋_GB2312" w:eastAsia="仿宋_GB2312" w:hAnsi="仿宋" w:cs="宋体" w:hint="eastAsia"/>
                <w:kern w:val="0"/>
                <w:sz w:val="24"/>
                <w:szCs w:val="28"/>
              </w:rPr>
              <w:t>*</w:t>
            </w:r>
          </w:p>
        </w:tc>
        <w:tc>
          <w:tcPr>
            <w:tcW w:w="1901" w:type="dxa"/>
            <w:vAlign w:val="center"/>
          </w:tcPr>
          <w:p w:rsidR="00FC3217" w:rsidRDefault="00FC3217" w:rsidP="007E5952">
            <w:pPr>
              <w:jc w:val="center"/>
              <w:rPr>
                <w:rFonts w:ascii="仿宋_GB2312" w:eastAsia="仿宋_GB2312" w:hAnsi="仿宋" w:cs="宋体"/>
                <w:kern w:val="0"/>
                <w:sz w:val="24"/>
                <w:szCs w:val="28"/>
              </w:rPr>
            </w:pPr>
            <w:r>
              <w:rPr>
                <w:rFonts w:ascii="仿宋_GB2312" w:eastAsia="仿宋_GB2312" w:hAnsi="仿宋" w:cs="宋体" w:hint="eastAsia"/>
                <w:kern w:val="0"/>
                <w:sz w:val="24"/>
                <w:szCs w:val="28"/>
              </w:rPr>
              <w:t>*</w:t>
            </w:r>
          </w:p>
        </w:tc>
        <w:tc>
          <w:tcPr>
            <w:tcW w:w="2275" w:type="dxa"/>
            <w:tcBorders>
              <w:right w:val="single" w:sz="4" w:space="0" w:color="auto"/>
            </w:tcBorders>
            <w:vAlign w:val="center"/>
          </w:tcPr>
          <w:p w:rsidR="00FC3217" w:rsidRDefault="00FC3217" w:rsidP="007E5952">
            <w:pPr>
              <w:widowControl/>
              <w:jc w:val="center"/>
              <w:rPr>
                <w:rFonts w:ascii="仿宋_GB2312" w:eastAsia="仿宋_GB2312" w:hAnsi="仿宋" w:cs="宋体"/>
                <w:kern w:val="0"/>
                <w:sz w:val="24"/>
                <w:szCs w:val="28"/>
              </w:rPr>
            </w:pPr>
            <w:r>
              <w:rPr>
                <w:rFonts w:ascii="仿宋_GB2312" w:eastAsia="仿宋_GB2312" w:hAnsi="仿宋" w:cs="宋体" w:hint="eastAsia"/>
                <w:kern w:val="0"/>
                <w:sz w:val="24"/>
                <w:szCs w:val="28"/>
              </w:rPr>
              <w:t>*</w:t>
            </w:r>
          </w:p>
        </w:tc>
      </w:tr>
    </w:tbl>
    <w:p w:rsidR="00FC3217" w:rsidRDefault="00FC3217" w:rsidP="00021BE0">
      <w:pPr>
        <w:spacing w:beforeLines="50" w:afterLines="50"/>
        <w:ind w:firstLineChars="180" w:firstLine="504"/>
        <w:rPr>
          <w:rFonts w:ascii="仿宋_GB2312" w:eastAsia="仿宋_GB2312" w:cs="仿宋_GB2312"/>
          <w:sz w:val="28"/>
          <w:szCs w:val="28"/>
        </w:rPr>
      </w:pPr>
    </w:p>
    <w:p w:rsidR="00173848" w:rsidRDefault="00FC3217" w:rsidP="00021BE0">
      <w:pPr>
        <w:spacing w:beforeLines="50" w:afterLines="50"/>
        <w:ind w:firstLineChars="180" w:firstLine="504"/>
        <w:rPr>
          <w:rFonts w:ascii="仿宋_GB2312" w:eastAsia="仿宋_GB2312" w:cs="仿宋_GB2312"/>
          <w:sz w:val="28"/>
          <w:szCs w:val="28"/>
        </w:rPr>
      </w:pPr>
      <w:bookmarkStart w:id="251" w:name="_Toc11016"/>
      <w:bookmarkStart w:id="252" w:name="_Toc452021477"/>
      <w:bookmarkStart w:id="253" w:name="_Toc23658"/>
      <w:bookmarkStart w:id="254" w:name="_Toc20063"/>
      <w:bookmarkStart w:id="255" w:name="_Toc32131"/>
      <w:bookmarkStart w:id="256" w:name="_Toc23030"/>
      <w:r>
        <w:rPr>
          <w:rFonts w:ascii="仿宋_GB2312" w:eastAsia="仿宋_GB2312" w:cs="仿宋_GB2312" w:hint="eastAsia"/>
          <w:sz w:val="28"/>
          <w:szCs w:val="28"/>
        </w:rPr>
        <w:t>（二）持仓限额占用预警与调整</w:t>
      </w:r>
      <w:bookmarkEnd w:id="251"/>
      <w:bookmarkEnd w:id="252"/>
      <w:bookmarkEnd w:id="253"/>
      <w:bookmarkEnd w:id="254"/>
      <w:bookmarkEnd w:id="255"/>
      <w:bookmarkEnd w:id="256"/>
    </w:p>
    <w:p w:rsidR="00173848" w:rsidRDefault="00FC3217" w:rsidP="00021BE0">
      <w:pPr>
        <w:spacing w:beforeLines="50" w:afterLines="50"/>
        <w:ind w:firstLineChars="180" w:firstLine="504"/>
        <w:rPr>
          <w:rFonts w:ascii="仿宋_GB2312" w:eastAsia="仿宋_GB2312" w:cs="仿宋_GB2312"/>
          <w:sz w:val="28"/>
          <w:szCs w:val="28"/>
        </w:rPr>
      </w:pPr>
      <w:r>
        <w:rPr>
          <w:rFonts w:ascii="仿宋_GB2312" w:eastAsia="仿宋_GB2312" w:cs="仿宋_GB2312" w:hint="eastAsia"/>
          <w:sz w:val="28"/>
          <w:szCs w:val="28"/>
        </w:rPr>
        <w:t>1、期货公司</w:t>
      </w:r>
      <w:r>
        <w:rPr>
          <w:rFonts w:ascii="仿宋_GB2312" w:eastAsia="仿宋_GB2312" w:hAnsi="Times New Roman" w:cs="仿宋_GB2312" w:hint="eastAsia"/>
          <w:kern w:val="0"/>
          <w:sz w:val="28"/>
          <w:szCs w:val="28"/>
        </w:rPr>
        <w:t>以合约账户为单位对投资者的持仓限额</w:t>
      </w:r>
      <w:r>
        <w:rPr>
          <w:rFonts w:ascii="仿宋_GB2312" w:eastAsia="仿宋_GB2312" w:cs="仿宋_GB2312" w:hint="eastAsia"/>
          <w:sz w:val="28"/>
          <w:szCs w:val="28"/>
        </w:rPr>
        <w:t>进行前端控制。对超过限额导致的申报失败应有提醒。</w:t>
      </w:r>
    </w:p>
    <w:p w:rsidR="00173848" w:rsidRDefault="00FC3217" w:rsidP="00021BE0">
      <w:pPr>
        <w:spacing w:beforeLines="50" w:afterLines="50"/>
        <w:ind w:firstLineChars="180" w:firstLine="504"/>
        <w:rPr>
          <w:rFonts w:ascii="仿宋_GB2312" w:eastAsia="仿宋_GB2312" w:hAnsi="Times New Roman" w:cs="仿宋_GB2312"/>
          <w:kern w:val="0"/>
          <w:sz w:val="28"/>
          <w:szCs w:val="28"/>
        </w:rPr>
      </w:pPr>
      <w:r>
        <w:rPr>
          <w:rFonts w:ascii="仿宋_GB2312" w:eastAsia="仿宋_GB2312" w:cs="仿宋_GB2312" w:hint="eastAsia"/>
          <w:sz w:val="28"/>
          <w:szCs w:val="28"/>
        </w:rPr>
        <w:t>2、对因上交所持仓限额调整</w:t>
      </w:r>
      <w:r>
        <w:rPr>
          <w:rFonts w:ascii="仿宋_GB2312" w:eastAsia="仿宋_GB2312" w:hAnsi="Times New Roman" w:cs="仿宋_GB2312" w:hint="eastAsia"/>
          <w:kern w:val="0"/>
          <w:sz w:val="28"/>
          <w:szCs w:val="28"/>
        </w:rPr>
        <w:t>或投资者申请的持仓限额到期导致投资者持仓超限，</w:t>
      </w:r>
      <w:r>
        <w:rPr>
          <w:rFonts w:ascii="仿宋_GB2312" w:eastAsia="仿宋_GB2312" w:cs="仿宋_GB2312" w:hint="eastAsia"/>
          <w:sz w:val="28"/>
          <w:szCs w:val="28"/>
        </w:rPr>
        <w:t>期货</w:t>
      </w:r>
      <w:r>
        <w:rPr>
          <w:rFonts w:ascii="仿宋_GB2312" w:eastAsia="仿宋_GB2312" w:hAnsi="Times New Roman" w:cs="仿宋_GB2312" w:hint="eastAsia"/>
          <w:kern w:val="0"/>
          <w:sz w:val="28"/>
          <w:szCs w:val="28"/>
        </w:rPr>
        <w:t>公司不需要求投资者自行平仓或对投资者的超额持仓进行强行平仓，但对开仓需按新的持仓限额进行限制。对投资者额度使用情况与申请不符的，期货公司应及时对该投资者限制开仓并要求其自行平仓，同时及时向交易所报告。</w:t>
      </w:r>
    </w:p>
    <w:p w:rsidR="00FC3217" w:rsidRDefault="00FC3217" w:rsidP="00FC3217">
      <w:pPr>
        <w:ind w:firstLineChars="200" w:firstLine="560"/>
        <w:rPr>
          <w:rFonts w:ascii="仿宋_GB2312" w:eastAsia="仿宋_GB2312" w:cs="仿宋_GB2312"/>
          <w:sz w:val="28"/>
          <w:szCs w:val="28"/>
        </w:rPr>
      </w:pPr>
      <w:r>
        <w:rPr>
          <w:rFonts w:ascii="仿宋_GB2312" w:eastAsia="仿宋_GB2312" w:cs="仿宋_GB2312" w:hint="eastAsia"/>
          <w:sz w:val="28"/>
          <w:szCs w:val="28"/>
        </w:rPr>
        <w:t>3、在本所持仓限额范围内，若客户存在频繁的强行平仓、交易违规等情况，期货公司可对客户的持仓限额进行下调，期货公司应当至少提前三个交易日将调整情况告知客户。如客户持仓超过新核定持仓额度，期货公司可采取限制新开仓、要求客户自行平仓等措施。</w:t>
      </w:r>
    </w:p>
    <w:p w:rsidR="00FC3217" w:rsidRDefault="00FC3217" w:rsidP="00FC3217">
      <w:pPr>
        <w:ind w:firstLineChars="200" w:firstLine="560"/>
        <w:rPr>
          <w:rFonts w:ascii="仿宋_GB2312" w:eastAsia="仿宋_GB2312" w:cs="仿宋_GB2312"/>
          <w:sz w:val="28"/>
          <w:szCs w:val="28"/>
        </w:rPr>
      </w:pPr>
      <w:r>
        <w:rPr>
          <w:rFonts w:ascii="仿宋_GB2312" w:eastAsia="仿宋_GB2312" w:cs="仿宋_GB2312" w:hint="eastAsia"/>
          <w:sz w:val="28"/>
          <w:szCs w:val="28"/>
        </w:rPr>
        <w:t>若客户主动申请调低持仓限额，期货公司应当同意，并按其申请额度进行配置。</w:t>
      </w:r>
    </w:p>
    <w:p w:rsidR="00FC3217" w:rsidRDefault="00FC3217" w:rsidP="00021BE0">
      <w:pPr>
        <w:spacing w:beforeLines="50" w:afterLines="50"/>
        <w:ind w:firstLineChars="180" w:firstLine="504"/>
        <w:rPr>
          <w:rFonts w:ascii="仿宋_GB2312" w:eastAsia="仿宋_GB2312" w:hAnsi="Times New Roman" w:cs="仿宋_GB2312"/>
          <w:kern w:val="0"/>
          <w:sz w:val="28"/>
          <w:szCs w:val="28"/>
        </w:rPr>
      </w:pPr>
      <w:r>
        <w:rPr>
          <w:rFonts w:ascii="仿宋_GB2312" w:eastAsia="仿宋_GB2312" w:hAnsi="Times New Roman" w:cs="仿宋_GB2312" w:hint="eastAsia"/>
          <w:kern w:val="0"/>
          <w:sz w:val="28"/>
          <w:szCs w:val="28"/>
        </w:rPr>
        <w:t>4、对违反上交所规定（不含上述第（二）项）的超额持仓或开仓，如前端控制失效导致持仓超过</w:t>
      </w:r>
      <w:r>
        <w:rPr>
          <w:rFonts w:ascii="仿宋_GB2312" w:eastAsia="仿宋_GB2312" w:cs="仿宋_GB2312" w:hint="eastAsia"/>
          <w:sz w:val="28"/>
          <w:szCs w:val="28"/>
        </w:rPr>
        <w:t>上交所</w:t>
      </w:r>
      <w:r>
        <w:rPr>
          <w:rFonts w:ascii="仿宋_GB2312" w:eastAsia="仿宋_GB2312" w:hAnsi="Times New Roman" w:cs="仿宋_GB2312" w:hint="eastAsia"/>
          <w:kern w:val="0"/>
          <w:sz w:val="28"/>
          <w:szCs w:val="28"/>
        </w:rPr>
        <w:t>规定水平，期货公司应及时</w:t>
      </w:r>
      <w:r>
        <w:rPr>
          <w:rFonts w:ascii="仿宋_GB2312" w:eastAsia="仿宋_GB2312" w:hAnsi="Times New Roman" w:cs="仿宋_GB2312" w:hint="eastAsia"/>
          <w:kern w:val="0"/>
          <w:sz w:val="28"/>
          <w:szCs w:val="28"/>
        </w:rPr>
        <w:lastRenderedPageBreak/>
        <w:t>对投资者的超额持仓进行强行平仓，否则上交所将按相关规定对期货公司进行处理。</w:t>
      </w:r>
    </w:p>
    <w:p w:rsidR="00FC3217" w:rsidRDefault="00FC3217" w:rsidP="00FC3217">
      <w:pPr>
        <w:ind w:firstLineChars="200" w:firstLine="560"/>
        <w:rPr>
          <w:rFonts w:ascii="仿宋_GB2312" w:eastAsia="仿宋_GB2312"/>
          <w:sz w:val="28"/>
          <w:szCs w:val="28"/>
        </w:rPr>
      </w:pPr>
      <w:r>
        <w:rPr>
          <w:rFonts w:ascii="仿宋_GB2312" w:eastAsia="仿宋_GB2312" w:cs="仿宋_GB2312" w:hint="eastAsia"/>
          <w:sz w:val="28"/>
          <w:szCs w:val="28"/>
        </w:rPr>
        <w:t>5、</w:t>
      </w:r>
      <w:r>
        <w:rPr>
          <w:rFonts w:ascii="仿宋_GB2312" w:eastAsia="仿宋_GB2312" w:hAnsi="Times New Roman" w:cs="仿宋_GB2312" w:hint="eastAsia"/>
          <w:kern w:val="0"/>
          <w:sz w:val="28"/>
          <w:szCs w:val="28"/>
        </w:rPr>
        <w:t>投资者因套保等需要可以通过期货公司向上交所申请提高持仓限额。</w:t>
      </w:r>
      <w:r>
        <w:rPr>
          <w:rFonts w:ascii="仿宋_GB2312" w:eastAsia="仿宋_GB2312" w:hint="eastAsia"/>
          <w:sz w:val="28"/>
          <w:szCs w:val="28"/>
        </w:rPr>
        <w:t>联系方式：021-</w:t>
      </w:r>
      <w:r>
        <w:rPr>
          <w:rFonts w:ascii="仿宋_GB2312" w:eastAsia="仿宋_GB2312"/>
          <w:sz w:val="28"/>
          <w:szCs w:val="28"/>
        </w:rPr>
        <w:t>68811322</w:t>
      </w:r>
      <w:r>
        <w:rPr>
          <w:rFonts w:ascii="仿宋_GB2312" w:eastAsia="仿宋_GB2312" w:hint="eastAsia"/>
          <w:sz w:val="28"/>
          <w:szCs w:val="28"/>
        </w:rPr>
        <w:t>。</w:t>
      </w:r>
    </w:p>
    <w:p w:rsidR="00FC3217" w:rsidRDefault="00FC3217" w:rsidP="00FC3217">
      <w:pPr>
        <w:widowControl/>
        <w:ind w:firstLineChars="150" w:firstLine="420"/>
        <w:jc w:val="left"/>
        <w:rPr>
          <w:rFonts w:ascii="仿宋_GB2312" w:eastAsia="仿宋_GB2312" w:hAnsi="Times New Roman" w:cs="仿宋_GB2312"/>
          <w:kern w:val="0"/>
          <w:sz w:val="28"/>
          <w:szCs w:val="28"/>
        </w:rPr>
      </w:pPr>
      <w:r>
        <w:rPr>
          <w:rFonts w:ascii="仿宋_GB2312" w:eastAsia="仿宋_GB2312" w:hAnsi="Times New Roman" w:cs="仿宋_GB2312" w:hint="eastAsia"/>
          <w:kern w:val="0"/>
          <w:sz w:val="28"/>
          <w:szCs w:val="28"/>
        </w:rPr>
        <w:t>6、投资者符合本所相关规定可以调高持仓限额的，期货公司应当及时、主动为投资者进行相应的持仓限额调整，无需投资者提交申请，并尽快将持仓限额调整的情况通知到客户。</w:t>
      </w:r>
    </w:p>
    <w:p w:rsidR="00FC3217" w:rsidRDefault="00FC3217" w:rsidP="00FC3217">
      <w:pPr>
        <w:adjustRightInd w:val="0"/>
        <w:snapToGrid w:val="0"/>
        <w:spacing w:line="600" w:lineRule="exact"/>
        <w:ind w:firstLine="560"/>
        <w:jc w:val="left"/>
        <w:rPr>
          <w:rFonts w:ascii="仿宋_GB2312" w:eastAsia="仿宋_GB2312" w:cs="仿宋_GB2312"/>
          <w:sz w:val="28"/>
          <w:szCs w:val="28"/>
        </w:rPr>
      </w:pPr>
      <w:r>
        <w:rPr>
          <w:rFonts w:ascii="仿宋_GB2312" w:eastAsia="仿宋_GB2312" w:hAnsi="Times New Roman" w:cs="仿宋_GB2312" w:hint="eastAsia"/>
          <w:kern w:val="0"/>
          <w:sz w:val="28"/>
          <w:szCs w:val="28"/>
        </w:rPr>
        <w:t>7、投资者持有多个合约账户时，在提供合约账户相关凭证或交易记录的情况下，期货公司可以将其合约账户中最高的持仓限额作为其他合约账户的持仓限额。</w:t>
      </w:r>
    </w:p>
    <w:p w:rsidR="00FC3217" w:rsidRDefault="00FC3217" w:rsidP="00FC3217">
      <w:pPr>
        <w:ind w:firstLineChars="200" w:firstLine="560"/>
        <w:rPr>
          <w:rFonts w:ascii="仿宋_GB2312" w:eastAsia="仿宋_GB2312" w:cs="仿宋_GB2312"/>
          <w:sz w:val="28"/>
          <w:szCs w:val="28"/>
        </w:rPr>
      </w:pPr>
    </w:p>
    <w:p w:rsidR="00FC3217" w:rsidRDefault="00FC3217" w:rsidP="00FC3217">
      <w:pPr>
        <w:pStyle w:val="2"/>
        <w:ind w:firstLine="562"/>
      </w:pPr>
      <w:bookmarkStart w:id="257" w:name="_Toc408749995"/>
      <w:bookmarkStart w:id="258" w:name="_Toc20325"/>
      <w:bookmarkStart w:id="259" w:name="_Toc22175"/>
      <w:bookmarkStart w:id="260" w:name="_Toc27189"/>
      <w:bookmarkStart w:id="261" w:name="_Toc9875"/>
      <w:bookmarkStart w:id="262" w:name="_Toc23946985"/>
      <w:r>
        <w:rPr>
          <w:rFonts w:hint="eastAsia"/>
        </w:rPr>
        <w:t>二、客户买入额度管理</w:t>
      </w:r>
      <w:bookmarkEnd w:id="257"/>
      <w:r>
        <w:rPr>
          <w:rFonts w:hint="eastAsia"/>
        </w:rPr>
        <w:t>（限购）</w:t>
      </w:r>
      <w:bookmarkEnd w:id="258"/>
      <w:bookmarkEnd w:id="259"/>
      <w:bookmarkEnd w:id="260"/>
      <w:bookmarkEnd w:id="261"/>
      <w:bookmarkEnd w:id="262"/>
    </w:p>
    <w:p w:rsidR="00FC3217" w:rsidRDefault="00FC3217" w:rsidP="00FC3217">
      <w:pPr>
        <w:ind w:firstLineChars="200" w:firstLine="562"/>
        <w:rPr>
          <w:rFonts w:ascii="仿宋_GB2312" w:eastAsia="仿宋_GB2312" w:cs="仿宋_GB2312"/>
          <w:b/>
          <w:sz w:val="28"/>
          <w:szCs w:val="28"/>
        </w:rPr>
      </w:pPr>
      <w:r>
        <w:rPr>
          <w:rFonts w:ascii="仿宋_GB2312" w:eastAsia="仿宋_GB2312" w:cs="仿宋_GB2312" w:hint="eastAsia"/>
          <w:b/>
          <w:sz w:val="28"/>
          <w:szCs w:val="28"/>
        </w:rPr>
        <w:t>（一）限购前端控制</w:t>
      </w:r>
    </w:p>
    <w:p w:rsidR="00FC3217" w:rsidRDefault="00FC3217" w:rsidP="00FC3217">
      <w:pPr>
        <w:ind w:firstLineChars="200" w:firstLine="560"/>
        <w:rPr>
          <w:rFonts w:ascii="仿宋_GB2312" w:eastAsia="仿宋_GB2312" w:cs="仿宋_GB2312"/>
          <w:sz w:val="28"/>
          <w:szCs w:val="28"/>
        </w:rPr>
      </w:pPr>
      <w:r>
        <w:rPr>
          <w:rFonts w:ascii="仿宋_GB2312" w:eastAsia="仿宋_GB2312" w:cs="仿宋_GB2312" w:hint="eastAsia"/>
          <w:sz w:val="28"/>
          <w:szCs w:val="28"/>
        </w:rPr>
        <w:t>股票期权业务对个人投资者实行买入额度管理，即限购。期货公司</w:t>
      </w:r>
      <w:r>
        <w:rPr>
          <w:rFonts w:ascii="仿宋_GB2312" w:eastAsia="仿宋_GB2312" w:hAnsi="Times New Roman" w:cs="仿宋_GB2312" w:hint="eastAsia"/>
          <w:kern w:val="0"/>
          <w:sz w:val="28"/>
          <w:szCs w:val="28"/>
        </w:rPr>
        <w:t>以合约账户为单位对投资者买入金额进行前端控制，</w:t>
      </w:r>
      <w:r>
        <w:rPr>
          <w:rFonts w:ascii="仿宋_GB2312" w:eastAsia="仿宋_GB2312" w:cs="仿宋_GB2312" w:hint="eastAsia"/>
          <w:sz w:val="28"/>
          <w:szCs w:val="28"/>
        </w:rPr>
        <w:t>对超过额度导致的申报失败在交易客户端界面进行提醒及解释。</w:t>
      </w:r>
    </w:p>
    <w:p w:rsidR="00FC3217" w:rsidRDefault="00FC3217" w:rsidP="00FC3217">
      <w:pPr>
        <w:ind w:firstLineChars="200" w:firstLine="560"/>
        <w:rPr>
          <w:rFonts w:ascii="仿宋_GB2312" w:eastAsia="仿宋_GB2312" w:cs="仿宋_GB2312"/>
          <w:sz w:val="28"/>
          <w:szCs w:val="28"/>
        </w:rPr>
      </w:pPr>
      <w:r>
        <w:rPr>
          <w:rFonts w:ascii="仿宋_GB2312" w:eastAsia="仿宋_GB2312" w:cs="仿宋_GB2312" w:hint="eastAsia"/>
          <w:sz w:val="28"/>
          <w:szCs w:val="28"/>
        </w:rPr>
        <w:t>期货公司可根据自身情况，结合个人客户的资产状况、适当性综合评估结果等因素，规定客户的限购额度，该限额不得超过本所规定的限购额度。期货公司总部负责客户限购额度的审核。</w:t>
      </w:r>
    </w:p>
    <w:p w:rsidR="00FC3217" w:rsidRDefault="00FC3217" w:rsidP="00FC3217">
      <w:pPr>
        <w:ind w:firstLineChars="200" w:firstLine="560"/>
        <w:rPr>
          <w:rFonts w:ascii="仿宋_GB2312" w:eastAsia="仿宋_GB2312" w:cs="仿宋_GB2312"/>
          <w:sz w:val="28"/>
          <w:szCs w:val="28"/>
        </w:rPr>
      </w:pPr>
      <w:r>
        <w:rPr>
          <w:rFonts w:ascii="仿宋_GB2312" w:eastAsia="仿宋_GB2312" w:cs="仿宋_GB2312" w:hint="eastAsia"/>
          <w:sz w:val="28"/>
          <w:szCs w:val="28"/>
        </w:rPr>
        <w:t>本所规定个人客户用于期权买入开仓的资金规模，不得超过下述金额中较高者（已申请并获本所批准的套保额度账户除外）：</w:t>
      </w:r>
    </w:p>
    <w:p w:rsidR="00FC3217" w:rsidRDefault="00FC3217" w:rsidP="00FC3217">
      <w:pPr>
        <w:numPr>
          <w:ilvl w:val="0"/>
          <w:numId w:val="3"/>
        </w:numPr>
        <w:ind w:firstLineChars="200" w:firstLine="560"/>
        <w:rPr>
          <w:rFonts w:ascii="仿宋_GB2312" w:eastAsia="仿宋_GB2312" w:hAnsi="Times New Roman" w:cs="仿宋_GB2312"/>
          <w:kern w:val="0"/>
          <w:sz w:val="28"/>
          <w:szCs w:val="28"/>
        </w:rPr>
      </w:pPr>
      <w:r>
        <w:rPr>
          <w:rFonts w:ascii="仿宋_GB2312" w:eastAsia="仿宋_GB2312" w:cs="仿宋_GB2312" w:hint="eastAsia"/>
          <w:sz w:val="28"/>
          <w:szCs w:val="28"/>
        </w:rPr>
        <w:lastRenderedPageBreak/>
        <w:t>客户由期货公司托管的</w:t>
      </w:r>
      <w:r>
        <w:rPr>
          <w:rFonts w:ascii="仿宋_GB2312" w:eastAsia="仿宋_GB2312" w:hAnsi="Times New Roman" w:cs="仿宋_GB2312" w:hint="eastAsia"/>
          <w:sz w:val="28"/>
          <w:szCs w:val="28"/>
        </w:rPr>
        <w:t>自有资产余额</w:t>
      </w:r>
      <w:r>
        <w:rPr>
          <w:rFonts w:ascii="仿宋_GB2312" w:eastAsia="仿宋_GB2312" w:cs="仿宋_GB2312" w:hint="eastAsia"/>
          <w:sz w:val="28"/>
          <w:szCs w:val="28"/>
        </w:rPr>
        <w:t xml:space="preserve">10%。 </w:t>
      </w:r>
      <w:r>
        <w:rPr>
          <w:rFonts w:ascii="仿宋_GB2312" w:eastAsia="仿宋_GB2312" w:hAnsi="Times New Roman" w:cs="仿宋_GB2312" w:hint="eastAsia"/>
          <w:kern w:val="0"/>
          <w:sz w:val="28"/>
          <w:szCs w:val="28"/>
        </w:rPr>
        <w:t>对于风险承受能力较强且具备三级交易权限的客户，期货公司可以将其买入金额限额提高至不超过该客户托管在该期货公司的自有资产余额的20%；对于权利仓持仓限额已达到2000张的客户，期货公司可以将其买入金额限额提高至不超过该客户托管在该期货公司的自有资产余额的30%。</w:t>
      </w:r>
    </w:p>
    <w:p w:rsidR="00FC3217" w:rsidRDefault="00FC3217" w:rsidP="00FC3217">
      <w:pPr>
        <w:ind w:firstLineChars="200" w:firstLine="560"/>
        <w:rPr>
          <w:rFonts w:ascii="仿宋_GB2312" w:eastAsia="仿宋_GB2312" w:hAnsi="Times New Roman" w:cs="仿宋_GB2312"/>
          <w:kern w:val="0"/>
          <w:sz w:val="28"/>
          <w:szCs w:val="28"/>
        </w:rPr>
      </w:pPr>
      <w:r>
        <w:rPr>
          <w:rFonts w:ascii="仿宋_GB2312" w:eastAsia="仿宋_GB2312" w:hAnsi="Times New Roman" w:cs="仿宋_GB2312" w:hint="eastAsia"/>
          <w:kern w:val="0"/>
          <w:sz w:val="28"/>
          <w:szCs w:val="28"/>
        </w:rPr>
        <w:t>期货公司可采用投资者最近一次风险承受能力评估结果，投资者的风险等级应不得低于“稳健型”，具体认定由期货公司结合客户的实际情况进行判断。</w:t>
      </w:r>
    </w:p>
    <w:p w:rsidR="00FC3217" w:rsidRDefault="00FC3217" w:rsidP="00FC3217">
      <w:pPr>
        <w:ind w:firstLineChars="200" w:firstLine="560"/>
        <w:rPr>
          <w:rFonts w:ascii="仿宋_GB2312" w:eastAsia="仿宋_GB2312" w:cs="仿宋_GB2312"/>
          <w:sz w:val="28"/>
          <w:szCs w:val="28"/>
        </w:rPr>
      </w:pPr>
      <w:r>
        <w:rPr>
          <w:rFonts w:ascii="仿宋_GB2312" w:eastAsia="仿宋_GB2312" w:hAnsi="Times New Roman" w:cs="仿宋_GB2312" w:hint="eastAsia"/>
          <w:kern w:val="0"/>
          <w:sz w:val="28"/>
          <w:szCs w:val="28"/>
        </w:rPr>
        <w:t>自有资产余额指投资者托管在该期货公司的证券市值与资金账户可用余额（</w:t>
      </w:r>
      <w:r>
        <w:rPr>
          <w:rFonts w:ascii="仿宋_GB2312" w:eastAsia="仿宋_GB2312" w:hAnsi="宋体" w:cs="仿宋_GB2312" w:hint="eastAsia"/>
          <w:color w:val="000000"/>
          <w:sz w:val="28"/>
          <w:szCs w:val="28"/>
        </w:rPr>
        <w:t>包括保证金可用余额</w:t>
      </w:r>
      <w:r>
        <w:rPr>
          <w:rFonts w:ascii="仿宋_GB2312" w:eastAsia="仿宋_GB2312" w:hAnsi="Times New Roman" w:cs="仿宋_GB2312" w:hint="eastAsia"/>
          <w:kern w:val="0"/>
          <w:sz w:val="28"/>
          <w:szCs w:val="28"/>
        </w:rPr>
        <w:t>）。其中，证券市值包括期权合约市值，计算方法为：期权合约市值=∑期权合约实时成交价或最新结算价×合约单位×合约张数×（±1）。当投资者持有权利仓时，期权合约市值计为正值；当投资者持有义务仓时，期权合约市值计为负值。</w:t>
      </w:r>
    </w:p>
    <w:p w:rsidR="00FC3217" w:rsidRDefault="00FC3217" w:rsidP="00FC3217">
      <w:pPr>
        <w:ind w:firstLineChars="200" w:firstLine="560"/>
        <w:rPr>
          <w:rFonts w:ascii="仿宋_GB2312" w:eastAsia="仿宋_GB2312" w:cs="仿宋_GB2312"/>
          <w:sz w:val="28"/>
          <w:szCs w:val="28"/>
        </w:rPr>
      </w:pPr>
      <w:r>
        <w:rPr>
          <w:rFonts w:ascii="仿宋_GB2312" w:eastAsia="仿宋_GB2312" w:cs="仿宋_GB2312" w:hint="eastAsia"/>
          <w:sz w:val="28"/>
          <w:szCs w:val="28"/>
        </w:rPr>
        <w:t>（2）前6个月日均持有沪市证券市值的20%。</w:t>
      </w:r>
    </w:p>
    <w:p w:rsidR="00FC3217" w:rsidRDefault="00FC3217" w:rsidP="00FC3217">
      <w:pPr>
        <w:ind w:firstLineChars="200" w:firstLine="560"/>
        <w:rPr>
          <w:rFonts w:ascii="仿宋_GB2312" w:eastAsia="仿宋_GB2312" w:cs="仿宋_GB2312"/>
          <w:sz w:val="28"/>
          <w:szCs w:val="28"/>
        </w:rPr>
      </w:pPr>
      <w:r>
        <w:rPr>
          <w:rFonts w:ascii="仿宋_GB2312" w:eastAsia="仿宋_GB2312" w:cs="仿宋_GB2312" w:hint="eastAsia"/>
          <w:sz w:val="28"/>
          <w:szCs w:val="28"/>
        </w:rPr>
        <w:t>买入金额上限由期货公司计算并予以前端控制。买入金额按万取整, 如max{</w:t>
      </w:r>
      <w:r>
        <w:rPr>
          <w:rFonts w:ascii="仿宋_GB2312" w:eastAsia="仿宋_GB2312" w:hAnsi="Times New Roman" w:cs="仿宋_GB2312" w:hint="eastAsia"/>
          <w:sz w:val="28"/>
          <w:szCs w:val="28"/>
        </w:rPr>
        <w:t>自有资产余额</w:t>
      </w:r>
      <w:r>
        <w:rPr>
          <w:rFonts w:ascii="仿宋_GB2312" w:eastAsia="仿宋_GB2312" w:cs="仿宋_GB2312" w:hint="eastAsia"/>
          <w:sz w:val="28"/>
          <w:szCs w:val="28"/>
        </w:rPr>
        <w:t>的10%，前6个月日均持有沪市证券市值的20%}=max{4.3万，9.5万}，应设为9万。买入金额不足1万的，设为1万。</w:t>
      </w:r>
    </w:p>
    <w:p w:rsidR="00FC3217" w:rsidRDefault="00FC3217" w:rsidP="00FC3217">
      <w:pPr>
        <w:ind w:firstLineChars="200" w:firstLine="560"/>
        <w:rPr>
          <w:rFonts w:ascii="仿宋_GB2312" w:eastAsia="仿宋_GB2312" w:hAnsi="Times New Roman" w:cs="仿宋_GB2312"/>
          <w:kern w:val="0"/>
          <w:sz w:val="28"/>
          <w:szCs w:val="28"/>
        </w:rPr>
      </w:pPr>
      <w:r>
        <w:rPr>
          <w:rFonts w:ascii="仿宋_GB2312" w:eastAsia="仿宋_GB2312" w:hAnsi="Times New Roman" w:cs="仿宋_GB2312" w:hint="eastAsia"/>
          <w:kern w:val="0"/>
          <w:sz w:val="28"/>
          <w:szCs w:val="28"/>
        </w:rPr>
        <w:t>期货公司前端控制参考算法（对每笔买入开仓申报）：∑（该账户持有各合约权利仓持仓张数*持仓成本）+已申报买入开仓但未成交金额+该笔买入金额&gt;买入额度（由期货公司核定并向上交所报备的额</w:t>
      </w:r>
      <w:r>
        <w:rPr>
          <w:rFonts w:ascii="仿宋_GB2312" w:eastAsia="仿宋_GB2312" w:hAnsi="Times New Roman" w:cs="仿宋_GB2312" w:hint="eastAsia"/>
          <w:kern w:val="0"/>
          <w:sz w:val="28"/>
          <w:szCs w:val="28"/>
        </w:rPr>
        <w:lastRenderedPageBreak/>
        <w:t>度），则该笔申报无效。</w:t>
      </w:r>
    </w:p>
    <w:p w:rsidR="00FC3217" w:rsidRDefault="00FC3217" w:rsidP="00FC3217">
      <w:pPr>
        <w:spacing w:before="156" w:after="156"/>
        <w:ind w:firstLineChars="200" w:firstLine="560"/>
        <w:rPr>
          <w:rFonts w:ascii="仿宋_GB2312" w:eastAsia="仿宋_GB2312" w:hAnsi="Times New Roman" w:cs="仿宋_GB2312"/>
          <w:kern w:val="0"/>
          <w:sz w:val="28"/>
          <w:szCs w:val="28"/>
        </w:rPr>
      </w:pPr>
      <w:r>
        <w:rPr>
          <w:rFonts w:ascii="仿宋_GB2312" w:eastAsia="仿宋_GB2312" w:hAnsi="Times New Roman" w:cs="仿宋_GB2312" w:hint="eastAsia"/>
          <w:kern w:val="0"/>
          <w:sz w:val="28"/>
          <w:szCs w:val="28"/>
        </w:rPr>
        <w:t>（二）限购额度调整</w:t>
      </w:r>
    </w:p>
    <w:p w:rsidR="00FC3217" w:rsidRDefault="00FC3217" w:rsidP="00FC3217">
      <w:pPr>
        <w:spacing w:before="156" w:after="156"/>
        <w:ind w:firstLineChars="200" w:firstLine="560"/>
        <w:rPr>
          <w:rFonts w:ascii="仿宋_GB2312" w:eastAsia="仿宋_GB2312" w:hAnsi="Times New Roman" w:cs="仿宋_GB2312"/>
          <w:kern w:val="0"/>
          <w:sz w:val="28"/>
          <w:szCs w:val="28"/>
        </w:rPr>
      </w:pPr>
      <w:r>
        <w:rPr>
          <w:rFonts w:ascii="仿宋_GB2312" w:eastAsia="仿宋_GB2312" w:hAnsi="Times New Roman" w:cs="仿宋_GB2312" w:hint="eastAsia"/>
          <w:kern w:val="0"/>
          <w:sz w:val="28"/>
          <w:szCs w:val="28"/>
        </w:rPr>
        <w:t>1、期货公司日常应接受客户提高或降低买入额度的申请，经审核通过后生效。</w:t>
      </w:r>
    </w:p>
    <w:p w:rsidR="00FC3217" w:rsidRDefault="00FC3217" w:rsidP="00FC3217">
      <w:pPr>
        <w:spacing w:before="156" w:after="156"/>
        <w:ind w:firstLineChars="200" w:firstLine="560"/>
        <w:rPr>
          <w:rFonts w:ascii="仿宋_GB2312" w:eastAsia="仿宋_GB2312" w:hAnsi="Times New Roman" w:cs="仿宋_GB2312"/>
          <w:kern w:val="0"/>
          <w:sz w:val="28"/>
          <w:szCs w:val="28"/>
        </w:rPr>
      </w:pPr>
      <w:r>
        <w:rPr>
          <w:rFonts w:ascii="仿宋_GB2312" w:eastAsia="仿宋_GB2312" w:hAnsi="Times New Roman" w:cs="仿宋_GB2312" w:hint="eastAsia"/>
          <w:kern w:val="0"/>
          <w:sz w:val="28"/>
          <w:szCs w:val="28"/>
        </w:rPr>
        <w:t>2、期货公司可自行设定针对客户买入额度的调整频率，但每个自然年度至少调整一次。例如，2015年开户的客户（包括尚未调整和调整过买入额度的客户），2016年度应至少调整一次，具体调整时间各期权经营机构可以自行确定。额度调整下一交易日生效，期货公司应及时提醒客户额度变更情况。</w:t>
      </w:r>
    </w:p>
    <w:p w:rsidR="00FC3217" w:rsidRDefault="00FC3217" w:rsidP="00FC3217">
      <w:pPr>
        <w:spacing w:before="156" w:after="156"/>
        <w:ind w:firstLineChars="200" w:firstLine="560"/>
        <w:rPr>
          <w:rFonts w:ascii="仿宋_GB2312" w:eastAsia="仿宋_GB2312" w:hAnsi="Times New Roman" w:cs="仿宋_GB2312"/>
          <w:kern w:val="0"/>
          <w:sz w:val="28"/>
          <w:szCs w:val="28"/>
        </w:rPr>
      </w:pPr>
      <w:r>
        <w:rPr>
          <w:rFonts w:ascii="仿宋_GB2312" w:eastAsia="仿宋_GB2312" w:hAnsi="Times New Roman" w:cs="仿宋_GB2312" w:hint="eastAsia"/>
          <w:kern w:val="0"/>
          <w:sz w:val="28"/>
          <w:szCs w:val="28"/>
        </w:rPr>
        <w:t>3、期货公司对客户买入额度调整后,应按调整后的买入额度对客户进行前端控制，如存在客户买入持仓超过新核定买入额度或调整后的买入额度为零的,不需要求客户进行平仓（对因额度调整导致的持仓超限需要技术系统进行区分）,该客户现有持仓可以持有到期，但不能新增权利仓持仓。</w:t>
      </w:r>
    </w:p>
    <w:p w:rsidR="00FC3217" w:rsidRDefault="00FC3217" w:rsidP="00FC3217">
      <w:pPr>
        <w:ind w:firstLineChars="200" w:firstLine="560"/>
        <w:rPr>
          <w:rFonts w:ascii="仿宋_GB2312" w:eastAsia="仿宋_GB2312" w:cs="仿宋_GB2312"/>
          <w:sz w:val="28"/>
          <w:szCs w:val="28"/>
        </w:rPr>
      </w:pPr>
      <w:r>
        <w:rPr>
          <w:rFonts w:ascii="仿宋_GB2312" w:eastAsia="仿宋_GB2312" w:hAnsi="Times New Roman" w:cs="仿宋_GB2312" w:hint="eastAsia"/>
          <w:kern w:val="0"/>
          <w:sz w:val="28"/>
          <w:szCs w:val="28"/>
        </w:rPr>
        <w:t>4、</w:t>
      </w:r>
      <w:r>
        <w:rPr>
          <w:rFonts w:ascii="仿宋_GB2312" w:eastAsia="仿宋_GB2312" w:cs="仿宋_GB2312" w:hint="eastAsia"/>
          <w:sz w:val="28"/>
          <w:szCs w:val="28"/>
        </w:rPr>
        <w:t>对于存在频繁强平记录和交易违规情况的客户，期货公司可调低限购额度，调整后期货公司应及时告知客户。</w:t>
      </w:r>
    </w:p>
    <w:p w:rsidR="00FC3217" w:rsidRDefault="00FC3217" w:rsidP="00FC3217">
      <w:pPr>
        <w:ind w:firstLineChars="200" w:firstLine="560"/>
        <w:rPr>
          <w:rFonts w:ascii="仿宋_GB2312" w:eastAsia="仿宋_GB2312" w:cs="仿宋_GB2312"/>
          <w:sz w:val="28"/>
          <w:szCs w:val="28"/>
        </w:rPr>
      </w:pPr>
      <w:r>
        <w:rPr>
          <w:rFonts w:ascii="仿宋_GB2312" w:eastAsia="仿宋_GB2312" w:cs="仿宋_GB2312" w:hint="eastAsia"/>
          <w:sz w:val="28"/>
          <w:szCs w:val="28"/>
        </w:rPr>
        <w:t>5、如本所进行限购额度调整，期货公司须根据本所最新标准，结合公司限购额度计算方法，对客户限购额度进行统一调整。调整后期货公司应及时向客户公布调整信息。</w:t>
      </w:r>
    </w:p>
    <w:p w:rsidR="00FC3217" w:rsidRDefault="00FC3217" w:rsidP="00FC3217">
      <w:pPr>
        <w:widowControl/>
        <w:jc w:val="left"/>
        <w:rPr>
          <w:rFonts w:ascii="仿宋_GB2312" w:eastAsia="仿宋_GB2312" w:hAnsi="Times New Roman"/>
          <w:b/>
          <w:bCs/>
          <w:sz w:val="28"/>
          <w:szCs w:val="28"/>
        </w:rPr>
      </w:pPr>
    </w:p>
    <w:p w:rsidR="00FC3217" w:rsidRDefault="00FC3217" w:rsidP="00021BE0">
      <w:pPr>
        <w:pStyle w:val="2"/>
        <w:spacing w:beforeLines="50" w:afterLines="50"/>
        <w:ind w:firstLine="643"/>
        <w:jc w:val="center"/>
        <w:rPr>
          <w:rFonts w:ascii="黑体" w:eastAsia="黑体" w:hAnsi="黑体"/>
          <w:sz w:val="32"/>
        </w:rPr>
      </w:pPr>
      <w:bookmarkStart w:id="263" w:name="_Toc5102"/>
      <w:bookmarkStart w:id="264" w:name="_Toc7064"/>
      <w:bookmarkStart w:id="265" w:name="_Toc10064"/>
      <w:bookmarkStart w:id="266" w:name="_Toc408746737"/>
      <w:bookmarkStart w:id="267" w:name="_Toc25767"/>
      <w:bookmarkStart w:id="268" w:name="_Toc23946986"/>
      <w:r>
        <w:rPr>
          <w:rFonts w:ascii="黑体" w:eastAsia="黑体" w:hAnsi="黑体" w:hint="eastAsia"/>
          <w:sz w:val="32"/>
        </w:rPr>
        <w:lastRenderedPageBreak/>
        <w:t>第六章 保证金管理</w:t>
      </w:r>
      <w:bookmarkEnd w:id="263"/>
      <w:bookmarkEnd w:id="264"/>
      <w:bookmarkEnd w:id="265"/>
      <w:bookmarkEnd w:id="266"/>
      <w:bookmarkEnd w:id="267"/>
      <w:bookmarkEnd w:id="268"/>
    </w:p>
    <w:p w:rsidR="00FC3217" w:rsidRDefault="00FC3217" w:rsidP="00FC3217">
      <w:pPr>
        <w:pStyle w:val="2"/>
        <w:ind w:firstLine="562"/>
      </w:pPr>
      <w:bookmarkStart w:id="269" w:name="_Toc7529"/>
      <w:bookmarkStart w:id="270" w:name="_Toc11249"/>
      <w:bookmarkStart w:id="271" w:name="_Toc26021"/>
      <w:bookmarkStart w:id="272" w:name="_Toc3702"/>
      <w:bookmarkStart w:id="273" w:name="_Toc408746738"/>
      <w:bookmarkStart w:id="274" w:name="_Toc23946987"/>
      <w:r>
        <w:rPr>
          <w:rFonts w:hint="eastAsia"/>
        </w:rPr>
        <w:t>一、客户保证金管理</w:t>
      </w:r>
      <w:bookmarkEnd w:id="269"/>
      <w:bookmarkEnd w:id="270"/>
      <w:bookmarkEnd w:id="271"/>
      <w:bookmarkEnd w:id="272"/>
      <w:bookmarkEnd w:id="273"/>
      <w:bookmarkEnd w:id="274"/>
    </w:p>
    <w:p w:rsidR="00FC3217" w:rsidRDefault="00FC3217" w:rsidP="00021BE0">
      <w:pPr>
        <w:spacing w:beforeLines="50" w:afterLines="50" w:line="360" w:lineRule="auto"/>
        <w:ind w:firstLineChars="180" w:firstLine="504"/>
        <w:rPr>
          <w:rFonts w:ascii="仿宋_GB2312" w:eastAsia="仿宋_GB2312" w:hAnsi="Times New Roman"/>
          <w:sz w:val="28"/>
          <w:szCs w:val="28"/>
        </w:rPr>
      </w:pPr>
      <w:r>
        <w:rPr>
          <w:rFonts w:ascii="仿宋_GB2312" w:eastAsia="仿宋_GB2312" w:hAnsi="Times New Roman" w:hint="eastAsia"/>
          <w:sz w:val="28"/>
          <w:szCs w:val="28"/>
        </w:rPr>
        <w:t xml:space="preserve">（一）保证金水平 </w:t>
      </w:r>
    </w:p>
    <w:p w:rsidR="00173848" w:rsidRDefault="00FC3217" w:rsidP="00021BE0">
      <w:pPr>
        <w:spacing w:beforeLines="50" w:afterLines="50" w:line="360" w:lineRule="auto"/>
        <w:ind w:firstLineChars="180" w:firstLine="504"/>
        <w:rPr>
          <w:rFonts w:ascii="仿宋_GB2312" w:eastAsia="仿宋_GB2312" w:hAnsi="Times New Roman"/>
          <w:sz w:val="28"/>
          <w:szCs w:val="28"/>
        </w:rPr>
      </w:pPr>
      <w:r>
        <w:rPr>
          <w:rFonts w:ascii="仿宋_GB2312" w:eastAsia="仿宋_GB2312" w:hAnsi="Times New Roman" w:hint="eastAsia"/>
          <w:sz w:val="28"/>
          <w:szCs w:val="28"/>
        </w:rPr>
        <w:t>期货公司可按线性、非线性</w:t>
      </w:r>
      <w:r>
        <w:rPr>
          <w:rFonts w:ascii="仿宋_GB2312" w:eastAsia="仿宋_GB2312" w:hint="eastAsia"/>
          <w:sz w:val="28"/>
          <w:szCs w:val="28"/>
        </w:rPr>
        <w:t>、组合策略</w:t>
      </w:r>
      <w:r>
        <w:rPr>
          <w:rFonts w:ascii="仿宋_GB2312" w:eastAsia="仿宋_GB2312" w:hAnsi="Times New Roman" w:hint="eastAsia"/>
          <w:sz w:val="28"/>
          <w:szCs w:val="28"/>
        </w:rPr>
        <w:t>或其他可有效控制保证金水平的方式向单个客户收取保证金，可针对不同客户设定不同的保证金水平，但不低于</w:t>
      </w:r>
      <w:r>
        <w:rPr>
          <w:rFonts w:ascii="仿宋_GB2312" w:eastAsia="仿宋_GB2312" w:cs="仿宋_GB2312" w:hint="eastAsia"/>
          <w:sz w:val="28"/>
          <w:szCs w:val="28"/>
        </w:rPr>
        <w:t>《风控办法》</w:t>
      </w:r>
      <w:r>
        <w:rPr>
          <w:rFonts w:ascii="仿宋_GB2312" w:eastAsia="仿宋_GB2312" w:hAnsi="Times New Roman" w:hint="eastAsia"/>
          <w:sz w:val="28"/>
          <w:szCs w:val="28"/>
        </w:rPr>
        <w:t>要求的水平，即所司保证金标准。期货公司对于客户认沽期权卖出开仓时所收取的保证金最高不应超过行权价与合约单位的乘积。</w:t>
      </w:r>
    </w:p>
    <w:p w:rsidR="00173848" w:rsidRDefault="00FC3217" w:rsidP="00021BE0">
      <w:pPr>
        <w:spacing w:beforeLines="50" w:afterLines="50"/>
        <w:ind w:firstLineChars="180" w:firstLine="504"/>
        <w:rPr>
          <w:rFonts w:ascii="仿宋_GB2312" w:eastAsia="仿宋_GB2312" w:cs="仿宋_GB2312"/>
          <w:sz w:val="28"/>
          <w:szCs w:val="28"/>
        </w:rPr>
      </w:pPr>
      <w:r>
        <w:rPr>
          <w:rFonts w:ascii="仿宋_GB2312" w:eastAsia="仿宋_GB2312" w:cs="仿宋_GB2312" w:hint="eastAsia"/>
          <w:sz w:val="28"/>
          <w:szCs w:val="28"/>
        </w:rPr>
        <w:t>收取方法举例一：</w:t>
      </w:r>
    </w:p>
    <w:p w:rsidR="00173848" w:rsidRDefault="00FC3217" w:rsidP="00021BE0">
      <w:pPr>
        <w:spacing w:beforeLines="50" w:afterLines="50"/>
        <w:ind w:firstLineChars="180" w:firstLine="504"/>
        <w:rPr>
          <w:rFonts w:ascii="仿宋_GB2312" w:eastAsia="仿宋_GB2312" w:cs="仿宋_GB2312"/>
          <w:sz w:val="28"/>
          <w:szCs w:val="28"/>
        </w:rPr>
      </w:pPr>
      <w:r>
        <w:rPr>
          <w:rFonts w:ascii="仿宋_GB2312" w:eastAsia="仿宋_GB2312" w:cs="仿宋_GB2312" w:hint="eastAsia"/>
          <w:sz w:val="28"/>
          <w:szCs w:val="28"/>
        </w:rPr>
        <w:t>保证金线性收取方式：在所司保证金标准的基础上整体设置收取比例。假如期货公司设置了20%的上浮比例，那么每张ETF认购期权维持保证金={结算价+Max（12%×合约标的收盘价-认购期权虚值，7%×标的收盘价）}*合约单位*1.2。</w:t>
      </w:r>
    </w:p>
    <w:p w:rsidR="00173848" w:rsidRDefault="00FC3217" w:rsidP="00021BE0">
      <w:pPr>
        <w:spacing w:beforeLines="50" w:afterLines="50"/>
        <w:ind w:firstLineChars="180" w:firstLine="504"/>
        <w:rPr>
          <w:rFonts w:ascii="仿宋_GB2312" w:eastAsia="仿宋_GB2312" w:cs="仿宋_GB2312"/>
          <w:sz w:val="28"/>
          <w:szCs w:val="28"/>
        </w:rPr>
      </w:pPr>
      <w:r>
        <w:rPr>
          <w:rFonts w:ascii="仿宋_GB2312" w:eastAsia="仿宋_GB2312" w:cs="仿宋_GB2312" w:hint="eastAsia"/>
          <w:sz w:val="28"/>
          <w:szCs w:val="28"/>
        </w:rPr>
        <w:t>收取方法举例二：</w:t>
      </w:r>
    </w:p>
    <w:p w:rsidR="00173848" w:rsidRDefault="00FC3217" w:rsidP="00021BE0">
      <w:pPr>
        <w:spacing w:beforeLines="50" w:afterLines="50"/>
        <w:ind w:firstLineChars="180" w:firstLine="504"/>
        <w:rPr>
          <w:rFonts w:ascii="仿宋_GB2312" w:eastAsia="仿宋_GB2312" w:cs="仿宋_GB2312"/>
          <w:sz w:val="28"/>
          <w:szCs w:val="28"/>
        </w:rPr>
      </w:pPr>
      <w:r>
        <w:rPr>
          <w:rFonts w:ascii="仿宋_GB2312" w:eastAsia="仿宋_GB2312" w:cs="仿宋_GB2312" w:hint="eastAsia"/>
          <w:sz w:val="28"/>
          <w:szCs w:val="28"/>
        </w:rPr>
        <w:t>保证金非线性收取方式：调整《风控办法》保证金收取公式里的个别或所有参数。假如期货公司将按合约标的收盘价的12%调整为15%，那么每张ETF认购期权维持保证金={结算价+Max（15%×合约标的收盘价-认购期权虚值，7%×标的收盘价）}*合约单位。</w:t>
      </w:r>
    </w:p>
    <w:p w:rsidR="00173848" w:rsidRDefault="00FC3217" w:rsidP="00021BE0">
      <w:pPr>
        <w:spacing w:beforeLines="50" w:afterLines="50"/>
        <w:ind w:firstLineChars="180" w:firstLine="504"/>
        <w:rPr>
          <w:rFonts w:ascii="仿宋_GB2312" w:eastAsia="仿宋_GB2312"/>
          <w:sz w:val="28"/>
          <w:szCs w:val="28"/>
        </w:rPr>
      </w:pPr>
      <w:r>
        <w:rPr>
          <w:rFonts w:ascii="仿宋_GB2312" w:eastAsia="仿宋_GB2312" w:hint="eastAsia"/>
          <w:sz w:val="28"/>
          <w:szCs w:val="28"/>
        </w:rPr>
        <w:t>收取方法举例三：</w:t>
      </w:r>
    </w:p>
    <w:p w:rsidR="00173848" w:rsidRDefault="00FC3217" w:rsidP="00021BE0">
      <w:pPr>
        <w:spacing w:beforeLines="50" w:afterLines="50"/>
        <w:ind w:firstLineChars="180" w:firstLine="504"/>
        <w:rPr>
          <w:rFonts w:ascii="仿宋_GB2312" w:eastAsia="仿宋_GB2312"/>
          <w:sz w:val="28"/>
          <w:szCs w:val="28"/>
        </w:rPr>
      </w:pPr>
      <w:r>
        <w:rPr>
          <w:rFonts w:ascii="仿宋_GB2312" w:eastAsia="仿宋_GB2312" w:hint="eastAsia"/>
          <w:sz w:val="28"/>
          <w:szCs w:val="28"/>
        </w:rPr>
        <w:lastRenderedPageBreak/>
        <w:t>组合策略收取方式：按照组合策略收取保证金的，期货公司为客户减免收取的保证金金额不高于交易所减免收取的金额。</w:t>
      </w:r>
    </w:p>
    <w:p w:rsidR="00173848" w:rsidRDefault="00FC3217" w:rsidP="00021BE0">
      <w:pPr>
        <w:spacing w:beforeLines="50" w:afterLines="50"/>
        <w:ind w:firstLineChars="200" w:firstLine="560"/>
        <w:rPr>
          <w:rFonts w:ascii="仿宋_GB2312" w:eastAsia="仿宋_GB2312"/>
          <w:sz w:val="28"/>
          <w:szCs w:val="28"/>
        </w:rPr>
      </w:pPr>
      <w:r>
        <w:rPr>
          <w:rFonts w:ascii="仿宋_GB2312" w:eastAsia="仿宋_GB2312" w:hint="eastAsia"/>
          <w:sz w:val="28"/>
          <w:szCs w:val="28"/>
        </w:rPr>
        <w:t>期货</w:t>
      </w:r>
      <w:r w:rsidRPr="0094793C">
        <w:rPr>
          <w:rFonts w:ascii="仿宋_GB2312" w:eastAsia="仿宋_GB2312" w:hint="eastAsia"/>
          <w:sz w:val="28"/>
          <w:szCs w:val="28"/>
        </w:rPr>
        <w:t>公司可</w:t>
      </w:r>
      <w:r>
        <w:rPr>
          <w:rFonts w:ascii="仿宋_GB2312" w:eastAsia="仿宋_GB2312" w:hint="eastAsia"/>
          <w:sz w:val="28"/>
          <w:szCs w:val="28"/>
        </w:rPr>
        <w:t>按其与客户在经纪业务合同中的约定，在临近组合策略自动解除日，提前按照解除组合后应收保证金水平</w:t>
      </w:r>
      <w:r w:rsidRPr="0094793C">
        <w:rPr>
          <w:rFonts w:ascii="仿宋_GB2312" w:eastAsia="仿宋_GB2312" w:hint="eastAsia"/>
          <w:sz w:val="28"/>
          <w:szCs w:val="28"/>
        </w:rPr>
        <w:t>收取</w:t>
      </w:r>
      <w:r>
        <w:rPr>
          <w:rFonts w:ascii="仿宋_GB2312" w:eastAsia="仿宋_GB2312" w:hint="eastAsia"/>
          <w:sz w:val="28"/>
          <w:szCs w:val="28"/>
        </w:rPr>
        <w:t>维持</w:t>
      </w:r>
      <w:r w:rsidRPr="0094793C">
        <w:rPr>
          <w:rFonts w:ascii="仿宋_GB2312" w:eastAsia="仿宋_GB2312" w:hint="eastAsia"/>
          <w:sz w:val="28"/>
          <w:szCs w:val="28"/>
        </w:rPr>
        <w:t>保证金</w:t>
      </w:r>
      <w:r>
        <w:rPr>
          <w:rFonts w:ascii="仿宋_GB2312" w:eastAsia="仿宋_GB2312" w:hint="eastAsia"/>
          <w:sz w:val="28"/>
          <w:szCs w:val="28"/>
        </w:rPr>
        <w:t>或提前解除组合</w:t>
      </w:r>
      <w:r w:rsidRPr="0094793C">
        <w:rPr>
          <w:rFonts w:ascii="仿宋_GB2312" w:eastAsia="仿宋_GB2312" w:hint="eastAsia"/>
          <w:sz w:val="28"/>
          <w:szCs w:val="28"/>
        </w:rPr>
        <w:t>。</w:t>
      </w:r>
    </w:p>
    <w:p w:rsidR="00173848" w:rsidRDefault="00173848" w:rsidP="00021BE0">
      <w:pPr>
        <w:spacing w:beforeLines="50" w:afterLines="50"/>
        <w:ind w:firstLineChars="180" w:firstLine="504"/>
        <w:rPr>
          <w:rFonts w:ascii="仿宋_GB2312" w:eastAsia="仿宋_GB2312" w:cs="仿宋_GB2312"/>
          <w:sz w:val="28"/>
          <w:szCs w:val="28"/>
        </w:rPr>
      </w:pPr>
    </w:p>
    <w:p w:rsidR="00173848" w:rsidRDefault="00FC3217" w:rsidP="00021BE0">
      <w:pPr>
        <w:spacing w:beforeLines="50" w:afterLines="50"/>
        <w:ind w:firstLineChars="180" w:firstLine="504"/>
        <w:rPr>
          <w:rFonts w:ascii="仿宋_GB2312" w:eastAsia="仿宋_GB2312" w:cs="仿宋_GB2312"/>
          <w:sz w:val="28"/>
          <w:szCs w:val="28"/>
        </w:rPr>
      </w:pPr>
      <w:r>
        <w:rPr>
          <w:rFonts w:ascii="仿宋_GB2312" w:eastAsia="仿宋_GB2312" w:cs="仿宋_GB2312" w:hint="eastAsia"/>
          <w:sz w:val="28"/>
          <w:szCs w:val="28"/>
        </w:rPr>
        <w:t>期货公司按线性、非线性、组合策略或其他可有效控制确定的保证金水平时，在参数设置或调整时需要重点考虑以下几点因素：</w:t>
      </w:r>
    </w:p>
    <w:p w:rsidR="00173848" w:rsidRDefault="00FC3217" w:rsidP="00021BE0">
      <w:pPr>
        <w:spacing w:beforeLines="50" w:afterLines="50"/>
        <w:ind w:firstLineChars="180" w:firstLine="504"/>
        <w:rPr>
          <w:rFonts w:ascii="仿宋_GB2312" w:eastAsia="仿宋_GB2312" w:cs="仿宋_GB2312"/>
          <w:sz w:val="28"/>
          <w:szCs w:val="28"/>
        </w:rPr>
      </w:pPr>
      <w:r>
        <w:rPr>
          <w:rFonts w:ascii="仿宋_GB2312" w:eastAsia="仿宋_GB2312" w:cs="仿宋_GB2312" w:hint="eastAsia"/>
          <w:sz w:val="28"/>
          <w:szCs w:val="28"/>
        </w:rPr>
        <w:t>1、可结合义务仓合约虚值或实值程度设置不同参数，使得深度虚值、轻度虚值、轻度实值和深度实值等不同状态的合约所收保证金的参数配置不一致；</w:t>
      </w:r>
    </w:p>
    <w:p w:rsidR="00173848" w:rsidRDefault="00FC3217" w:rsidP="00021BE0">
      <w:pPr>
        <w:spacing w:beforeLines="50" w:afterLines="50"/>
        <w:ind w:firstLineChars="180" w:firstLine="504"/>
        <w:rPr>
          <w:rFonts w:ascii="仿宋_GB2312" w:eastAsia="仿宋_GB2312" w:cs="仿宋_GB2312"/>
          <w:sz w:val="28"/>
          <w:szCs w:val="28"/>
        </w:rPr>
      </w:pPr>
      <w:r>
        <w:rPr>
          <w:rFonts w:ascii="仿宋_GB2312" w:eastAsia="仿宋_GB2312" w:cs="仿宋_GB2312" w:hint="eastAsia"/>
          <w:sz w:val="28"/>
          <w:szCs w:val="28"/>
        </w:rPr>
        <w:t>2、临近行权日的参数调整；</w:t>
      </w:r>
    </w:p>
    <w:p w:rsidR="00173848" w:rsidRDefault="00FC3217" w:rsidP="00021BE0">
      <w:pPr>
        <w:spacing w:beforeLines="50" w:afterLines="50"/>
        <w:ind w:firstLineChars="180" w:firstLine="504"/>
        <w:rPr>
          <w:rFonts w:ascii="仿宋_GB2312" w:eastAsia="仿宋_GB2312" w:cs="仿宋_GB2312"/>
          <w:sz w:val="28"/>
          <w:szCs w:val="28"/>
        </w:rPr>
      </w:pPr>
      <w:r>
        <w:rPr>
          <w:rFonts w:ascii="仿宋_GB2312" w:eastAsia="仿宋_GB2312" w:cs="仿宋_GB2312" w:hint="eastAsia"/>
          <w:sz w:val="28"/>
          <w:szCs w:val="28"/>
        </w:rPr>
        <w:t>3、临近较长节假日的参数调整；</w:t>
      </w:r>
    </w:p>
    <w:p w:rsidR="00173848" w:rsidRDefault="00FC3217" w:rsidP="00021BE0">
      <w:pPr>
        <w:spacing w:beforeLines="50" w:afterLines="50"/>
        <w:ind w:firstLineChars="180" w:firstLine="504"/>
        <w:rPr>
          <w:rFonts w:ascii="仿宋_GB2312" w:eastAsia="仿宋_GB2312" w:cs="仿宋_GB2312"/>
          <w:sz w:val="28"/>
          <w:szCs w:val="28"/>
        </w:rPr>
      </w:pPr>
      <w:r>
        <w:rPr>
          <w:rFonts w:ascii="仿宋_GB2312" w:eastAsia="仿宋_GB2312" w:cs="仿宋_GB2312" w:hint="eastAsia"/>
          <w:sz w:val="28"/>
          <w:szCs w:val="28"/>
        </w:rPr>
        <w:t>4、市场出现异常情况时的参数调整;</w:t>
      </w:r>
    </w:p>
    <w:p w:rsidR="00173848" w:rsidRDefault="00FC3217" w:rsidP="00021BE0">
      <w:pPr>
        <w:spacing w:beforeLines="50" w:afterLines="50"/>
        <w:ind w:firstLineChars="180" w:firstLine="504"/>
        <w:rPr>
          <w:rFonts w:ascii="仿宋_GB2312" w:eastAsia="仿宋_GB2312" w:cs="仿宋_GB2312"/>
          <w:sz w:val="28"/>
          <w:szCs w:val="28"/>
        </w:rPr>
      </w:pPr>
      <w:r>
        <w:rPr>
          <w:rFonts w:ascii="仿宋_GB2312" w:eastAsia="仿宋_GB2312" w:cs="仿宋_GB2312" w:hint="eastAsia"/>
          <w:sz w:val="28"/>
          <w:szCs w:val="28"/>
        </w:rPr>
        <w:t>5、针对不同客户设定差异化参数；</w:t>
      </w:r>
    </w:p>
    <w:p w:rsidR="00173848" w:rsidRDefault="00FC3217" w:rsidP="00021BE0">
      <w:pPr>
        <w:spacing w:beforeLines="50" w:afterLines="50"/>
        <w:ind w:firstLineChars="180" w:firstLine="504"/>
        <w:rPr>
          <w:rFonts w:ascii="仿宋_GB2312" w:eastAsia="仿宋_GB2312" w:cs="仿宋_GB2312"/>
          <w:sz w:val="28"/>
          <w:szCs w:val="28"/>
        </w:rPr>
      </w:pPr>
      <w:r>
        <w:rPr>
          <w:rFonts w:ascii="仿宋_GB2312" w:eastAsia="仿宋_GB2312" w:cs="仿宋_GB2312" w:hint="eastAsia"/>
          <w:sz w:val="28"/>
          <w:szCs w:val="28"/>
        </w:rPr>
        <w:t>6、根据风险压力测试或相关风险评估结果及时进行调整等。</w:t>
      </w:r>
    </w:p>
    <w:p w:rsidR="00173848" w:rsidRDefault="00FC3217" w:rsidP="00021BE0">
      <w:pPr>
        <w:spacing w:beforeLines="50" w:afterLines="50"/>
        <w:ind w:firstLineChars="180" w:firstLine="504"/>
        <w:rPr>
          <w:rFonts w:ascii="仿宋_GB2312" w:eastAsia="仿宋_GB2312" w:cs="仿宋_GB2312"/>
          <w:sz w:val="28"/>
          <w:szCs w:val="28"/>
        </w:rPr>
      </w:pPr>
      <w:r>
        <w:rPr>
          <w:rFonts w:ascii="仿宋_GB2312" w:eastAsia="仿宋_GB2312" w:cs="仿宋_GB2312" w:hint="eastAsia"/>
          <w:sz w:val="28"/>
          <w:szCs w:val="28"/>
        </w:rPr>
        <w:t>虚值程度公式如下：</w:t>
      </w:r>
    </w:p>
    <w:p w:rsidR="00173848" w:rsidRDefault="00FC3217" w:rsidP="00021BE0">
      <w:pPr>
        <w:spacing w:beforeLines="50" w:afterLines="50"/>
        <w:ind w:firstLineChars="180" w:firstLine="504"/>
        <w:rPr>
          <w:rFonts w:ascii="仿宋_GB2312" w:eastAsia="仿宋_GB2312" w:cs="仿宋_GB2312"/>
          <w:sz w:val="28"/>
          <w:szCs w:val="28"/>
        </w:rPr>
      </w:pPr>
      <w:r>
        <w:rPr>
          <w:rFonts w:ascii="仿宋_GB2312" w:eastAsia="仿宋_GB2312" w:cs="仿宋_GB2312" w:hint="eastAsia"/>
          <w:sz w:val="28"/>
          <w:szCs w:val="28"/>
        </w:rPr>
        <w:t>认购期权虚值程度=（认购期权合约行权价-标的证券收盘价）/标的证券收盘价</w:t>
      </w:r>
    </w:p>
    <w:p w:rsidR="00173848" w:rsidRDefault="00FC3217" w:rsidP="00021BE0">
      <w:pPr>
        <w:spacing w:beforeLines="50" w:afterLines="50"/>
        <w:ind w:firstLineChars="180" w:firstLine="504"/>
        <w:rPr>
          <w:rFonts w:ascii="仿宋_GB2312" w:eastAsia="仿宋_GB2312" w:cs="仿宋_GB2312"/>
          <w:sz w:val="28"/>
          <w:szCs w:val="28"/>
        </w:rPr>
      </w:pPr>
      <w:r>
        <w:rPr>
          <w:rFonts w:ascii="仿宋_GB2312" w:eastAsia="仿宋_GB2312" w:cs="仿宋_GB2312" w:hint="eastAsia"/>
          <w:sz w:val="28"/>
          <w:szCs w:val="28"/>
        </w:rPr>
        <w:lastRenderedPageBreak/>
        <w:t>认沽期权虚值程度=（标的证券收盘价-认沽期权合约行权价）/标的证券收盘价</w:t>
      </w:r>
    </w:p>
    <w:p w:rsidR="00173848" w:rsidRDefault="00FC3217" w:rsidP="00021BE0">
      <w:pPr>
        <w:spacing w:beforeLines="50" w:afterLines="50"/>
        <w:ind w:firstLineChars="180" w:firstLine="504"/>
        <w:rPr>
          <w:rFonts w:ascii="仿宋_GB2312" w:eastAsia="仿宋_GB2312" w:cs="仿宋_GB2312"/>
          <w:sz w:val="28"/>
          <w:szCs w:val="28"/>
        </w:rPr>
      </w:pPr>
      <w:r>
        <w:rPr>
          <w:rFonts w:ascii="仿宋_GB2312" w:eastAsia="仿宋_GB2312" w:cs="仿宋_GB2312" w:hint="eastAsia"/>
          <w:sz w:val="28"/>
          <w:szCs w:val="28"/>
        </w:rPr>
        <w:t>盘中监控取标的证券前收盘价，盘后监控取标的证券当日收盘价。上述计算结果为负值时，该期权为实值期权，实值程度为该计算结果的绝对值。</w:t>
      </w:r>
    </w:p>
    <w:p w:rsidR="00FC3217" w:rsidRDefault="00FC3217" w:rsidP="00FC3217">
      <w:pPr>
        <w:ind w:firstLineChars="200" w:firstLine="560"/>
        <w:rPr>
          <w:rFonts w:ascii="仿宋_GB2312" w:eastAsia="仿宋_GB2312" w:cs="仿宋_GB2312"/>
          <w:sz w:val="28"/>
          <w:szCs w:val="28"/>
        </w:rPr>
      </w:pPr>
      <w:r>
        <w:rPr>
          <w:rFonts w:ascii="仿宋_GB2312" w:eastAsia="仿宋_GB2312" w:cs="仿宋_GB2312" w:hint="eastAsia"/>
          <w:sz w:val="28"/>
          <w:szCs w:val="28"/>
        </w:rPr>
        <w:t>虚值程度和实值程度的参数配置可以由期货公司自行定义。如对ETF期权，轻度虚值可设置为：认购或认沽期权虚值程度4%-8%，深度虚值可设置为：认购或认沽期权虚值程度&gt;=8%。亦可用其他方法定义虚值程度和实值程度。</w:t>
      </w:r>
    </w:p>
    <w:p w:rsidR="00FC3217" w:rsidRDefault="00FC3217" w:rsidP="00021BE0">
      <w:pPr>
        <w:spacing w:beforeLines="50" w:afterLines="50"/>
        <w:ind w:firstLineChars="180" w:firstLine="504"/>
        <w:rPr>
          <w:rFonts w:ascii="仿宋_GB2312" w:eastAsia="仿宋_GB2312" w:cs="仿宋_GB2312"/>
          <w:sz w:val="28"/>
          <w:szCs w:val="28"/>
        </w:rPr>
      </w:pPr>
      <w:r>
        <w:rPr>
          <w:rFonts w:ascii="仿宋_GB2312" w:eastAsia="仿宋_GB2312" w:cs="仿宋_GB2312" w:hint="eastAsia"/>
          <w:sz w:val="28"/>
          <w:szCs w:val="28"/>
        </w:rPr>
        <w:t>期货公司应在投资者签署开户协议时，向客户明确可能导致保证金参数水平调整的情形。若期货公司调整保证金水平参数设置，应当通过邮件、短信、交易客户端等渠道做好通知提醒工作。</w:t>
      </w:r>
    </w:p>
    <w:p w:rsidR="00173848" w:rsidRDefault="00FC3217" w:rsidP="00021BE0">
      <w:pPr>
        <w:spacing w:beforeLines="50" w:afterLines="50"/>
        <w:ind w:firstLineChars="200" w:firstLine="560"/>
        <w:rPr>
          <w:rFonts w:ascii="仿宋_GB2312" w:eastAsia="仿宋_GB2312" w:cs="仿宋_GB2312"/>
          <w:sz w:val="28"/>
          <w:szCs w:val="28"/>
        </w:rPr>
      </w:pPr>
      <w:r>
        <w:rPr>
          <w:rFonts w:ascii="仿宋_GB2312" w:eastAsia="仿宋_GB2312" w:cs="仿宋_GB2312" w:hint="eastAsia"/>
          <w:sz w:val="28"/>
          <w:szCs w:val="28"/>
        </w:rPr>
        <w:t>（二）保证金收取</w:t>
      </w:r>
    </w:p>
    <w:p w:rsidR="00173848" w:rsidRDefault="00FC3217" w:rsidP="00021BE0">
      <w:pPr>
        <w:spacing w:beforeLines="50" w:afterLines="50"/>
        <w:ind w:firstLineChars="200" w:firstLine="560"/>
        <w:rPr>
          <w:rFonts w:ascii="仿宋_GB2312" w:eastAsia="仿宋_GB2312" w:cs="仿宋_GB2312"/>
          <w:sz w:val="28"/>
          <w:szCs w:val="28"/>
        </w:rPr>
      </w:pPr>
      <w:r>
        <w:rPr>
          <w:rFonts w:ascii="仿宋_GB2312" w:eastAsia="仿宋_GB2312" w:cs="仿宋_GB2312" w:hint="eastAsia"/>
          <w:sz w:val="28"/>
          <w:szCs w:val="28"/>
        </w:rPr>
        <w:t>1、盘中开仓保证金收取</w:t>
      </w:r>
    </w:p>
    <w:p w:rsidR="00173848" w:rsidRDefault="00FC3217" w:rsidP="00021BE0">
      <w:pPr>
        <w:spacing w:beforeLines="50" w:afterLines="50"/>
        <w:ind w:firstLineChars="200" w:firstLine="560"/>
        <w:rPr>
          <w:rFonts w:ascii="仿宋_GB2312" w:eastAsia="仿宋_GB2312" w:cs="仿宋_GB2312"/>
          <w:sz w:val="28"/>
          <w:szCs w:val="28"/>
        </w:rPr>
      </w:pPr>
      <w:r>
        <w:rPr>
          <w:rFonts w:ascii="仿宋_GB2312" w:eastAsia="仿宋_GB2312" w:cs="仿宋_GB2312" w:hint="eastAsia"/>
          <w:sz w:val="28"/>
          <w:szCs w:val="28"/>
        </w:rPr>
        <w:t>对同一期权合约，投资者可在交易时段（9：15-15：00）双向持仓（可同时持有权利仓与义务仓），上交所对卖出认购或者认沽期权时按开仓保证金水平计减结算参与人</w:t>
      </w:r>
      <w:r w:rsidRPr="00434091">
        <w:rPr>
          <w:rFonts w:ascii="仿宋_GB2312" w:eastAsia="仿宋_GB2312" w:hint="eastAsia"/>
          <w:sz w:val="28"/>
          <w:szCs w:val="28"/>
        </w:rPr>
        <w:t>保证金日间余额</w:t>
      </w:r>
      <w:r>
        <w:rPr>
          <w:rFonts w:ascii="仿宋_GB2312" w:eastAsia="仿宋_GB2312" w:cs="仿宋_GB2312" w:hint="eastAsia"/>
          <w:sz w:val="28"/>
          <w:szCs w:val="28"/>
        </w:rPr>
        <w:t>，期货公司对客户卖出认购或者认沽期权时按开仓保证金水平扣减客户保证金可用余额，不能因</w:t>
      </w:r>
      <w:r w:rsidRPr="00CF1BD1">
        <w:rPr>
          <w:rFonts w:ascii="仿宋_GB2312" w:eastAsia="仿宋_GB2312" w:hint="eastAsia"/>
          <w:sz w:val="28"/>
          <w:szCs w:val="28"/>
        </w:rPr>
        <w:t>可构建组合策略或</w:t>
      </w:r>
      <w:r>
        <w:rPr>
          <w:rFonts w:ascii="仿宋_GB2312" w:eastAsia="仿宋_GB2312" w:cs="仿宋_GB2312" w:hint="eastAsia"/>
          <w:sz w:val="28"/>
          <w:szCs w:val="28"/>
        </w:rPr>
        <w:t>日终时可与权利仓对冲而免收或少收。</w:t>
      </w:r>
    </w:p>
    <w:p w:rsidR="00173848" w:rsidRDefault="00FC3217" w:rsidP="00021BE0">
      <w:pPr>
        <w:spacing w:beforeLines="50" w:afterLines="50"/>
        <w:ind w:firstLineChars="200" w:firstLine="560"/>
        <w:rPr>
          <w:rFonts w:ascii="仿宋_GB2312" w:eastAsia="仿宋_GB2312"/>
          <w:sz w:val="28"/>
          <w:szCs w:val="28"/>
        </w:rPr>
      </w:pPr>
      <w:r>
        <w:rPr>
          <w:rFonts w:ascii="仿宋_GB2312" w:eastAsia="仿宋_GB2312" w:hint="eastAsia"/>
          <w:sz w:val="28"/>
          <w:szCs w:val="28"/>
        </w:rPr>
        <w:t>构建组合策略的，</w:t>
      </w:r>
      <w:r w:rsidRPr="00434091">
        <w:rPr>
          <w:rFonts w:ascii="仿宋_GB2312" w:eastAsia="仿宋_GB2312" w:hint="eastAsia"/>
          <w:sz w:val="28"/>
          <w:szCs w:val="28"/>
        </w:rPr>
        <w:t>上交所对构建组合策略申报确认后，实时增加</w:t>
      </w:r>
      <w:r w:rsidRPr="00434091">
        <w:rPr>
          <w:rFonts w:ascii="仿宋_GB2312" w:eastAsia="仿宋_GB2312" w:hint="eastAsia"/>
          <w:sz w:val="28"/>
          <w:szCs w:val="28"/>
        </w:rPr>
        <w:lastRenderedPageBreak/>
        <w:t>相应</w:t>
      </w:r>
      <w:r>
        <w:rPr>
          <w:rFonts w:ascii="仿宋_GB2312" w:eastAsia="仿宋_GB2312" w:hint="eastAsia"/>
          <w:sz w:val="28"/>
          <w:szCs w:val="28"/>
        </w:rPr>
        <w:t>结算参与人</w:t>
      </w:r>
      <w:r w:rsidRPr="00434091">
        <w:rPr>
          <w:rFonts w:ascii="仿宋_GB2312" w:eastAsia="仿宋_GB2312" w:hint="eastAsia"/>
          <w:sz w:val="28"/>
          <w:szCs w:val="28"/>
        </w:rPr>
        <w:t>保证金日间余额</w:t>
      </w:r>
      <w:r>
        <w:rPr>
          <w:rFonts w:ascii="仿宋_GB2312" w:eastAsia="仿宋_GB2312" w:hint="eastAsia"/>
          <w:sz w:val="28"/>
          <w:szCs w:val="28"/>
        </w:rPr>
        <w:t>，期货公司实时增加客户</w:t>
      </w:r>
      <w:r w:rsidRPr="00434091">
        <w:rPr>
          <w:rFonts w:ascii="仿宋_GB2312" w:eastAsia="仿宋_GB2312" w:hint="eastAsia"/>
          <w:sz w:val="28"/>
          <w:szCs w:val="28"/>
        </w:rPr>
        <w:t>保证金</w:t>
      </w:r>
      <w:r>
        <w:rPr>
          <w:rFonts w:ascii="仿宋_GB2312" w:eastAsia="仿宋_GB2312" w:hint="eastAsia"/>
          <w:sz w:val="28"/>
          <w:szCs w:val="28"/>
        </w:rPr>
        <w:t>可用</w:t>
      </w:r>
      <w:r w:rsidRPr="00434091">
        <w:rPr>
          <w:rFonts w:ascii="仿宋_GB2312" w:eastAsia="仿宋_GB2312" w:hint="eastAsia"/>
          <w:sz w:val="28"/>
          <w:szCs w:val="28"/>
        </w:rPr>
        <w:t>余额</w:t>
      </w:r>
      <w:r>
        <w:rPr>
          <w:rFonts w:ascii="仿宋_GB2312" w:eastAsia="仿宋_GB2312" w:hint="eastAsia"/>
          <w:sz w:val="28"/>
          <w:szCs w:val="28"/>
        </w:rPr>
        <w:t>。</w:t>
      </w:r>
    </w:p>
    <w:p w:rsidR="00173848" w:rsidRDefault="00FC3217" w:rsidP="00021BE0">
      <w:pPr>
        <w:spacing w:beforeLines="50" w:afterLines="50"/>
        <w:ind w:firstLineChars="200" w:firstLine="560"/>
        <w:rPr>
          <w:rFonts w:ascii="仿宋_GB2312" w:eastAsia="仿宋_GB2312" w:cs="仿宋_GB2312"/>
          <w:sz w:val="28"/>
          <w:szCs w:val="28"/>
        </w:rPr>
      </w:pPr>
      <w:r>
        <w:rPr>
          <w:rFonts w:ascii="仿宋_GB2312" w:eastAsia="仿宋_GB2312" w:cs="仿宋_GB2312" w:hint="eastAsia"/>
          <w:sz w:val="28"/>
          <w:szCs w:val="28"/>
        </w:rPr>
        <w:t>2、盘后维持保证金收取</w:t>
      </w:r>
    </w:p>
    <w:p w:rsidR="00173848" w:rsidRDefault="00FC3217" w:rsidP="00021BE0">
      <w:pPr>
        <w:spacing w:beforeLines="50" w:afterLines="50"/>
        <w:ind w:firstLineChars="200" w:firstLine="560"/>
        <w:rPr>
          <w:rFonts w:ascii="仿宋_GB2312" w:eastAsia="仿宋_GB2312" w:cs="仿宋_GB2312"/>
          <w:sz w:val="28"/>
          <w:szCs w:val="28"/>
        </w:rPr>
      </w:pPr>
      <w:r>
        <w:rPr>
          <w:rFonts w:ascii="仿宋_GB2312" w:eastAsia="仿宋_GB2312" w:cs="仿宋_GB2312" w:hint="eastAsia"/>
          <w:sz w:val="28"/>
          <w:szCs w:val="28"/>
        </w:rPr>
        <w:t>日终时由上交所和中国结算对同一账户同一合约双向持仓</w:t>
      </w:r>
      <w:r>
        <w:rPr>
          <w:rFonts w:ascii="仿宋_GB2312" w:eastAsia="仿宋_GB2312" w:cs="仿宋_GB2312" w:hint="eastAsia"/>
          <w:kern w:val="0"/>
          <w:sz w:val="28"/>
          <w:szCs w:val="28"/>
          <w:lang w:val="zh-CN"/>
        </w:rPr>
        <w:t>数量</w:t>
      </w:r>
      <w:r>
        <w:rPr>
          <w:rFonts w:ascii="仿宋_GB2312" w:eastAsia="仿宋_GB2312" w:cs="仿宋_GB2312" w:hint="eastAsia"/>
          <w:sz w:val="28"/>
          <w:szCs w:val="28"/>
        </w:rPr>
        <w:t>自动进行对冲（取净头寸，优先对冲非备兑义务仓），调整为单向持仓。中国结算按对冲后的单向持仓</w:t>
      </w:r>
      <w:r>
        <w:rPr>
          <w:rFonts w:ascii="仿宋_GB2312" w:eastAsia="仿宋_GB2312" w:hint="eastAsia"/>
          <w:sz w:val="28"/>
          <w:szCs w:val="28"/>
        </w:rPr>
        <w:t>及组合策略持仓</w:t>
      </w:r>
      <w:r>
        <w:rPr>
          <w:rFonts w:ascii="仿宋_GB2312" w:eastAsia="仿宋_GB2312" w:cs="仿宋_GB2312" w:hint="eastAsia"/>
          <w:sz w:val="28"/>
          <w:szCs w:val="28"/>
        </w:rPr>
        <w:t>进行结算参与人维持保证金计收，期货公司按对冲后的单向持仓</w:t>
      </w:r>
      <w:r>
        <w:rPr>
          <w:rFonts w:ascii="仿宋_GB2312" w:eastAsia="仿宋_GB2312" w:hint="eastAsia"/>
          <w:sz w:val="28"/>
          <w:szCs w:val="28"/>
        </w:rPr>
        <w:t>及组合策略持仓</w:t>
      </w:r>
      <w:r>
        <w:rPr>
          <w:rFonts w:ascii="仿宋_GB2312" w:eastAsia="仿宋_GB2312" w:cs="仿宋_GB2312" w:hint="eastAsia"/>
          <w:sz w:val="28"/>
          <w:szCs w:val="28"/>
        </w:rPr>
        <w:t>进行客户维持保证金计收。</w:t>
      </w:r>
    </w:p>
    <w:p w:rsidR="00173848" w:rsidRDefault="00FC3217" w:rsidP="00021BE0">
      <w:pPr>
        <w:spacing w:beforeLines="50" w:afterLines="50"/>
        <w:ind w:firstLineChars="200" w:firstLine="560"/>
        <w:rPr>
          <w:rFonts w:ascii="仿宋_GB2312" w:eastAsia="仿宋_GB2312"/>
          <w:sz w:val="28"/>
          <w:szCs w:val="28"/>
        </w:rPr>
      </w:pPr>
      <w:r>
        <w:rPr>
          <w:rFonts w:ascii="仿宋_GB2312" w:eastAsia="仿宋_GB2312" w:hint="eastAsia"/>
          <w:sz w:val="28"/>
          <w:szCs w:val="28"/>
        </w:rPr>
        <w:t>3、临近组合策略自动解除日保证金收取</w:t>
      </w:r>
    </w:p>
    <w:p w:rsidR="00173848" w:rsidRDefault="00FC3217" w:rsidP="00021BE0">
      <w:pPr>
        <w:spacing w:beforeLines="50" w:afterLines="50"/>
        <w:ind w:firstLineChars="200" w:firstLine="560"/>
        <w:rPr>
          <w:rFonts w:ascii="仿宋_GB2312" w:eastAsia="仿宋_GB2312"/>
          <w:sz w:val="28"/>
          <w:szCs w:val="28"/>
        </w:rPr>
      </w:pPr>
      <w:r>
        <w:rPr>
          <w:rFonts w:ascii="仿宋_GB2312" w:eastAsia="仿宋_GB2312" w:hint="eastAsia"/>
          <w:sz w:val="28"/>
          <w:szCs w:val="28"/>
        </w:rPr>
        <w:t>构建组合策略的，期货</w:t>
      </w:r>
      <w:r w:rsidRPr="0094793C">
        <w:rPr>
          <w:rFonts w:ascii="仿宋_GB2312" w:eastAsia="仿宋_GB2312" w:hint="eastAsia"/>
          <w:sz w:val="28"/>
          <w:szCs w:val="28"/>
        </w:rPr>
        <w:t>公司可</w:t>
      </w:r>
      <w:r>
        <w:rPr>
          <w:rFonts w:ascii="仿宋_GB2312" w:eastAsia="仿宋_GB2312" w:hint="eastAsia"/>
          <w:sz w:val="28"/>
          <w:szCs w:val="28"/>
        </w:rPr>
        <w:t>按其与客户在经纪业务合同中的约定，在临近组合策略自动解除日，提前按照解除组合后应收保证金水平</w:t>
      </w:r>
      <w:r w:rsidRPr="0094793C">
        <w:rPr>
          <w:rFonts w:ascii="仿宋_GB2312" w:eastAsia="仿宋_GB2312" w:hint="eastAsia"/>
          <w:sz w:val="28"/>
          <w:szCs w:val="28"/>
        </w:rPr>
        <w:t>，收取</w:t>
      </w:r>
      <w:r>
        <w:rPr>
          <w:rFonts w:ascii="仿宋_GB2312" w:eastAsia="仿宋_GB2312" w:hint="eastAsia"/>
          <w:sz w:val="28"/>
          <w:szCs w:val="28"/>
        </w:rPr>
        <w:t>维持</w:t>
      </w:r>
      <w:r w:rsidRPr="0094793C">
        <w:rPr>
          <w:rFonts w:ascii="仿宋_GB2312" w:eastAsia="仿宋_GB2312" w:hint="eastAsia"/>
          <w:sz w:val="28"/>
          <w:szCs w:val="28"/>
        </w:rPr>
        <w:t>保证金。</w:t>
      </w:r>
    </w:p>
    <w:p w:rsidR="00173848" w:rsidRDefault="00FC3217" w:rsidP="00021BE0">
      <w:pPr>
        <w:spacing w:beforeLines="50" w:afterLines="50"/>
        <w:ind w:firstLineChars="200" w:firstLine="560"/>
        <w:rPr>
          <w:rFonts w:ascii="仿宋_GB2312" w:eastAsia="仿宋_GB2312" w:cs="仿宋_GB2312"/>
          <w:sz w:val="28"/>
          <w:szCs w:val="28"/>
        </w:rPr>
      </w:pPr>
      <w:r>
        <w:rPr>
          <w:rFonts w:ascii="仿宋_GB2312" w:eastAsia="仿宋_GB2312" w:cs="仿宋_GB2312" w:hint="eastAsia"/>
          <w:sz w:val="28"/>
          <w:szCs w:val="28"/>
        </w:rPr>
        <w:t>4、到期被指派合约保证金收取</w:t>
      </w:r>
    </w:p>
    <w:p w:rsidR="00173848" w:rsidRDefault="00FC3217" w:rsidP="00021BE0">
      <w:pPr>
        <w:spacing w:beforeLines="50" w:afterLines="50"/>
        <w:ind w:firstLineChars="200" w:firstLine="560"/>
        <w:rPr>
          <w:rFonts w:ascii="仿宋_GB2312" w:eastAsia="仿宋_GB2312" w:cs="仿宋_GB2312"/>
          <w:sz w:val="28"/>
          <w:szCs w:val="28"/>
        </w:rPr>
      </w:pPr>
      <w:r>
        <w:rPr>
          <w:rFonts w:ascii="仿宋_GB2312" w:eastAsia="仿宋_GB2312" w:cs="仿宋_GB2312" w:hint="eastAsia"/>
          <w:sz w:val="28"/>
          <w:szCs w:val="28"/>
        </w:rPr>
        <w:t>结算参与人层面，行权日日终，中国结算对于期权合约被指派的义务方按当日结算价格重新计收维持保证金，未被指派的合约不再收取维持保证金。交收日日终，中国结算按“结算参与人股票期权保证金账户内的结算准备金余额/（行权交收资金-被行权合约对应的维持保证金）”的比例释放被行权合约维持保证金用于交收。</w:t>
      </w:r>
    </w:p>
    <w:p w:rsidR="00173848" w:rsidRDefault="00FC3217" w:rsidP="00021BE0">
      <w:pPr>
        <w:spacing w:beforeLines="50" w:afterLines="50"/>
        <w:ind w:leftChars="50" w:left="105" w:firstLineChars="150" w:firstLine="420"/>
        <w:rPr>
          <w:rFonts w:ascii="仿宋_GB2312" w:eastAsia="仿宋_GB2312" w:cs="仿宋_GB2312"/>
          <w:sz w:val="28"/>
          <w:szCs w:val="28"/>
        </w:rPr>
      </w:pPr>
      <w:r>
        <w:rPr>
          <w:rFonts w:ascii="仿宋_GB2312" w:eastAsia="仿宋_GB2312" w:cs="仿宋_GB2312" w:hint="eastAsia"/>
          <w:sz w:val="28"/>
          <w:szCs w:val="28"/>
        </w:rPr>
        <w:t>期货公司客户层面，行权日日终，对单个客户，如客户是净应收券或应收资金，期货公司不冻结资金；如客户是净应付券，期货公</w:t>
      </w:r>
      <w:r>
        <w:rPr>
          <w:rFonts w:ascii="仿宋_GB2312" w:eastAsia="仿宋_GB2312" w:cs="仿宋_GB2312" w:hint="eastAsia"/>
          <w:sz w:val="28"/>
          <w:szCs w:val="28"/>
        </w:rPr>
        <w:lastRenderedPageBreak/>
        <w:t>司可以根据与客户在期权经纪合同中的约定，冻结相应合约标的，不足部分可以采取冻结股票期权保证金账户部分资金方式（如合约标的收盘价*10%或能覆盖假设客户违约时现金结算的资金）；如客户是应付资金，期货公司可以根据与客户在期权经纪合同中的约定，冻结相应资金。</w:t>
      </w:r>
    </w:p>
    <w:p w:rsidR="00173848" w:rsidRDefault="00FC3217" w:rsidP="00021BE0">
      <w:pPr>
        <w:spacing w:beforeLines="50" w:afterLines="50"/>
        <w:ind w:leftChars="50" w:left="105" w:firstLineChars="150" w:firstLine="420"/>
        <w:rPr>
          <w:rFonts w:ascii="仿宋_GB2312" w:eastAsia="仿宋_GB2312" w:cs="仿宋_GB2312"/>
          <w:sz w:val="28"/>
          <w:szCs w:val="28"/>
        </w:rPr>
      </w:pPr>
      <w:r>
        <w:rPr>
          <w:rFonts w:ascii="仿宋_GB2312" w:eastAsia="仿宋_GB2312" w:cs="仿宋_GB2312" w:hint="eastAsia"/>
          <w:sz w:val="28"/>
          <w:szCs w:val="28"/>
        </w:rPr>
        <w:t>5、除权除息日保证金收取</w:t>
      </w:r>
    </w:p>
    <w:p w:rsidR="00173848" w:rsidRDefault="00FC3217" w:rsidP="00021BE0">
      <w:pPr>
        <w:spacing w:beforeLines="50" w:afterLines="50"/>
        <w:ind w:leftChars="50" w:left="105" w:firstLineChars="150" w:firstLine="420"/>
        <w:rPr>
          <w:rFonts w:ascii="仿宋_GB2312" w:eastAsia="仿宋_GB2312" w:cs="仿宋_GB2312"/>
          <w:sz w:val="28"/>
          <w:szCs w:val="28"/>
        </w:rPr>
      </w:pPr>
      <w:r>
        <w:rPr>
          <w:rFonts w:ascii="仿宋_GB2312" w:eastAsia="仿宋_GB2312" w:cs="仿宋_GB2312" w:hint="eastAsia"/>
          <w:sz w:val="28"/>
          <w:szCs w:val="28"/>
        </w:rPr>
        <w:t>除权除息日，上交所依据合约调整后的合约单位计增或计减期货公司的可用保证金额度。而上一交易日日终，中国结算向结算会员按合约调整前的合约单位收取维持保证金。因此，对原有义务仓持仓平仓，释放的保证金金额会与上一交易日日终计算的维持保证金不一致，存在一些误差（由合约单位取整引起，但单张合约金额误差不大）。</w:t>
      </w:r>
    </w:p>
    <w:p w:rsidR="00173848" w:rsidRDefault="00FC3217" w:rsidP="00021BE0">
      <w:pPr>
        <w:spacing w:beforeLines="50" w:afterLines="50"/>
        <w:ind w:leftChars="50" w:left="105" w:firstLineChars="150" w:firstLine="420"/>
        <w:rPr>
          <w:rFonts w:ascii="仿宋_GB2312" w:eastAsia="仿宋_GB2312" w:cs="仿宋_GB2312"/>
          <w:sz w:val="28"/>
          <w:szCs w:val="28"/>
        </w:rPr>
      </w:pPr>
      <w:r>
        <w:rPr>
          <w:rFonts w:ascii="仿宋_GB2312" w:eastAsia="仿宋_GB2312" w:cs="仿宋_GB2312" w:hint="eastAsia"/>
          <w:sz w:val="28"/>
          <w:szCs w:val="28"/>
        </w:rPr>
        <w:t>除权除息日，如果出现上述不一致，期货公司应加强对保证金的管理。同时，如果期货公司对客户保证金方式亦存在此问题，当日应及时向客户提醒或解释，并加强对客户保证金管理（可用资金或出金会有误差）。</w:t>
      </w:r>
    </w:p>
    <w:p w:rsidR="00173848" w:rsidRDefault="00FC3217" w:rsidP="00021BE0">
      <w:pPr>
        <w:spacing w:beforeLines="50" w:afterLines="50"/>
        <w:ind w:firstLineChars="200" w:firstLine="560"/>
        <w:rPr>
          <w:rFonts w:ascii="仿宋_GB2312" w:eastAsia="仿宋_GB2312" w:cs="仿宋_GB2312"/>
          <w:sz w:val="28"/>
          <w:szCs w:val="28"/>
        </w:rPr>
      </w:pPr>
      <w:r>
        <w:rPr>
          <w:rFonts w:ascii="仿宋_GB2312" w:eastAsia="仿宋_GB2312" w:cs="仿宋_GB2312" w:hint="eastAsia"/>
          <w:sz w:val="28"/>
          <w:szCs w:val="28"/>
        </w:rPr>
        <w:t>（三）保证金监控</w:t>
      </w:r>
    </w:p>
    <w:p w:rsidR="00173848" w:rsidRDefault="00FC3217" w:rsidP="00021BE0">
      <w:pPr>
        <w:pStyle w:val="af1"/>
        <w:widowControl/>
        <w:spacing w:beforeLines="50"/>
        <w:ind w:firstLineChars="200" w:firstLine="560"/>
        <w:jc w:val="left"/>
        <w:rPr>
          <w:rFonts w:ascii="仿宋_GB2312" w:eastAsia="仿宋_GB2312" w:cs="仿宋_GB2312"/>
          <w:sz w:val="28"/>
          <w:szCs w:val="28"/>
        </w:rPr>
      </w:pPr>
      <w:r>
        <w:rPr>
          <w:rFonts w:ascii="仿宋_GB2312" w:eastAsia="仿宋_GB2312" w:cs="仿宋_GB2312" w:hint="eastAsia"/>
          <w:sz w:val="28"/>
          <w:szCs w:val="28"/>
        </w:rPr>
        <w:t>1、实时盯市（盘中试算）</w:t>
      </w:r>
    </w:p>
    <w:p w:rsidR="00173848" w:rsidRDefault="00FC3217" w:rsidP="00021BE0">
      <w:pPr>
        <w:pStyle w:val="af1"/>
        <w:widowControl/>
        <w:spacing w:beforeLines="50"/>
        <w:ind w:firstLineChars="200" w:firstLine="560"/>
        <w:jc w:val="left"/>
        <w:rPr>
          <w:rFonts w:ascii="仿宋_GB2312" w:eastAsia="仿宋_GB2312" w:cs="仿宋_GB2312"/>
          <w:sz w:val="28"/>
          <w:szCs w:val="28"/>
        </w:rPr>
      </w:pPr>
      <w:r>
        <w:rPr>
          <w:rFonts w:ascii="仿宋_GB2312" w:eastAsia="仿宋_GB2312" w:cs="仿宋_GB2312" w:hint="eastAsia"/>
          <w:sz w:val="28"/>
          <w:szCs w:val="28"/>
        </w:rPr>
        <w:t>区别于上述开仓保证金和维持保证金，期货公司在客户保证金监控时，需增加对合约标的或期权合约交易价格变动带来的保证金变化的监控。</w:t>
      </w:r>
    </w:p>
    <w:p w:rsidR="00173848" w:rsidRDefault="00FC3217" w:rsidP="00021BE0">
      <w:pPr>
        <w:pStyle w:val="af1"/>
        <w:widowControl/>
        <w:spacing w:beforeLines="50"/>
        <w:ind w:firstLineChars="200" w:firstLine="560"/>
        <w:jc w:val="left"/>
        <w:rPr>
          <w:rFonts w:ascii="仿宋_GB2312" w:eastAsia="仿宋_GB2312" w:cs="仿宋_GB2312"/>
          <w:sz w:val="28"/>
          <w:szCs w:val="28"/>
        </w:rPr>
      </w:pPr>
      <w:r>
        <w:rPr>
          <w:rFonts w:ascii="仿宋_GB2312" w:eastAsia="仿宋_GB2312" w:cs="仿宋_GB2312" w:hint="eastAsia"/>
          <w:sz w:val="28"/>
          <w:szCs w:val="28"/>
        </w:rPr>
        <w:lastRenderedPageBreak/>
        <w:t>根据最新价格实时计算的客户持有某期权合约的实时价格保证金是指，客户持有该同一期权合约义务仓和权利仓对冲后剩余义务仓，按合约标的最新成交价格和期权合约最新成交价（如当日无成交，则取前结算价），根据期货公司设置的保证金水平计算的保证金。</w:t>
      </w:r>
      <w:r>
        <w:rPr>
          <w:rFonts w:ascii="仿宋_GB2312" w:eastAsia="仿宋_GB2312" w:hint="eastAsia"/>
          <w:sz w:val="28"/>
          <w:szCs w:val="28"/>
        </w:rPr>
        <w:t>按照组合策略收取保证金的，若计算组合保证金的公式中包含期权合约或标的价格，也需要按照最新成交价进行计算。计算实时价格保证金时，组合策略持仓不参与同一期权合约义务仓和权利仓的对冲。</w:t>
      </w:r>
    </w:p>
    <w:p w:rsidR="00173848" w:rsidRDefault="00FC3217" w:rsidP="00021BE0">
      <w:pPr>
        <w:pStyle w:val="af1"/>
        <w:widowControl/>
        <w:spacing w:beforeLines="50"/>
        <w:ind w:firstLineChars="200" w:firstLine="560"/>
        <w:jc w:val="left"/>
        <w:rPr>
          <w:rFonts w:ascii="仿宋_GB2312" w:eastAsia="仿宋_GB2312" w:cs="仿宋_GB2312"/>
          <w:sz w:val="28"/>
          <w:szCs w:val="28"/>
        </w:rPr>
      </w:pPr>
      <w:r>
        <w:rPr>
          <w:rFonts w:ascii="仿宋_GB2312" w:eastAsia="仿宋_GB2312" w:cs="仿宋_GB2312" w:hint="eastAsia"/>
          <w:sz w:val="28"/>
          <w:szCs w:val="28"/>
        </w:rPr>
        <w:t>期货公司应按最新价格计算各客户持有各合约所需保证金金额，监控其是否足额及变化情况。</w:t>
      </w:r>
    </w:p>
    <w:p w:rsidR="00173848" w:rsidRDefault="00FC3217" w:rsidP="00021BE0">
      <w:pPr>
        <w:spacing w:beforeLines="50" w:afterLines="50"/>
        <w:ind w:firstLineChars="180" w:firstLine="504"/>
        <w:rPr>
          <w:rFonts w:ascii="仿宋_GB2312" w:eastAsia="仿宋_GB2312" w:cs="仿宋_GB2312"/>
          <w:sz w:val="28"/>
          <w:szCs w:val="28"/>
        </w:rPr>
      </w:pPr>
      <w:r>
        <w:rPr>
          <w:rFonts w:ascii="仿宋_GB2312" w:eastAsia="仿宋_GB2312" w:cs="仿宋_GB2312" w:hint="eastAsia"/>
          <w:sz w:val="28"/>
          <w:szCs w:val="28"/>
        </w:rPr>
        <w:t>2、盘中平仓和追保的实时监控</w:t>
      </w:r>
    </w:p>
    <w:p w:rsidR="00173848" w:rsidRDefault="00FC3217" w:rsidP="00021BE0">
      <w:pPr>
        <w:spacing w:beforeLines="50" w:afterLines="50"/>
        <w:ind w:firstLineChars="180" w:firstLine="504"/>
        <w:rPr>
          <w:rFonts w:ascii="仿宋_GB2312" w:eastAsia="仿宋_GB2312" w:cs="仿宋_GB2312"/>
          <w:sz w:val="28"/>
          <w:szCs w:val="28"/>
        </w:rPr>
      </w:pPr>
      <w:r>
        <w:rPr>
          <w:rFonts w:ascii="仿宋_GB2312" w:eastAsia="仿宋_GB2312" w:cs="仿宋_GB2312" w:hint="eastAsia"/>
          <w:sz w:val="28"/>
          <w:szCs w:val="28"/>
        </w:rPr>
        <w:t>（1）客户实时风险值</w:t>
      </w:r>
    </w:p>
    <w:p w:rsidR="00173848" w:rsidRDefault="00FC3217" w:rsidP="00021BE0">
      <w:pPr>
        <w:spacing w:beforeLines="50" w:afterLines="50"/>
        <w:ind w:firstLineChars="180" w:firstLine="504"/>
        <w:rPr>
          <w:rFonts w:ascii="仿宋_GB2312" w:eastAsia="仿宋_GB2312" w:cs="仿宋_GB2312"/>
          <w:sz w:val="28"/>
          <w:szCs w:val="28"/>
        </w:rPr>
      </w:pPr>
      <w:r>
        <w:rPr>
          <w:rFonts w:ascii="仿宋_GB2312" w:eastAsia="仿宋_GB2312" w:cs="仿宋_GB2312" w:hint="eastAsia"/>
          <w:sz w:val="28"/>
          <w:szCs w:val="28"/>
        </w:rPr>
        <w:t>期货公司应监控客户实时价格保证金占其保证金总额的情况，建议设立监控指标：</w:t>
      </w:r>
    </w:p>
    <w:p w:rsidR="00173848" w:rsidRDefault="00FC3217" w:rsidP="00021BE0">
      <w:pPr>
        <w:spacing w:beforeLines="50" w:afterLines="50"/>
        <w:ind w:firstLineChars="180" w:firstLine="504"/>
        <w:rPr>
          <w:rFonts w:ascii="仿宋_GB2312" w:eastAsia="仿宋_GB2312" w:cs="仿宋_GB2312"/>
          <w:sz w:val="28"/>
          <w:szCs w:val="28"/>
        </w:rPr>
      </w:pPr>
      <w:r>
        <w:rPr>
          <w:rFonts w:ascii="仿宋_GB2312" w:eastAsia="仿宋_GB2312" w:cs="仿宋_GB2312" w:hint="eastAsia"/>
          <w:sz w:val="28"/>
          <w:szCs w:val="28"/>
        </w:rPr>
        <w:t>客户实时风险值1=按照公司保证金水平计算的客户实时价格保证金/该客户保证金总额（扣除行权待交收等冻结的资金后）。</w:t>
      </w:r>
    </w:p>
    <w:p w:rsidR="00173848" w:rsidRDefault="00FC3217" w:rsidP="00021BE0">
      <w:pPr>
        <w:spacing w:beforeLines="50" w:afterLines="50"/>
        <w:ind w:firstLineChars="180" w:firstLine="504"/>
        <w:rPr>
          <w:rFonts w:ascii="仿宋_GB2312" w:eastAsia="仿宋_GB2312" w:cs="仿宋_GB2312"/>
          <w:sz w:val="28"/>
          <w:szCs w:val="28"/>
        </w:rPr>
      </w:pPr>
      <w:r>
        <w:rPr>
          <w:rFonts w:ascii="仿宋_GB2312" w:eastAsia="仿宋_GB2312" w:cs="仿宋_GB2312" w:hint="eastAsia"/>
          <w:sz w:val="28"/>
          <w:szCs w:val="28"/>
        </w:rPr>
        <w:t>客户实时风险值2=按照所司保证金水平计算的客户实时价格保证金/该客户保证金总额（扣除行权待交收等冻结的资金后）。</w:t>
      </w:r>
    </w:p>
    <w:p w:rsidR="00173848" w:rsidRDefault="00FC3217" w:rsidP="00021BE0">
      <w:pPr>
        <w:spacing w:beforeLines="50" w:afterLines="50"/>
        <w:ind w:firstLineChars="180" w:firstLine="504"/>
        <w:rPr>
          <w:rFonts w:ascii="仿宋_GB2312" w:eastAsia="仿宋_GB2312" w:cs="仿宋_GB2312"/>
          <w:sz w:val="28"/>
          <w:szCs w:val="28"/>
        </w:rPr>
      </w:pPr>
      <w:r>
        <w:rPr>
          <w:rFonts w:ascii="仿宋_GB2312" w:eastAsia="仿宋_GB2312" w:cs="仿宋_GB2312" w:hint="eastAsia"/>
          <w:sz w:val="28"/>
          <w:szCs w:val="28"/>
        </w:rPr>
        <w:t>比如针对客户保证金收取按所司保证金标准整体上浮20%的期货公司，盘中客户ETF认购期权按照公司保证金水平计算的实时价格保证金={合约最近成交价+Max（12%×合约标的最新价-认购期权虚值，</w:t>
      </w:r>
      <w:r>
        <w:rPr>
          <w:rFonts w:ascii="仿宋_GB2312" w:eastAsia="仿宋_GB2312" w:cs="仿宋_GB2312" w:hint="eastAsia"/>
          <w:sz w:val="28"/>
          <w:szCs w:val="28"/>
        </w:rPr>
        <w:lastRenderedPageBreak/>
        <w:t>7%×合约标的最新价）}×合约单位×1.2。</w:t>
      </w:r>
    </w:p>
    <w:p w:rsidR="00173848" w:rsidRDefault="00FC3217" w:rsidP="00021BE0">
      <w:pPr>
        <w:spacing w:beforeLines="50" w:afterLines="50"/>
        <w:ind w:firstLineChars="180" w:firstLine="504"/>
        <w:rPr>
          <w:rFonts w:ascii="仿宋_GB2312" w:eastAsia="仿宋_GB2312" w:cs="仿宋_GB2312"/>
          <w:sz w:val="28"/>
          <w:szCs w:val="28"/>
        </w:rPr>
      </w:pPr>
      <w:r>
        <w:rPr>
          <w:rFonts w:ascii="仿宋_GB2312" w:eastAsia="仿宋_GB2312" w:cs="仿宋_GB2312" w:hint="eastAsia"/>
          <w:sz w:val="28"/>
          <w:szCs w:val="28"/>
        </w:rPr>
        <w:t>客户保证金总额为客户股票期权保证金账户用于衍生品交易的资金总额，根据出入金、成交进行实时增减。</w:t>
      </w:r>
    </w:p>
    <w:p w:rsidR="00173848" w:rsidRDefault="00FC3217" w:rsidP="00021BE0">
      <w:pPr>
        <w:spacing w:beforeLines="50" w:afterLines="50"/>
        <w:ind w:firstLineChars="180" w:firstLine="504"/>
        <w:rPr>
          <w:rFonts w:ascii="仿宋_GB2312" w:eastAsia="仿宋_GB2312" w:cs="仿宋_GB2312"/>
          <w:sz w:val="28"/>
          <w:szCs w:val="28"/>
        </w:rPr>
      </w:pPr>
      <w:r>
        <w:rPr>
          <w:rFonts w:ascii="仿宋_GB2312" w:eastAsia="仿宋_GB2312" w:cs="仿宋_GB2312" w:hint="eastAsia"/>
          <w:sz w:val="28"/>
          <w:szCs w:val="28"/>
        </w:rPr>
        <w:t>行权待交收冻结的资金为行权日或交收日，客户因行权或被指派应付券或应付款而被冻结的资金。</w:t>
      </w:r>
    </w:p>
    <w:p w:rsidR="00173848" w:rsidRDefault="00FC3217" w:rsidP="00021BE0">
      <w:pPr>
        <w:spacing w:beforeLines="50" w:afterLines="50"/>
        <w:ind w:firstLineChars="180" w:firstLine="504"/>
        <w:rPr>
          <w:rFonts w:ascii="仿宋_GB2312" w:eastAsia="仿宋_GB2312" w:cs="仿宋_GB2312"/>
          <w:sz w:val="28"/>
          <w:szCs w:val="28"/>
        </w:rPr>
      </w:pPr>
      <w:r>
        <w:rPr>
          <w:rFonts w:ascii="仿宋_GB2312" w:eastAsia="仿宋_GB2312" w:cs="仿宋_GB2312" w:hint="eastAsia"/>
          <w:sz w:val="28"/>
          <w:szCs w:val="28"/>
        </w:rPr>
        <w:t>若客户实时风险值1和客户实时风险值2的分母出现负数，指标均为100%（期货公司可以自行设置其他数值）；如分母为0，当客户实时价格保证金&gt;0时，指标为100%，当客户实时价格保证金=0时，指标为0。客户实时风险值1和客户实时风险值2的分母“该客户保证金总额（扣除行权待交收冻结的资金后）”包括了申报未成交冻结的资金。</w:t>
      </w:r>
    </w:p>
    <w:p w:rsidR="00173848" w:rsidRDefault="00FC3217" w:rsidP="00021BE0">
      <w:pPr>
        <w:spacing w:beforeLines="50" w:afterLines="50"/>
        <w:ind w:firstLineChars="180" w:firstLine="504"/>
        <w:rPr>
          <w:rFonts w:ascii="仿宋_GB2312" w:eastAsia="仿宋_GB2312" w:cs="仿宋_GB2312"/>
          <w:sz w:val="28"/>
          <w:szCs w:val="28"/>
        </w:rPr>
      </w:pPr>
      <w:r>
        <w:rPr>
          <w:rFonts w:ascii="仿宋_GB2312" w:eastAsia="仿宋_GB2312" w:cs="仿宋_GB2312" w:hint="eastAsia"/>
          <w:sz w:val="28"/>
          <w:szCs w:val="28"/>
        </w:rPr>
        <w:t>期货公司亦可增设监控指标，例如增设客户实时风险值3=按照公司保证金水平计算的客户实时价格保证金/[该客户保证金总额（扣除行权待交收冻结的资金后）-申报未成交冻结的资金]。当客户实时风险值3达到期货公司设置的阀值时，期货公司可以及时提醒客户撤单或追加保证金。</w:t>
      </w:r>
    </w:p>
    <w:p w:rsidR="00173848" w:rsidRDefault="00FC3217" w:rsidP="00021BE0">
      <w:pPr>
        <w:spacing w:beforeLines="50" w:afterLines="50"/>
        <w:ind w:firstLineChars="180" w:firstLine="504"/>
        <w:rPr>
          <w:rFonts w:ascii="仿宋_GB2312" w:eastAsia="仿宋_GB2312" w:cs="仿宋_GB2312"/>
          <w:sz w:val="28"/>
          <w:szCs w:val="28"/>
        </w:rPr>
      </w:pPr>
      <w:r>
        <w:rPr>
          <w:rFonts w:ascii="仿宋_GB2312" w:eastAsia="仿宋_GB2312" w:cs="仿宋_GB2312" w:hint="eastAsia"/>
          <w:sz w:val="28"/>
          <w:szCs w:val="28"/>
        </w:rPr>
        <w:t>期货公司亦可按（客户实时价格保证金+行权待交收冻结的资金）/该客户保证金总额设计客户实时风险值，监控阀值自行定义。</w:t>
      </w:r>
    </w:p>
    <w:p w:rsidR="00173848" w:rsidRDefault="00FC3217" w:rsidP="00021BE0">
      <w:pPr>
        <w:spacing w:beforeLines="50" w:afterLines="50"/>
        <w:ind w:firstLineChars="180" w:firstLine="504"/>
        <w:rPr>
          <w:rFonts w:ascii="仿宋_GB2312" w:eastAsia="仿宋_GB2312" w:cs="仿宋_GB2312"/>
          <w:sz w:val="28"/>
          <w:szCs w:val="28"/>
        </w:rPr>
      </w:pPr>
      <w:r>
        <w:rPr>
          <w:rFonts w:ascii="仿宋_GB2312" w:eastAsia="仿宋_GB2312" w:cs="仿宋_GB2312" w:hint="eastAsia"/>
          <w:sz w:val="28"/>
          <w:szCs w:val="28"/>
        </w:rPr>
        <w:t>（2）三条监控线</w:t>
      </w:r>
    </w:p>
    <w:p w:rsidR="00173848" w:rsidRDefault="00FC3217" w:rsidP="00021BE0">
      <w:pPr>
        <w:spacing w:beforeLines="50" w:afterLines="50"/>
        <w:ind w:firstLineChars="180" w:firstLine="504"/>
        <w:rPr>
          <w:rFonts w:ascii="仿宋_GB2312" w:eastAsia="仿宋_GB2312" w:cs="仿宋_GB2312"/>
          <w:sz w:val="28"/>
          <w:szCs w:val="28"/>
        </w:rPr>
      </w:pPr>
      <w:r>
        <w:rPr>
          <w:rFonts w:ascii="仿宋_GB2312" w:eastAsia="仿宋_GB2312" w:cs="仿宋_GB2312" w:hint="eastAsia"/>
          <w:sz w:val="28"/>
          <w:szCs w:val="28"/>
        </w:rPr>
        <w:t>建议期货公司与客户在期权经纪合同中约定，对客户实时风险值</w:t>
      </w:r>
      <w:r>
        <w:rPr>
          <w:rFonts w:ascii="仿宋_GB2312" w:eastAsia="仿宋_GB2312" w:cs="仿宋_GB2312" w:hint="eastAsia"/>
          <w:sz w:val="28"/>
          <w:szCs w:val="28"/>
        </w:rPr>
        <w:lastRenderedPageBreak/>
        <w:t>设置公司盘中追保线、公司盘中平仓线、即时处置线。其中：</w:t>
      </w:r>
    </w:p>
    <w:p w:rsidR="00173848" w:rsidRDefault="00FC3217" w:rsidP="00021BE0">
      <w:pPr>
        <w:spacing w:beforeLines="50" w:afterLines="50"/>
        <w:ind w:firstLineChars="180" w:firstLine="504"/>
        <w:rPr>
          <w:rFonts w:ascii="仿宋_GB2312" w:eastAsia="仿宋_GB2312" w:cs="仿宋_GB2312"/>
          <w:sz w:val="28"/>
          <w:szCs w:val="28"/>
        </w:rPr>
      </w:pPr>
      <w:r>
        <w:rPr>
          <w:rFonts w:ascii="仿宋_GB2312" w:eastAsia="仿宋_GB2312" w:cs="仿宋_GB2312" w:hint="eastAsia"/>
          <w:sz w:val="28"/>
          <w:szCs w:val="28"/>
        </w:rPr>
        <w:t>公司盘中追保线：监控客户实时风险值1，盘中追保线低于公司盘中平仓线（具体值期货公司自定）。比如盘中追保线为90%，当盘中客户实时风险值1高于盘中追保线时，期货公司可以向客户发追保通知，并同时可以限制该客户新开仓。</w:t>
      </w:r>
    </w:p>
    <w:p w:rsidR="00173848" w:rsidRDefault="00FC3217" w:rsidP="00021BE0">
      <w:pPr>
        <w:spacing w:beforeLines="50" w:afterLines="50"/>
        <w:ind w:firstLineChars="180" w:firstLine="504"/>
        <w:rPr>
          <w:rFonts w:ascii="仿宋_GB2312" w:eastAsia="仿宋_GB2312" w:cs="仿宋_GB2312"/>
          <w:sz w:val="28"/>
          <w:szCs w:val="28"/>
        </w:rPr>
      </w:pPr>
      <w:r>
        <w:rPr>
          <w:rFonts w:ascii="仿宋_GB2312" w:eastAsia="仿宋_GB2312" w:cs="仿宋_GB2312" w:hint="eastAsia"/>
          <w:sz w:val="28"/>
          <w:szCs w:val="28"/>
        </w:rPr>
        <w:t>公司盘中平仓线：客户实时风险值1达到100%时，触发公司盘中平仓线。当盘中客户实时风险值1高于公司盘中平仓线时，期货公司应及时通知客户（如上一交易日日终维持保证金已不足，并已发出强行平仓通知书，可不再通知），期货公司可在当日或者下一交易日规定时间对客户进行强行平仓。</w:t>
      </w:r>
    </w:p>
    <w:p w:rsidR="00173848" w:rsidRDefault="00FC3217" w:rsidP="00021BE0">
      <w:pPr>
        <w:spacing w:beforeLines="50" w:afterLines="50"/>
        <w:ind w:firstLineChars="180" w:firstLine="504"/>
        <w:rPr>
          <w:rFonts w:ascii="仿宋_GB2312" w:eastAsia="仿宋_GB2312" w:cs="仿宋_GB2312"/>
          <w:sz w:val="28"/>
          <w:szCs w:val="28"/>
        </w:rPr>
      </w:pPr>
      <w:r>
        <w:rPr>
          <w:rFonts w:ascii="仿宋_GB2312" w:eastAsia="仿宋_GB2312" w:cs="仿宋_GB2312" w:hint="eastAsia"/>
          <w:sz w:val="28"/>
          <w:szCs w:val="28"/>
        </w:rPr>
        <w:t>即时处置线：客户实时风险值2达到100%时，触发即时处置线。当盘中客户实时风险值2高于即时处置线时，期货公司可以选择实时对客户进行强行平仓，直至客户实时风险值1处于公司盘中平仓线或追保线以下（具体由</w:t>
      </w:r>
      <w:r>
        <w:rPr>
          <w:rFonts w:ascii="仿宋_GB2312" w:eastAsia="仿宋_GB2312" w:cs="仿宋_GB2312" w:hint="eastAsia"/>
          <w:color w:val="000000"/>
          <w:sz w:val="28"/>
          <w:szCs w:val="28"/>
        </w:rPr>
        <w:t>期货公司</w:t>
      </w:r>
      <w:r>
        <w:rPr>
          <w:rFonts w:ascii="仿宋_GB2312" w:eastAsia="仿宋_GB2312" w:cs="仿宋_GB2312" w:hint="eastAsia"/>
          <w:sz w:val="28"/>
          <w:szCs w:val="28"/>
        </w:rPr>
        <w:t>与客户约定为准）。不做即时平仓的期货公司，可以在与客户约定的时间（如14:30）统一发起当天客户的强行平仓或选择不强行平仓，但应做好相应的资金管理安排，提前准备好自有资金，履行日终对中国结算的结算义务。</w:t>
      </w:r>
    </w:p>
    <w:p w:rsidR="00173848" w:rsidRDefault="00FC3217" w:rsidP="00021BE0">
      <w:pPr>
        <w:spacing w:beforeLines="50" w:afterLines="50"/>
        <w:ind w:firstLineChars="180" w:firstLine="504"/>
        <w:rPr>
          <w:rFonts w:ascii="仿宋_GB2312" w:eastAsia="仿宋_GB2312" w:cs="仿宋_GB2312"/>
          <w:sz w:val="28"/>
          <w:szCs w:val="28"/>
        </w:rPr>
      </w:pPr>
      <w:r>
        <w:rPr>
          <w:rFonts w:ascii="仿宋_GB2312" w:eastAsia="仿宋_GB2312" w:hint="eastAsia"/>
          <w:sz w:val="28"/>
          <w:szCs w:val="28"/>
        </w:rPr>
        <w:t>对于持有组合策略的情况，期货公司可按其与客户在经纪业务合同中的约定，在</w:t>
      </w:r>
      <w:r w:rsidRPr="00C61493">
        <w:rPr>
          <w:rFonts w:ascii="仿宋_GB2312" w:eastAsia="仿宋_GB2312" w:hint="eastAsia"/>
          <w:sz w:val="28"/>
          <w:szCs w:val="28"/>
        </w:rPr>
        <w:t>组合策略自动解除</w:t>
      </w:r>
      <w:r>
        <w:rPr>
          <w:rFonts w:ascii="仿宋_GB2312" w:eastAsia="仿宋_GB2312" w:hint="eastAsia"/>
          <w:sz w:val="28"/>
          <w:szCs w:val="28"/>
        </w:rPr>
        <w:t>前，根据客户实时风险值进行追保和处置。</w:t>
      </w:r>
    </w:p>
    <w:p w:rsidR="00173848" w:rsidRDefault="00FC3217" w:rsidP="00021BE0">
      <w:pPr>
        <w:spacing w:beforeLines="50" w:afterLines="50"/>
        <w:ind w:firstLineChars="180" w:firstLine="504"/>
        <w:rPr>
          <w:rFonts w:ascii="仿宋_GB2312" w:eastAsia="仿宋_GB2312" w:cs="仿宋_GB2312"/>
          <w:sz w:val="28"/>
          <w:szCs w:val="28"/>
        </w:rPr>
      </w:pPr>
      <w:r>
        <w:rPr>
          <w:rFonts w:ascii="仿宋_GB2312" w:eastAsia="仿宋_GB2312" w:cs="仿宋_GB2312" w:hint="eastAsia"/>
          <w:sz w:val="28"/>
          <w:szCs w:val="28"/>
        </w:rPr>
        <w:t>3、提取现金的计算</w:t>
      </w:r>
    </w:p>
    <w:p w:rsidR="00173848" w:rsidRDefault="00FC3217" w:rsidP="00021BE0">
      <w:pPr>
        <w:spacing w:beforeLines="50" w:afterLines="50"/>
        <w:ind w:firstLineChars="180" w:firstLine="504"/>
        <w:rPr>
          <w:rFonts w:ascii="仿宋_GB2312" w:eastAsia="仿宋_GB2312" w:cs="仿宋_GB2312"/>
          <w:sz w:val="28"/>
          <w:szCs w:val="28"/>
        </w:rPr>
      </w:pPr>
      <w:r>
        <w:rPr>
          <w:rFonts w:ascii="仿宋_GB2312" w:eastAsia="仿宋_GB2312" w:cs="仿宋_GB2312" w:hint="eastAsia"/>
          <w:sz w:val="28"/>
          <w:szCs w:val="28"/>
        </w:rPr>
        <w:lastRenderedPageBreak/>
        <w:t>（1）客户占用未对冲保证金</w:t>
      </w:r>
    </w:p>
    <w:p w:rsidR="00173848" w:rsidRDefault="00FC3217" w:rsidP="00021BE0">
      <w:pPr>
        <w:spacing w:beforeLines="50" w:afterLines="50"/>
        <w:ind w:firstLineChars="180" w:firstLine="504"/>
        <w:rPr>
          <w:rFonts w:ascii="仿宋_GB2312" w:eastAsia="仿宋_GB2312" w:cs="仿宋_GB2312"/>
          <w:sz w:val="28"/>
          <w:szCs w:val="28"/>
        </w:rPr>
      </w:pPr>
      <w:r>
        <w:rPr>
          <w:rFonts w:ascii="仿宋_GB2312" w:eastAsia="仿宋_GB2312" w:cs="仿宋_GB2312" w:hint="eastAsia"/>
          <w:sz w:val="28"/>
          <w:szCs w:val="28"/>
        </w:rPr>
        <w:t>客户占用未对冲开仓保证金：按照开仓保证金公式并按公司设定的收取水平计算的，以合约标的前收盘价和合约前结算价计算且为客户已成交和已申报开仓未成交的ETF期权义务仓合约（对双向持仓不进行对冲）所占用的保证金。</w:t>
      </w:r>
    </w:p>
    <w:p w:rsidR="00173848" w:rsidRDefault="00FC3217" w:rsidP="00021BE0">
      <w:pPr>
        <w:spacing w:beforeLines="50" w:afterLines="50"/>
        <w:ind w:firstLineChars="180" w:firstLine="504"/>
        <w:rPr>
          <w:rFonts w:ascii="仿宋_GB2312" w:eastAsia="仿宋_GB2312" w:cs="仿宋_GB2312"/>
          <w:sz w:val="28"/>
          <w:szCs w:val="28"/>
        </w:rPr>
      </w:pPr>
      <w:r>
        <w:rPr>
          <w:rFonts w:ascii="仿宋_GB2312" w:eastAsia="仿宋_GB2312" w:cs="仿宋_GB2312" w:hint="eastAsia"/>
          <w:sz w:val="28"/>
          <w:szCs w:val="28"/>
        </w:rPr>
        <w:t>客户占用未对冲实时价格保证金：按照开仓保证金公式并按公司设定的收取水平计算的，以合约标的最新价和合约最新价计算且为客户已成交和已申报开仓未成交的ETF期权义务仓合约（对双向持仓不进行对冲）所占用的保证金。</w:t>
      </w:r>
    </w:p>
    <w:p w:rsidR="00173848" w:rsidRDefault="00FC3217" w:rsidP="00021BE0">
      <w:pPr>
        <w:spacing w:beforeLines="50" w:afterLines="50"/>
        <w:ind w:firstLineChars="180" w:firstLine="504"/>
        <w:rPr>
          <w:rFonts w:ascii="仿宋_GB2312" w:eastAsia="仿宋_GB2312" w:cs="仿宋_GB2312"/>
          <w:sz w:val="28"/>
          <w:szCs w:val="28"/>
        </w:rPr>
      </w:pPr>
      <w:r>
        <w:rPr>
          <w:rFonts w:ascii="仿宋_GB2312" w:eastAsia="仿宋_GB2312" w:cs="仿宋_GB2312" w:hint="eastAsia"/>
          <w:sz w:val="28"/>
          <w:szCs w:val="28"/>
        </w:rPr>
        <w:t>（2）客户可取现值</w:t>
      </w:r>
    </w:p>
    <w:p w:rsidR="00173848" w:rsidRDefault="00FC3217" w:rsidP="00021BE0">
      <w:pPr>
        <w:spacing w:beforeLines="50" w:afterLines="50"/>
        <w:ind w:firstLineChars="180" w:firstLine="504"/>
        <w:rPr>
          <w:rFonts w:ascii="仿宋_GB2312" w:eastAsia="仿宋_GB2312" w:cs="仿宋_GB2312"/>
          <w:sz w:val="28"/>
          <w:szCs w:val="28"/>
        </w:rPr>
      </w:pPr>
      <w:r>
        <w:rPr>
          <w:rFonts w:ascii="仿宋_GB2312" w:eastAsia="仿宋_GB2312" w:cs="仿宋_GB2312" w:hint="eastAsia"/>
          <w:sz w:val="28"/>
          <w:szCs w:val="28"/>
        </w:rPr>
        <w:t>期货公司应根据自身风险管理与资金管理情况，在期权经纪合同中与客户约定客户取现的计算方法，计算方法及结果需要明确告知客户，可参考以下原则：当日权利金净收入不可提取、当日平仓释放资金保证金可提取等（具体以与客户约定为准）。计算方法举例如下：</w:t>
      </w:r>
    </w:p>
    <w:p w:rsidR="00173848" w:rsidRDefault="00FC3217" w:rsidP="00021BE0">
      <w:pPr>
        <w:spacing w:beforeLines="50" w:afterLines="50"/>
        <w:ind w:firstLineChars="180" w:firstLine="504"/>
        <w:rPr>
          <w:rFonts w:ascii="仿宋_GB2312" w:eastAsia="仿宋_GB2312" w:cs="仿宋_GB2312"/>
          <w:sz w:val="28"/>
          <w:szCs w:val="28"/>
        </w:rPr>
      </w:pPr>
      <w:r>
        <w:rPr>
          <w:rFonts w:ascii="仿宋_GB2312" w:eastAsia="仿宋_GB2312" w:cs="仿宋_GB2312" w:hint="eastAsia"/>
          <w:sz w:val="28"/>
          <w:szCs w:val="28"/>
        </w:rPr>
        <w:t>可取资金=上一日日终结算后资金保证金总额（或当日期初资金保证金总额）+当日入金-当日出金-手续费+当日权利金收入-当日权利金支出 -[ max（客户占用未对冲实时价格保证金，客户占用未对冲开仓保证金）/提取线] - max(当日权利金收入-当日权利金支出，0）-</w:t>
      </w:r>
      <w:r>
        <w:rPr>
          <w:rFonts w:ascii="仿宋_GB2312" w:eastAsia="仿宋_GB2312"/>
          <w:sz w:val="28"/>
          <w:szCs w:val="28"/>
        </w:rPr>
        <w:t> </w:t>
      </w:r>
      <w:r>
        <w:rPr>
          <w:rFonts w:ascii="仿宋_GB2312" w:eastAsia="仿宋_GB2312" w:cs="仿宋_GB2312" w:hint="eastAsia"/>
          <w:sz w:val="28"/>
          <w:szCs w:val="28"/>
        </w:rPr>
        <w:t xml:space="preserve"> 行权待交收冻结资金 - 其他相关冻结资金。</w:t>
      </w:r>
    </w:p>
    <w:p w:rsidR="00173848" w:rsidRDefault="00FC3217" w:rsidP="00021BE0">
      <w:pPr>
        <w:spacing w:beforeLines="50" w:afterLines="50"/>
        <w:ind w:firstLineChars="180" w:firstLine="504"/>
        <w:rPr>
          <w:rFonts w:ascii="仿宋_GB2312" w:eastAsia="仿宋_GB2312" w:cs="仿宋_GB2312"/>
          <w:sz w:val="28"/>
          <w:szCs w:val="28"/>
        </w:rPr>
      </w:pPr>
      <w:r>
        <w:rPr>
          <w:rFonts w:ascii="仿宋_GB2312" w:eastAsia="仿宋_GB2312" w:cs="仿宋_GB2312" w:hint="eastAsia"/>
          <w:sz w:val="28"/>
          <w:szCs w:val="28"/>
        </w:rPr>
        <w:t>（3）提取线：设定一个比例（即提取线，不高于盘中追保线，由期货公司自行设定），客户未对冲实时价格保证金加行权待交收冻</w:t>
      </w:r>
      <w:r>
        <w:rPr>
          <w:rFonts w:ascii="仿宋_GB2312" w:eastAsia="仿宋_GB2312" w:cs="仿宋_GB2312" w:hint="eastAsia"/>
          <w:sz w:val="28"/>
          <w:szCs w:val="28"/>
        </w:rPr>
        <w:lastRenderedPageBreak/>
        <w:t>结资金及其他相关冻结资金占其保证金总额高于或等于该比例时，不可提取现金；低于该比例时且符合其他约定条件时，可提取现金。现金提取后，客户未对冲实时价格保证金加行权待交收冻结资金及其他相关冻结资金占其保证金总额不得高于该比例。</w:t>
      </w:r>
      <w:r>
        <w:rPr>
          <w:rFonts w:ascii="仿宋_GB2312" w:eastAsia="仿宋_GB2312"/>
          <w:sz w:val="28"/>
          <w:szCs w:val="28"/>
        </w:rPr>
        <w:t>   </w:t>
      </w:r>
      <w:r>
        <w:rPr>
          <w:rFonts w:ascii="仿宋_GB2312" w:eastAsia="仿宋_GB2312" w:cs="仿宋_GB2312" w:hint="eastAsia"/>
          <w:sz w:val="28"/>
          <w:szCs w:val="28"/>
        </w:rPr>
        <w:t xml:space="preserve"> </w:t>
      </w:r>
    </w:p>
    <w:p w:rsidR="00173848" w:rsidRDefault="00FC3217" w:rsidP="00021BE0">
      <w:pPr>
        <w:spacing w:beforeLines="50" w:afterLines="50"/>
        <w:ind w:firstLineChars="180" w:firstLine="504"/>
        <w:rPr>
          <w:rFonts w:ascii="仿宋_GB2312" w:eastAsia="仿宋_GB2312" w:cs="仿宋_GB2312"/>
          <w:sz w:val="28"/>
          <w:szCs w:val="28"/>
        </w:rPr>
      </w:pPr>
      <w:r>
        <w:rPr>
          <w:rFonts w:ascii="仿宋_GB2312" w:eastAsia="仿宋_GB2312" w:cs="仿宋_GB2312" w:hint="eastAsia"/>
          <w:sz w:val="28"/>
          <w:szCs w:val="28"/>
        </w:rPr>
        <w:t>期货公司也可以不设置提取线，客户可取现值可以按扣除最大占用保证金及相关冻结资金后的可用余额计算，但应考虑避免当日日终出现维持保证金不足的情况。</w:t>
      </w:r>
    </w:p>
    <w:p w:rsidR="00173848" w:rsidRDefault="00FC3217" w:rsidP="00021BE0">
      <w:pPr>
        <w:spacing w:beforeLines="50" w:afterLines="50"/>
        <w:ind w:firstLineChars="180" w:firstLine="504"/>
        <w:rPr>
          <w:rFonts w:ascii="仿宋_GB2312" w:eastAsia="仿宋_GB2312" w:cs="仿宋_GB2312"/>
          <w:sz w:val="28"/>
          <w:szCs w:val="28"/>
        </w:rPr>
      </w:pPr>
      <w:r>
        <w:rPr>
          <w:rFonts w:ascii="仿宋_GB2312" w:eastAsia="仿宋_GB2312" w:cs="仿宋_GB2312" w:hint="eastAsia"/>
          <w:sz w:val="28"/>
          <w:szCs w:val="28"/>
        </w:rPr>
        <w:t>（四）逐日盯市</w:t>
      </w:r>
    </w:p>
    <w:p w:rsidR="00173848" w:rsidRDefault="00FC3217" w:rsidP="00021BE0">
      <w:pPr>
        <w:spacing w:beforeLines="50" w:afterLines="50"/>
        <w:ind w:firstLineChars="180" w:firstLine="504"/>
        <w:rPr>
          <w:rFonts w:ascii="仿宋_GB2312" w:eastAsia="仿宋_GB2312" w:cs="仿宋_GB2312"/>
          <w:sz w:val="28"/>
          <w:szCs w:val="28"/>
        </w:rPr>
      </w:pPr>
      <w:r>
        <w:rPr>
          <w:rFonts w:ascii="仿宋_GB2312" w:eastAsia="仿宋_GB2312" w:cs="仿宋_GB2312" w:hint="eastAsia"/>
          <w:sz w:val="28"/>
          <w:szCs w:val="28"/>
        </w:rPr>
        <w:t>1、客户维持保证金监控</w:t>
      </w:r>
    </w:p>
    <w:p w:rsidR="00173848" w:rsidRDefault="00FC3217" w:rsidP="00021BE0">
      <w:pPr>
        <w:spacing w:beforeLines="50" w:afterLines="50"/>
        <w:ind w:firstLineChars="180" w:firstLine="504"/>
        <w:rPr>
          <w:rFonts w:ascii="仿宋_GB2312" w:eastAsia="仿宋_GB2312" w:cs="仿宋_GB2312"/>
          <w:sz w:val="28"/>
          <w:szCs w:val="28"/>
        </w:rPr>
      </w:pPr>
      <w:r>
        <w:rPr>
          <w:rFonts w:ascii="仿宋_GB2312" w:eastAsia="仿宋_GB2312" w:cs="仿宋_GB2312" w:hint="eastAsia"/>
          <w:sz w:val="28"/>
          <w:szCs w:val="28"/>
        </w:rPr>
        <w:t>客户维持保证金1：按照公司保证金水平计算的维持保证金（持仓日终自动对冲后收取的保证金）。</w:t>
      </w:r>
    </w:p>
    <w:p w:rsidR="00173848" w:rsidRDefault="00FC3217" w:rsidP="00021BE0">
      <w:pPr>
        <w:spacing w:beforeLines="50" w:afterLines="50"/>
        <w:ind w:firstLineChars="180" w:firstLine="504"/>
        <w:rPr>
          <w:rFonts w:ascii="仿宋_GB2312" w:eastAsia="仿宋_GB2312" w:cs="仿宋_GB2312"/>
          <w:sz w:val="28"/>
          <w:szCs w:val="28"/>
        </w:rPr>
      </w:pPr>
      <w:r>
        <w:rPr>
          <w:rFonts w:ascii="仿宋_GB2312" w:eastAsia="仿宋_GB2312" w:cs="仿宋_GB2312" w:hint="eastAsia"/>
          <w:sz w:val="28"/>
          <w:szCs w:val="28"/>
        </w:rPr>
        <w:t>比如针对客户保证金收取按上交所标准整体上浮20%的期货公司，收盘后客户ETF认购期权维持保证金1={结算价+Max（12%×合约标的收盘价-认购期权虚值，7%×合约标的收盘价）}×合约单位×1.2。</w:t>
      </w:r>
    </w:p>
    <w:p w:rsidR="00173848" w:rsidRDefault="00FC3217" w:rsidP="00021BE0">
      <w:pPr>
        <w:spacing w:beforeLines="50" w:afterLines="50"/>
        <w:ind w:firstLineChars="180" w:firstLine="504"/>
        <w:rPr>
          <w:rFonts w:ascii="仿宋_GB2312" w:eastAsia="仿宋_GB2312" w:cs="仿宋_GB2312"/>
          <w:sz w:val="28"/>
          <w:szCs w:val="28"/>
        </w:rPr>
      </w:pPr>
      <w:r>
        <w:rPr>
          <w:rFonts w:ascii="仿宋_GB2312" w:eastAsia="仿宋_GB2312" w:cs="仿宋_GB2312" w:hint="eastAsia"/>
          <w:sz w:val="28"/>
          <w:szCs w:val="28"/>
        </w:rPr>
        <w:t>客户维持保证金2：按照所司保证金标准计算的维持保证金（（持仓日终自动对冲后收取的保证金））。</w:t>
      </w:r>
    </w:p>
    <w:p w:rsidR="00173848" w:rsidRDefault="00FC3217" w:rsidP="00021BE0">
      <w:pPr>
        <w:spacing w:beforeLines="50" w:afterLines="50"/>
        <w:ind w:firstLineChars="180" w:firstLine="504"/>
        <w:rPr>
          <w:rFonts w:ascii="仿宋_GB2312" w:eastAsia="仿宋_GB2312" w:cs="仿宋_GB2312"/>
          <w:sz w:val="28"/>
          <w:szCs w:val="28"/>
        </w:rPr>
      </w:pPr>
      <w:r>
        <w:rPr>
          <w:rFonts w:ascii="仿宋_GB2312" w:eastAsia="仿宋_GB2312" w:cs="仿宋_GB2312" w:hint="eastAsia"/>
          <w:sz w:val="28"/>
          <w:szCs w:val="28"/>
        </w:rPr>
        <w:t>收盘后客户ETF认购期权维持保证金2={结算价+Max（12%×合约标的收盘价-认购期权虚值，7%×合约标的收盘价）}×合约单位。</w:t>
      </w:r>
    </w:p>
    <w:p w:rsidR="00173848" w:rsidRDefault="00FC3217" w:rsidP="00021BE0">
      <w:pPr>
        <w:spacing w:beforeLines="50" w:afterLines="50"/>
        <w:ind w:firstLineChars="180" w:firstLine="504"/>
        <w:rPr>
          <w:rFonts w:ascii="仿宋_GB2312" w:eastAsia="仿宋_GB2312" w:cs="仿宋_GB2312"/>
          <w:sz w:val="28"/>
          <w:szCs w:val="28"/>
        </w:rPr>
      </w:pPr>
      <w:r>
        <w:rPr>
          <w:rFonts w:ascii="仿宋_GB2312" w:eastAsia="仿宋_GB2312" w:cs="仿宋_GB2312" w:hint="eastAsia"/>
          <w:sz w:val="28"/>
          <w:szCs w:val="28"/>
        </w:rPr>
        <w:t>2、客户维持保证金比例1与客户维持保证金比例2</w:t>
      </w:r>
    </w:p>
    <w:p w:rsidR="00173848" w:rsidRDefault="00FC3217" w:rsidP="00021BE0">
      <w:pPr>
        <w:spacing w:beforeLines="50" w:afterLines="50"/>
        <w:ind w:firstLineChars="180" w:firstLine="504"/>
        <w:rPr>
          <w:rFonts w:ascii="仿宋_GB2312" w:eastAsia="仿宋_GB2312" w:cs="仿宋_GB2312"/>
          <w:sz w:val="28"/>
          <w:szCs w:val="28"/>
        </w:rPr>
      </w:pPr>
      <w:r>
        <w:rPr>
          <w:rFonts w:ascii="仿宋_GB2312" w:eastAsia="仿宋_GB2312" w:cs="仿宋_GB2312" w:hint="eastAsia"/>
          <w:sz w:val="28"/>
          <w:szCs w:val="28"/>
        </w:rPr>
        <w:t>期货公司应在日终对客户保证金进行逐日盯市，建议设立监控指</w:t>
      </w:r>
      <w:r>
        <w:rPr>
          <w:rFonts w:ascii="仿宋_GB2312" w:eastAsia="仿宋_GB2312" w:cs="仿宋_GB2312" w:hint="eastAsia"/>
          <w:sz w:val="28"/>
          <w:szCs w:val="28"/>
        </w:rPr>
        <w:lastRenderedPageBreak/>
        <w:t>标：</w:t>
      </w:r>
    </w:p>
    <w:p w:rsidR="00173848" w:rsidRDefault="00FC3217" w:rsidP="00021BE0">
      <w:pPr>
        <w:spacing w:beforeLines="50" w:afterLines="50"/>
        <w:ind w:firstLineChars="180" w:firstLine="504"/>
        <w:rPr>
          <w:rFonts w:ascii="仿宋_GB2312" w:eastAsia="仿宋_GB2312" w:cs="仿宋_GB2312"/>
          <w:sz w:val="28"/>
          <w:szCs w:val="28"/>
        </w:rPr>
      </w:pPr>
      <w:r>
        <w:rPr>
          <w:rFonts w:ascii="仿宋_GB2312" w:eastAsia="仿宋_GB2312" w:cs="仿宋_GB2312" w:hint="eastAsia"/>
          <w:sz w:val="28"/>
          <w:szCs w:val="28"/>
        </w:rPr>
        <w:t>客户维持保证金比例1=客户维持保证金1/该客户保证金总额（扣除行权待交收冻结的资金后）。</w:t>
      </w:r>
    </w:p>
    <w:p w:rsidR="00173848" w:rsidRDefault="00FC3217" w:rsidP="00021BE0">
      <w:pPr>
        <w:spacing w:beforeLines="50" w:afterLines="50"/>
        <w:ind w:firstLineChars="180" w:firstLine="504"/>
        <w:rPr>
          <w:rFonts w:ascii="仿宋_GB2312" w:eastAsia="仿宋_GB2312" w:cs="仿宋_GB2312"/>
          <w:sz w:val="28"/>
          <w:szCs w:val="28"/>
        </w:rPr>
      </w:pPr>
      <w:r>
        <w:rPr>
          <w:rFonts w:ascii="仿宋_GB2312" w:eastAsia="仿宋_GB2312" w:cs="仿宋_GB2312" w:hint="eastAsia"/>
          <w:sz w:val="28"/>
          <w:szCs w:val="28"/>
        </w:rPr>
        <w:t>客户维持保证金比例2=客户维持保证金2/该客户保证金总额（扣除行权待交收冻结的资金后）。</w:t>
      </w:r>
    </w:p>
    <w:p w:rsidR="00173848" w:rsidRDefault="00FC3217" w:rsidP="00021BE0">
      <w:pPr>
        <w:spacing w:beforeLines="50" w:afterLines="50"/>
        <w:ind w:firstLineChars="180" w:firstLine="504"/>
        <w:rPr>
          <w:rFonts w:ascii="仿宋_GB2312" w:eastAsia="仿宋_GB2312" w:cs="仿宋_GB2312"/>
          <w:sz w:val="28"/>
          <w:szCs w:val="28"/>
        </w:rPr>
      </w:pPr>
      <w:r>
        <w:rPr>
          <w:rFonts w:ascii="仿宋_GB2312" w:eastAsia="仿宋_GB2312" w:cs="仿宋_GB2312" w:hint="eastAsia"/>
          <w:sz w:val="28"/>
          <w:szCs w:val="28"/>
        </w:rPr>
        <w:t>3、三条监控线</w:t>
      </w:r>
    </w:p>
    <w:p w:rsidR="00173848" w:rsidRDefault="00FC3217" w:rsidP="00021BE0">
      <w:pPr>
        <w:spacing w:beforeLines="50" w:afterLines="50"/>
        <w:ind w:firstLineChars="180" w:firstLine="504"/>
        <w:rPr>
          <w:rFonts w:ascii="仿宋_GB2312" w:eastAsia="仿宋_GB2312" w:cs="仿宋_GB2312"/>
          <w:sz w:val="28"/>
          <w:szCs w:val="28"/>
        </w:rPr>
      </w:pPr>
      <w:r>
        <w:rPr>
          <w:rFonts w:ascii="仿宋_GB2312" w:eastAsia="仿宋_GB2312" w:cs="仿宋_GB2312" w:hint="eastAsia"/>
          <w:sz w:val="28"/>
          <w:szCs w:val="28"/>
        </w:rPr>
        <w:t>建议期货公司与客户在期权经纪合同中约定，针对客户维持保证金比例1和客户维持保证金比例2设置公司盘后平仓线、公司盘后追保线和交易所平仓线。其中：</w:t>
      </w:r>
    </w:p>
    <w:p w:rsidR="00173848" w:rsidRDefault="00FC3217" w:rsidP="00021BE0">
      <w:pPr>
        <w:spacing w:beforeLines="50" w:afterLines="50"/>
        <w:ind w:firstLineChars="180" w:firstLine="504"/>
        <w:rPr>
          <w:rFonts w:ascii="仿宋_GB2312" w:eastAsia="仿宋_GB2312" w:cs="仿宋_GB2312"/>
          <w:sz w:val="28"/>
          <w:szCs w:val="28"/>
        </w:rPr>
      </w:pPr>
      <w:r>
        <w:rPr>
          <w:rFonts w:ascii="仿宋_GB2312" w:eastAsia="仿宋_GB2312" w:cs="仿宋_GB2312" w:hint="eastAsia"/>
          <w:sz w:val="28"/>
          <w:szCs w:val="28"/>
        </w:rPr>
        <w:t>公司盘后平仓线：客户维持保证金比例1为100%。当盘后客户维持保证金比例1高于公司盘后平仓线时，公司应及时向客户发送强行平仓通知，并通知客户在下一交易日规定时间（比如14:30）以前补足保证金或自行平仓；若客户未在规定时间内补足保证金或自行平仓，期货公司应在下一交易日规定时间（比如14：30）开始对客户实施强行平仓。并告知，如下一交易日盘中进一步达到即时处置线时，期货公司可以选择实时对客户进行强行平仓。</w:t>
      </w:r>
    </w:p>
    <w:p w:rsidR="00173848" w:rsidRDefault="00FC3217" w:rsidP="00021BE0">
      <w:pPr>
        <w:spacing w:beforeLines="50" w:afterLines="50"/>
        <w:ind w:firstLineChars="180" w:firstLine="504"/>
        <w:rPr>
          <w:rFonts w:ascii="仿宋_GB2312" w:eastAsia="仿宋_GB2312" w:cs="仿宋_GB2312"/>
          <w:sz w:val="28"/>
          <w:szCs w:val="28"/>
        </w:rPr>
      </w:pPr>
      <w:r>
        <w:rPr>
          <w:rFonts w:ascii="仿宋_GB2312" w:eastAsia="仿宋_GB2312" w:cs="仿宋_GB2312" w:hint="eastAsia"/>
          <w:sz w:val="28"/>
          <w:szCs w:val="28"/>
        </w:rPr>
        <w:t>公司盘后追保线：监控客户维持保证金比例1，盘后追保线低于公司盘后平仓线（具体值期货公司自定）。比如盘后追保线为90%，当客户维持保证金比例1高于盘后追保线时，期货公司应及时向客户发追保通知，并同时可以限制该客户新开仓。</w:t>
      </w:r>
    </w:p>
    <w:p w:rsidR="00173848" w:rsidRDefault="00FC3217" w:rsidP="00021BE0">
      <w:pPr>
        <w:spacing w:beforeLines="50" w:afterLines="50"/>
        <w:ind w:firstLineChars="180" w:firstLine="504"/>
        <w:rPr>
          <w:rFonts w:ascii="仿宋_GB2312" w:eastAsia="仿宋_GB2312" w:cs="仿宋_GB2312"/>
          <w:sz w:val="28"/>
          <w:szCs w:val="28"/>
        </w:rPr>
      </w:pPr>
      <w:r>
        <w:rPr>
          <w:rFonts w:ascii="仿宋_GB2312" w:eastAsia="仿宋_GB2312" w:cs="仿宋_GB2312" w:hint="eastAsia"/>
          <w:sz w:val="28"/>
          <w:szCs w:val="28"/>
        </w:rPr>
        <w:lastRenderedPageBreak/>
        <w:t>交易所平仓线：客户维持保证金比例2为100%。当盘后客户维持保证金比例2高于交易所平仓线时，公司应及时向客户发送强行平仓通知，并在下一交易日开盘后尽快对客户实施强行平仓。当日日终，需要期货公司用自有资金补足，确保日终客户维持保证金不低于按《风控办法》规定的保证金水平，不得挪用其他客户保证金。</w:t>
      </w:r>
    </w:p>
    <w:p w:rsidR="00173848" w:rsidRDefault="00FC3217" w:rsidP="00021BE0">
      <w:pPr>
        <w:spacing w:beforeLines="50" w:afterLines="50"/>
        <w:ind w:firstLineChars="180" w:firstLine="504"/>
        <w:rPr>
          <w:rFonts w:ascii="仿宋_GB2312" w:eastAsia="仿宋_GB2312" w:cs="仿宋_GB2312"/>
          <w:sz w:val="28"/>
          <w:szCs w:val="28"/>
        </w:rPr>
      </w:pPr>
      <w:r>
        <w:rPr>
          <w:rFonts w:ascii="仿宋_GB2312" w:eastAsia="仿宋_GB2312" w:hint="eastAsia"/>
          <w:sz w:val="28"/>
          <w:szCs w:val="28"/>
        </w:rPr>
        <w:t>对于持有组合策略的情况，期货公司可按其与客户在经纪业务合同中的约定，在</w:t>
      </w:r>
      <w:r w:rsidRPr="00C61493">
        <w:rPr>
          <w:rFonts w:ascii="仿宋_GB2312" w:eastAsia="仿宋_GB2312" w:hint="eastAsia"/>
          <w:sz w:val="28"/>
          <w:szCs w:val="28"/>
        </w:rPr>
        <w:t>组合策略自动解除</w:t>
      </w:r>
      <w:r>
        <w:rPr>
          <w:rFonts w:ascii="仿宋_GB2312" w:eastAsia="仿宋_GB2312" w:hint="eastAsia"/>
          <w:sz w:val="28"/>
          <w:szCs w:val="28"/>
        </w:rPr>
        <w:t>前，根据客户维持保证金比例进行追保或强平通知。</w:t>
      </w:r>
    </w:p>
    <w:p w:rsidR="00173848" w:rsidRDefault="00FC3217" w:rsidP="00021BE0">
      <w:pPr>
        <w:spacing w:beforeLines="50" w:afterLines="50"/>
        <w:ind w:firstLineChars="180" w:firstLine="504"/>
        <w:rPr>
          <w:rFonts w:ascii="仿宋_GB2312" w:eastAsia="仿宋_GB2312" w:cs="仿宋_GB2312"/>
          <w:sz w:val="28"/>
          <w:szCs w:val="28"/>
        </w:rPr>
      </w:pPr>
      <w:r>
        <w:rPr>
          <w:rFonts w:ascii="仿宋_GB2312" w:eastAsia="仿宋_GB2312" w:cs="仿宋_GB2312" w:hint="eastAsia"/>
          <w:sz w:val="28"/>
          <w:szCs w:val="28"/>
        </w:rPr>
        <w:t>（五）其他</w:t>
      </w:r>
    </w:p>
    <w:p w:rsidR="00173848" w:rsidRDefault="00FC3217" w:rsidP="00021BE0">
      <w:pPr>
        <w:spacing w:beforeLines="50" w:afterLines="50"/>
        <w:ind w:firstLineChars="180" w:firstLine="504"/>
        <w:rPr>
          <w:rFonts w:ascii="仿宋_GB2312" w:eastAsia="仿宋_GB2312" w:cs="仿宋_GB2312"/>
          <w:sz w:val="28"/>
          <w:szCs w:val="28"/>
        </w:rPr>
      </w:pPr>
      <w:r>
        <w:rPr>
          <w:rFonts w:ascii="仿宋_GB2312" w:eastAsia="仿宋_GB2312" w:cs="仿宋_GB2312" w:hint="eastAsia"/>
          <w:sz w:val="28"/>
          <w:szCs w:val="28"/>
        </w:rPr>
        <w:t>1、保证金通知邮箱</w:t>
      </w:r>
    </w:p>
    <w:p w:rsidR="00173848" w:rsidRDefault="00FC3217" w:rsidP="00021BE0">
      <w:pPr>
        <w:spacing w:beforeLines="50" w:afterLines="50"/>
        <w:ind w:firstLineChars="180" w:firstLine="504"/>
        <w:rPr>
          <w:rFonts w:ascii="仿宋_GB2312" w:eastAsia="仿宋_GB2312" w:cs="仿宋_GB2312"/>
          <w:sz w:val="28"/>
          <w:szCs w:val="28"/>
        </w:rPr>
      </w:pPr>
      <w:r>
        <w:rPr>
          <w:rFonts w:ascii="仿宋_GB2312" w:eastAsia="仿宋_GB2312" w:cs="仿宋_GB2312" w:hint="eastAsia"/>
          <w:sz w:val="28"/>
          <w:szCs w:val="28"/>
        </w:rPr>
        <w:t>期货公司可向与客户约定的客户专门邮箱或其融资融券业务邮箱，发送追保、强平等各类通知，并存档留痕。期货公司可在期权经纪合同中列明并告知客户。</w:t>
      </w:r>
    </w:p>
    <w:p w:rsidR="00173848" w:rsidRDefault="00FC3217" w:rsidP="00021BE0">
      <w:pPr>
        <w:spacing w:beforeLines="50" w:afterLines="50"/>
        <w:ind w:firstLineChars="180" w:firstLine="504"/>
        <w:rPr>
          <w:rFonts w:ascii="仿宋_GB2312" w:eastAsia="仿宋_GB2312" w:cs="仿宋_GB2312"/>
          <w:sz w:val="28"/>
          <w:szCs w:val="28"/>
        </w:rPr>
      </w:pPr>
      <w:r>
        <w:rPr>
          <w:rFonts w:ascii="仿宋_GB2312" w:eastAsia="仿宋_GB2312" w:cs="仿宋_GB2312" w:hint="eastAsia"/>
          <w:sz w:val="28"/>
          <w:szCs w:val="28"/>
        </w:rPr>
        <w:t>2、压力测试</w:t>
      </w:r>
    </w:p>
    <w:p w:rsidR="00173848" w:rsidRDefault="00FC3217" w:rsidP="00021BE0">
      <w:pPr>
        <w:spacing w:beforeLines="50" w:afterLines="50"/>
        <w:ind w:firstLineChars="180" w:firstLine="504"/>
        <w:rPr>
          <w:rFonts w:ascii="仿宋_GB2312" w:eastAsia="仿宋_GB2312" w:cs="仿宋_GB2312"/>
          <w:sz w:val="28"/>
          <w:szCs w:val="28"/>
        </w:rPr>
      </w:pPr>
      <w:r>
        <w:rPr>
          <w:rFonts w:ascii="仿宋_GB2312" w:eastAsia="仿宋_GB2312" w:cs="仿宋_GB2312" w:hint="eastAsia"/>
          <w:sz w:val="28"/>
          <w:szCs w:val="28"/>
        </w:rPr>
        <w:t>期货公司应对客户保证金进行压力测试，包括对客户保证金进行特定品种、特定价格、特定情景的压力测试等。</w:t>
      </w:r>
    </w:p>
    <w:p w:rsidR="00173848" w:rsidRDefault="00FC3217" w:rsidP="00021BE0">
      <w:pPr>
        <w:spacing w:beforeLines="50" w:afterLines="50"/>
        <w:ind w:firstLineChars="180" w:firstLine="504"/>
        <w:rPr>
          <w:rFonts w:ascii="仿宋_GB2312" w:eastAsia="仿宋_GB2312" w:cs="仿宋_GB2312"/>
          <w:sz w:val="28"/>
          <w:szCs w:val="28"/>
        </w:rPr>
      </w:pPr>
      <w:r>
        <w:rPr>
          <w:rFonts w:ascii="仿宋_GB2312" w:eastAsia="仿宋_GB2312" w:cs="仿宋_GB2312" w:hint="eastAsia"/>
          <w:sz w:val="28"/>
          <w:szCs w:val="28"/>
        </w:rPr>
        <w:t>期货公司盘中应重视对一定程度虚值期权合约</w:t>
      </w:r>
      <w:r>
        <w:rPr>
          <w:rFonts w:ascii="仿宋_GB2312" w:eastAsia="仿宋_GB2312" w:hint="eastAsia"/>
          <w:sz w:val="28"/>
          <w:szCs w:val="28"/>
        </w:rPr>
        <w:t>及临近自动解除日组合策略</w:t>
      </w:r>
      <w:r>
        <w:rPr>
          <w:rFonts w:ascii="仿宋_GB2312" w:eastAsia="仿宋_GB2312" w:cs="仿宋_GB2312" w:hint="eastAsia"/>
          <w:sz w:val="28"/>
          <w:szCs w:val="28"/>
        </w:rPr>
        <w:t>的实时监控。当合约标的价格发生较大变化、所持合约虚值程度发生较大变化或从虚值转为平值</w:t>
      </w:r>
      <w:r>
        <w:rPr>
          <w:rFonts w:ascii="仿宋_GB2312" w:eastAsia="仿宋_GB2312" w:hint="eastAsia"/>
          <w:sz w:val="28"/>
          <w:szCs w:val="28"/>
        </w:rPr>
        <w:t>、组合策略临近自动解除日</w:t>
      </w:r>
      <w:r>
        <w:rPr>
          <w:rFonts w:ascii="仿宋_GB2312" w:eastAsia="仿宋_GB2312" w:cs="仿宋_GB2312" w:hint="eastAsia"/>
          <w:sz w:val="28"/>
          <w:szCs w:val="28"/>
        </w:rPr>
        <w:t>时，期货公司应对该情况下客户保证金变化进行压力测试或进行评估，以</w:t>
      </w:r>
      <w:r>
        <w:rPr>
          <w:rFonts w:ascii="仿宋_GB2312" w:eastAsia="仿宋_GB2312" w:cs="仿宋_GB2312" w:hint="eastAsia"/>
          <w:sz w:val="28"/>
          <w:szCs w:val="28"/>
        </w:rPr>
        <w:lastRenderedPageBreak/>
        <w:t>应对客户保证金大量不足的情形。</w:t>
      </w:r>
    </w:p>
    <w:p w:rsidR="00173848" w:rsidRDefault="00FC3217" w:rsidP="00021BE0">
      <w:pPr>
        <w:spacing w:beforeLines="50" w:afterLines="50"/>
        <w:ind w:firstLineChars="180" w:firstLine="504"/>
        <w:rPr>
          <w:rFonts w:ascii="仿宋_GB2312" w:eastAsia="仿宋_GB2312" w:cs="仿宋_GB2312"/>
          <w:sz w:val="28"/>
          <w:szCs w:val="28"/>
        </w:rPr>
      </w:pPr>
      <w:r>
        <w:rPr>
          <w:rFonts w:ascii="仿宋_GB2312" w:eastAsia="仿宋_GB2312" w:cs="仿宋_GB2312" w:hint="eastAsia"/>
          <w:sz w:val="28"/>
          <w:szCs w:val="28"/>
        </w:rPr>
        <w:t>3、期货公司可建立保证金分级管理与收取办法。一方面，期货公司可根据投资者信用情况、业务权限和交易级别等收取不同程度保证金；另一方面，期货公司对于自身风险管理能力较强、信誉良好的客户，在充分了解客户，并由客户签署调整保证金申请表和承诺书的情况下，可执行特殊保证金标准，但不低于《风控办法》规定的保证金收取标准。</w:t>
      </w:r>
    </w:p>
    <w:p w:rsidR="00FC3217" w:rsidRDefault="00FC3217" w:rsidP="00FC3217">
      <w:pPr>
        <w:spacing w:before="156" w:after="156"/>
        <w:ind w:firstLineChars="200" w:firstLine="560"/>
        <w:rPr>
          <w:rFonts w:ascii="仿宋_GB2312" w:eastAsia="仿宋_GB2312" w:cs="仿宋_GB2312"/>
          <w:sz w:val="28"/>
          <w:szCs w:val="28"/>
        </w:rPr>
      </w:pPr>
      <w:r>
        <w:rPr>
          <w:rFonts w:ascii="仿宋_GB2312" w:eastAsia="仿宋_GB2312" w:cs="仿宋_GB2312" w:hint="eastAsia"/>
          <w:sz w:val="28"/>
          <w:szCs w:val="28"/>
        </w:rPr>
        <w:t>4、临近行权日（包括行权日），为了防范客户在交收日出现交收违约风险，期货公司可以提高客户当月合约开仓保证金和维持保证金的收取比例。</w:t>
      </w:r>
    </w:p>
    <w:p w:rsidR="00FC3217" w:rsidRDefault="00FC3217" w:rsidP="00FC3217">
      <w:pPr>
        <w:pStyle w:val="2"/>
        <w:ind w:firstLine="562"/>
        <w:rPr>
          <w:rFonts w:ascii="仿宋_GB2312" w:cs="仿宋_GB2312"/>
          <w:szCs w:val="28"/>
        </w:rPr>
      </w:pPr>
      <w:bookmarkStart w:id="275" w:name="_Toc12801"/>
      <w:bookmarkStart w:id="276" w:name="_Toc408665038"/>
      <w:bookmarkStart w:id="277" w:name="_Toc6256"/>
      <w:bookmarkStart w:id="278" w:name="_Toc3672"/>
      <w:bookmarkStart w:id="279" w:name="_Toc18852"/>
      <w:bookmarkStart w:id="280" w:name="_Toc23946988"/>
      <w:r>
        <w:rPr>
          <w:rFonts w:hint="eastAsia"/>
        </w:rPr>
        <w:t>二、备兑开仓客户保证金管理</w:t>
      </w:r>
      <w:bookmarkEnd w:id="275"/>
      <w:bookmarkEnd w:id="276"/>
      <w:bookmarkEnd w:id="277"/>
      <w:bookmarkEnd w:id="278"/>
      <w:bookmarkEnd w:id="279"/>
      <w:bookmarkEnd w:id="280"/>
    </w:p>
    <w:p w:rsidR="00FC3217" w:rsidRDefault="00FC3217" w:rsidP="00021BE0">
      <w:pPr>
        <w:spacing w:beforeLines="50" w:afterLines="50"/>
        <w:ind w:firstLineChars="180" w:firstLine="504"/>
        <w:rPr>
          <w:rFonts w:ascii="仿宋_GB2312" w:eastAsia="仿宋_GB2312" w:cs="仿宋_GB2312"/>
          <w:sz w:val="28"/>
          <w:szCs w:val="28"/>
        </w:rPr>
      </w:pPr>
      <w:r>
        <w:rPr>
          <w:rFonts w:ascii="仿宋_GB2312" w:eastAsia="仿宋_GB2312" w:cs="仿宋_GB2312" w:hint="eastAsia"/>
          <w:sz w:val="28"/>
          <w:szCs w:val="28"/>
        </w:rPr>
        <w:t>（一）对因除权除息引起客户备兑证券不足的监控</w:t>
      </w:r>
    </w:p>
    <w:p w:rsidR="00173848" w:rsidRDefault="00FC3217" w:rsidP="00021BE0">
      <w:pPr>
        <w:spacing w:beforeLines="50" w:afterLines="50"/>
        <w:ind w:firstLineChars="180" w:firstLine="504"/>
        <w:rPr>
          <w:rFonts w:ascii="仿宋_GB2312" w:eastAsia="仿宋_GB2312" w:cs="仿宋_GB2312"/>
          <w:sz w:val="28"/>
          <w:szCs w:val="28"/>
        </w:rPr>
      </w:pPr>
      <w:r>
        <w:rPr>
          <w:rFonts w:ascii="仿宋_GB2312" w:eastAsia="仿宋_GB2312" w:cs="仿宋_GB2312" w:hint="eastAsia"/>
          <w:sz w:val="28"/>
          <w:szCs w:val="28"/>
        </w:rPr>
        <w:t>1、事前通知</w:t>
      </w:r>
    </w:p>
    <w:p w:rsidR="00173848" w:rsidRDefault="00FC3217" w:rsidP="00021BE0">
      <w:pPr>
        <w:spacing w:beforeLines="50" w:afterLines="50"/>
        <w:ind w:firstLineChars="180" w:firstLine="504"/>
        <w:rPr>
          <w:rFonts w:ascii="仿宋_GB2312" w:eastAsia="仿宋_GB2312" w:cs="仿宋_GB2312"/>
          <w:sz w:val="28"/>
          <w:szCs w:val="28"/>
        </w:rPr>
      </w:pPr>
      <w:r>
        <w:rPr>
          <w:rFonts w:ascii="仿宋_GB2312" w:eastAsia="仿宋_GB2312" w:cs="仿宋_GB2312" w:hint="eastAsia"/>
          <w:sz w:val="28"/>
          <w:szCs w:val="28"/>
        </w:rPr>
        <w:t>除权除息日前一日，期货公司应提醒客户合约标的将进行除权除息，将按调整后合约单位重新锁定备兑备用证券。收盘后，针对备兑开仓客户，期货公司应再及时通知并提醒客户。</w:t>
      </w:r>
    </w:p>
    <w:p w:rsidR="00173848" w:rsidRDefault="00FC3217" w:rsidP="00021BE0">
      <w:pPr>
        <w:spacing w:beforeLines="50" w:afterLines="50"/>
        <w:ind w:firstLineChars="180" w:firstLine="504"/>
        <w:rPr>
          <w:rFonts w:ascii="仿宋_GB2312" w:eastAsia="仿宋_GB2312" w:cs="仿宋_GB2312"/>
          <w:sz w:val="28"/>
          <w:szCs w:val="28"/>
        </w:rPr>
      </w:pPr>
      <w:r>
        <w:rPr>
          <w:rFonts w:ascii="仿宋_GB2312" w:eastAsia="仿宋_GB2312" w:cs="仿宋_GB2312" w:hint="eastAsia"/>
          <w:sz w:val="28"/>
          <w:szCs w:val="28"/>
        </w:rPr>
        <w:t>对于没有涉及分红的权益变更，期货公司可以提早对客户进行通知提醒，包括合约单位和行权价格变更信息等。</w:t>
      </w:r>
    </w:p>
    <w:p w:rsidR="00173848" w:rsidRDefault="00FC3217" w:rsidP="00021BE0">
      <w:pPr>
        <w:spacing w:beforeLines="50" w:afterLines="50"/>
        <w:ind w:firstLineChars="180" w:firstLine="504"/>
        <w:rPr>
          <w:rFonts w:ascii="仿宋_GB2312" w:eastAsia="仿宋_GB2312" w:cs="仿宋_GB2312"/>
          <w:sz w:val="28"/>
          <w:szCs w:val="28"/>
        </w:rPr>
      </w:pPr>
      <w:r>
        <w:rPr>
          <w:rFonts w:ascii="仿宋_GB2312" w:eastAsia="仿宋_GB2312" w:cs="仿宋_GB2312" w:hint="eastAsia"/>
          <w:sz w:val="28"/>
          <w:szCs w:val="28"/>
        </w:rPr>
        <w:t>2、盘中监控</w:t>
      </w:r>
    </w:p>
    <w:p w:rsidR="00173848" w:rsidRDefault="00FC3217" w:rsidP="00021BE0">
      <w:pPr>
        <w:spacing w:beforeLines="50" w:afterLines="50"/>
        <w:ind w:firstLineChars="180" w:firstLine="504"/>
        <w:rPr>
          <w:rFonts w:ascii="仿宋_GB2312" w:eastAsia="仿宋_GB2312" w:cs="仿宋_GB2312"/>
          <w:sz w:val="28"/>
          <w:szCs w:val="28"/>
        </w:rPr>
      </w:pPr>
      <w:r>
        <w:rPr>
          <w:rFonts w:ascii="仿宋_GB2312" w:eastAsia="仿宋_GB2312" w:cs="仿宋_GB2312" w:hint="eastAsia"/>
          <w:sz w:val="28"/>
          <w:szCs w:val="28"/>
        </w:rPr>
        <w:lastRenderedPageBreak/>
        <w:t>除权除息日，期货公司应在规定时间（比如上午一次、下午一次等）对备兑开仓客户的备兑备用证券数量进行监控，监控指标为盘中客户备兑备用证券不足数量。期货公司可以与客户在期权经纪合同中约定，当客户盘中备兑备用证券不足时，期货公司可以冻结该客户证券账户中未锁定的合约标的；如客户证券账户中无合约标的，期货公司应及时通知客户补足并锁定合约标的为备兑备用证券或自行平仓。</w:t>
      </w:r>
    </w:p>
    <w:p w:rsidR="00173848" w:rsidRDefault="00FC3217" w:rsidP="00021BE0">
      <w:pPr>
        <w:spacing w:beforeLines="50" w:afterLines="50"/>
        <w:ind w:firstLineChars="180" w:firstLine="504"/>
        <w:rPr>
          <w:rFonts w:ascii="仿宋_GB2312" w:eastAsia="仿宋_GB2312" w:cs="仿宋_GB2312"/>
          <w:sz w:val="28"/>
          <w:szCs w:val="28"/>
        </w:rPr>
      </w:pPr>
      <w:r>
        <w:rPr>
          <w:rFonts w:ascii="仿宋_GB2312" w:eastAsia="仿宋_GB2312" w:cs="仿宋_GB2312" w:hint="eastAsia"/>
          <w:sz w:val="28"/>
          <w:szCs w:val="28"/>
        </w:rPr>
        <w:t>盘中客户备兑备用证券不足数量=开仓所需合约标的数量（按新合约单位）-已锁定的备兑备用证券数量-期货公司冻结的当日新增证券数量（买入等）。</w:t>
      </w:r>
    </w:p>
    <w:p w:rsidR="00173848" w:rsidRDefault="00FC3217" w:rsidP="00021BE0">
      <w:pPr>
        <w:spacing w:beforeLines="50" w:afterLines="50"/>
        <w:ind w:firstLineChars="180" w:firstLine="504"/>
        <w:rPr>
          <w:rFonts w:ascii="仿宋_GB2312" w:eastAsia="仿宋_GB2312" w:cs="仿宋_GB2312"/>
          <w:sz w:val="28"/>
          <w:szCs w:val="28"/>
        </w:rPr>
      </w:pPr>
      <w:r>
        <w:rPr>
          <w:rFonts w:ascii="仿宋_GB2312" w:eastAsia="仿宋_GB2312" w:cs="仿宋_GB2312" w:hint="eastAsia"/>
          <w:sz w:val="28"/>
          <w:szCs w:val="28"/>
        </w:rPr>
        <w:t>当盘中客户备兑备用证券存在不足数量时，不得进行备兑新开仓，不允许进行备兑解锁。可备兑解锁的数量不超过按（已锁定的备兑备用证券数量-按新合约单位计算的所有备兑持仓所需的备兑备用证券）计算的数量。</w:t>
      </w:r>
    </w:p>
    <w:p w:rsidR="00173848" w:rsidRDefault="00FC3217" w:rsidP="00021BE0">
      <w:pPr>
        <w:spacing w:beforeLines="50" w:afterLines="50"/>
        <w:ind w:firstLineChars="180" w:firstLine="504"/>
        <w:rPr>
          <w:rFonts w:ascii="仿宋_GB2312" w:eastAsia="仿宋_GB2312" w:cs="仿宋_GB2312"/>
          <w:sz w:val="28"/>
          <w:szCs w:val="28"/>
        </w:rPr>
      </w:pPr>
      <w:r>
        <w:rPr>
          <w:rFonts w:ascii="仿宋_GB2312" w:eastAsia="仿宋_GB2312" w:cs="仿宋_GB2312" w:hint="eastAsia"/>
          <w:sz w:val="28"/>
          <w:szCs w:val="28"/>
        </w:rPr>
        <w:t>3、盘后监控</w:t>
      </w:r>
    </w:p>
    <w:p w:rsidR="00173848" w:rsidRDefault="00FC3217" w:rsidP="00021BE0">
      <w:pPr>
        <w:spacing w:beforeLines="50" w:afterLines="50"/>
        <w:ind w:firstLineChars="180" w:firstLine="504"/>
        <w:rPr>
          <w:rFonts w:ascii="仿宋_GB2312" w:eastAsia="仿宋_GB2312" w:cs="仿宋_GB2312"/>
          <w:sz w:val="28"/>
          <w:szCs w:val="28"/>
        </w:rPr>
      </w:pPr>
      <w:r>
        <w:rPr>
          <w:rFonts w:ascii="仿宋_GB2312" w:eastAsia="仿宋_GB2312" w:cs="仿宋_GB2312" w:hint="eastAsia"/>
          <w:sz w:val="28"/>
          <w:szCs w:val="28"/>
        </w:rPr>
        <w:t>除权除息日，期货公司应对客户备兑证券进行监控。收盘后，期货公司依据中国结算发送的“强行平仓通知书”，应及时向客户发送强平通知，并通知客户在下一交易日规定时间点（比如10:00）以前补足备兑备用证券或对不足部分</w:t>
      </w:r>
      <w:r>
        <w:rPr>
          <w:rFonts w:ascii="仿宋_GB2312" w:eastAsia="仿宋_GB2312" w:cs="仿宋_GB2312" w:hint="eastAsia"/>
          <w:kern w:val="0"/>
          <w:sz w:val="28"/>
          <w:szCs w:val="28"/>
          <w:lang w:val="zh-CN"/>
        </w:rPr>
        <w:t>数量</w:t>
      </w:r>
      <w:r>
        <w:rPr>
          <w:rFonts w:ascii="仿宋_GB2312" w:eastAsia="仿宋_GB2312" w:cs="仿宋_GB2312" w:hint="eastAsia"/>
          <w:sz w:val="28"/>
          <w:szCs w:val="28"/>
        </w:rPr>
        <w:t>自行平仓。下一交易日，若客户未在规定时间补足备兑备用证券或自行平仓，期货公司应在规定时间（比如10:00）开始对客户实施强行平仓，并确保在11:30之前不存在备兑证券不足情况。</w:t>
      </w:r>
    </w:p>
    <w:p w:rsidR="00173848" w:rsidRDefault="00FC3217" w:rsidP="00021BE0">
      <w:pPr>
        <w:spacing w:beforeLines="50" w:afterLines="50"/>
        <w:ind w:firstLineChars="180" w:firstLine="504"/>
        <w:rPr>
          <w:rFonts w:ascii="仿宋_GB2312" w:eastAsia="仿宋_GB2312" w:cs="仿宋_GB2312"/>
          <w:sz w:val="28"/>
          <w:szCs w:val="28"/>
        </w:rPr>
      </w:pPr>
      <w:r>
        <w:rPr>
          <w:rFonts w:ascii="仿宋_GB2312" w:eastAsia="仿宋_GB2312" w:cs="仿宋_GB2312" w:hint="eastAsia"/>
          <w:sz w:val="28"/>
          <w:szCs w:val="28"/>
        </w:rPr>
        <w:lastRenderedPageBreak/>
        <w:t>（二）其他情况引起客户备兑证券不足的监控</w:t>
      </w:r>
    </w:p>
    <w:p w:rsidR="00173848" w:rsidRDefault="00FC3217" w:rsidP="00021BE0">
      <w:pPr>
        <w:spacing w:beforeLines="50" w:afterLines="50"/>
        <w:ind w:firstLineChars="180" w:firstLine="504"/>
        <w:rPr>
          <w:rFonts w:ascii="仿宋_GB2312" w:eastAsia="仿宋_GB2312" w:cs="仿宋_GB2312"/>
          <w:sz w:val="28"/>
          <w:szCs w:val="28"/>
        </w:rPr>
      </w:pPr>
      <w:r>
        <w:rPr>
          <w:rFonts w:ascii="仿宋_GB2312" w:eastAsia="仿宋_GB2312" w:cs="仿宋_GB2312" w:hint="eastAsia"/>
          <w:sz w:val="28"/>
          <w:szCs w:val="28"/>
        </w:rPr>
        <w:t>交收日日终，期货公司应监控是否因行权交收等导致备兑证券不足而收到中国结算的“强行平仓通知书”。</w:t>
      </w:r>
    </w:p>
    <w:p w:rsidR="00173848" w:rsidRDefault="00FC3217" w:rsidP="00021BE0">
      <w:pPr>
        <w:spacing w:beforeLines="50" w:afterLines="50"/>
        <w:ind w:firstLineChars="180" w:firstLine="504"/>
        <w:rPr>
          <w:rFonts w:ascii="仿宋_GB2312" w:eastAsia="仿宋_GB2312" w:cs="仿宋_GB2312"/>
          <w:sz w:val="28"/>
          <w:szCs w:val="28"/>
        </w:rPr>
      </w:pPr>
      <w:r>
        <w:rPr>
          <w:rFonts w:ascii="仿宋_GB2312" w:eastAsia="仿宋_GB2312" w:cs="仿宋_GB2312" w:hint="eastAsia"/>
          <w:sz w:val="28"/>
          <w:szCs w:val="28"/>
        </w:rPr>
        <w:t>交收日日终，客户应付券不足时，中国结算将使用备兑证券用于交收，从而导致该客户备兑证券不足。在收到中国结算的“强行平仓通知书”后，应及时通知并提醒客户在下一交易日规定时间点（比如10:00）以前补足备兑备用证券或对不足部分</w:t>
      </w:r>
      <w:r>
        <w:rPr>
          <w:rFonts w:ascii="仿宋_GB2312" w:eastAsia="仿宋_GB2312" w:cs="仿宋_GB2312" w:hint="eastAsia"/>
          <w:kern w:val="0"/>
          <w:sz w:val="28"/>
          <w:szCs w:val="28"/>
          <w:lang w:val="zh-CN"/>
        </w:rPr>
        <w:t>数量</w:t>
      </w:r>
      <w:r>
        <w:rPr>
          <w:rFonts w:ascii="仿宋_GB2312" w:eastAsia="仿宋_GB2312" w:cs="仿宋_GB2312" w:hint="eastAsia"/>
          <w:sz w:val="28"/>
          <w:szCs w:val="28"/>
        </w:rPr>
        <w:t>自行平仓。下一交易日，若客户未在规定时间补足备兑备用证券或自行平仓，期货公司应在规定时间（比如10:00）开始对客户实施强行平仓，并确保在11:30之前不存在备兑证券不足情况。</w:t>
      </w:r>
    </w:p>
    <w:p w:rsidR="00173848" w:rsidRDefault="00FC3217" w:rsidP="00021BE0">
      <w:pPr>
        <w:spacing w:beforeLines="50" w:afterLines="50"/>
        <w:ind w:firstLineChars="180" w:firstLine="504"/>
        <w:rPr>
          <w:rFonts w:ascii="仿宋_GB2312" w:eastAsia="仿宋_GB2312" w:cs="仿宋_GB2312"/>
          <w:sz w:val="28"/>
          <w:szCs w:val="28"/>
        </w:rPr>
      </w:pPr>
      <w:r>
        <w:rPr>
          <w:rFonts w:ascii="仿宋_GB2312" w:eastAsia="仿宋_GB2312" w:cs="仿宋_GB2312" w:hint="eastAsia"/>
          <w:sz w:val="28"/>
          <w:szCs w:val="28"/>
        </w:rPr>
        <w:t>（三）盘中代为锁定</w:t>
      </w:r>
    </w:p>
    <w:p w:rsidR="00173848" w:rsidRDefault="00FC3217" w:rsidP="00021BE0">
      <w:pPr>
        <w:spacing w:beforeLines="50" w:afterLines="50"/>
        <w:ind w:firstLineChars="200" w:firstLine="560"/>
        <w:rPr>
          <w:rFonts w:ascii="仿宋_GB2312" w:eastAsia="仿宋_GB2312" w:cs="仿宋_GB2312"/>
          <w:b/>
          <w:sz w:val="28"/>
          <w:szCs w:val="28"/>
        </w:rPr>
      </w:pPr>
      <w:r>
        <w:rPr>
          <w:rFonts w:ascii="仿宋_GB2312" w:eastAsia="仿宋_GB2312" w:cs="仿宋_GB2312" w:hint="eastAsia"/>
          <w:sz w:val="28"/>
          <w:szCs w:val="28"/>
        </w:rPr>
        <w:t>期货公司可以与客户在期权经纪合同中约定，客户备兑证券不足时，期货公司可盘中冻结或锁定其证券账户里的相应数量的合约标的，避免客户发生备兑不足而导致被强平的风险。</w:t>
      </w:r>
    </w:p>
    <w:p w:rsidR="00FC3217" w:rsidRDefault="00FC3217" w:rsidP="00FC3217">
      <w:pPr>
        <w:widowControl/>
        <w:jc w:val="left"/>
        <w:rPr>
          <w:rFonts w:ascii="仿宋_GB2312" w:eastAsia="仿宋_GB2312" w:hAnsi="Times New Roman"/>
          <w:b/>
          <w:bCs/>
          <w:sz w:val="28"/>
          <w:szCs w:val="28"/>
        </w:rPr>
      </w:pPr>
      <w:r>
        <w:rPr>
          <w:rFonts w:ascii="仿宋_GB2312" w:eastAsia="仿宋_GB2312" w:hint="eastAsia"/>
          <w:b/>
          <w:sz w:val="28"/>
          <w:szCs w:val="28"/>
        </w:rPr>
        <w:br w:type="page"/>
      </w:r>
    </w:p>
    <w:p w:rsidR="00FC3217" w:rsidRDefault="00FC3217" w:rsidP="00021BE0">
      <w:pPr>
        <w:pStyle w:val="2"/>
        <w:spacing w:beforeLines="50" w:afterLines="50"/>
        <w:ind w:firstLine="643"/>
        <w:jc w:val="center"/>
        <w:rPr>
          <w:rFonts w:ascii="黑体" w:eastAsia="黑体" w:hAnsi="黑体"/>
          <w:sz w:val="32"/>
        </w:rPr>
      </w:pPr>
      <w:bookmarkStart w:id="281" w:name="_Toc6901"/>
      <w:bookmarkStart w:id="282" w:name="_Toc408746740"/>
      <w:bookmarkStart w:id="283" w:name="_Toc1881"/>
      <w:bookmarkStart w:id="284" w:name="_Toc3971"/>
      <w:bookmarkStart w:id="285" w:name="_Toc12307"/>
      <w:bookmarkStart w:id="286" w:name="_Toc23946989"/>
      <w:r>
        <w:rPr>
          <w:rFonts w:ascii="黑体" w:eastAsia="黑体" w:hAnsi="黑体" w:hint="eastAsia"/>
          <w:sz w:val="32"/>
        </w:rPr>
        <w:lastRenderedPageBreak/>
        <w:t>第七章 资金风险管理</w:t>
      </w:r>
      <w:bookmarkEnd w:id="281"/>
      <w:bookmarkEnd w:id="282"/>
      <w:bookmarkEnd w:id="283"/>
      <w:bookmarkEnd w:id="284"/>
      <w:bookmarkEnd w:id="285"/>
      <w:bookmarkEnd w:id="286"/>
    </w:p>
    <w:p w:rsidR="00173848" w:rsidRDefault="00FC3217" w:rsidP="00021BE0">
      <w:pPr>
        <w:spacing w:beforeLines="50" w:afterLines="50" w:line="360" w:lineRule="auto"/>
        <w:ind w:firstLineChars="200" w:firstLine="560"/>
        <w:rPr>
          <w:rFonts w:ascii="仿宋_GB2312" w:eastAsia="仿宋_GB2312" w:hAnsi="Times New Roman"/>
          <w:sz w:val="28"/>
          <w:szCs w:val="28"/>
        </w:rPr>
      </w:pPr>
      <w:r>
        <w:rPr>
          <w:rFonts w:ascii="仿宋_GB2312" w:eastAsia="仿宋_GB2312" w:hAnsi="Times New Roman" w:hint="eastAsia"/>
          <w:sz w:val="28"/>
          <w:szCs w:val="28"/>
        </w:rPr>
        <w:t>为防止期货公司期权业务客户资金管理出现流动性风险，期货公司应对客户衍生品结算资金汇总账户和客户股票期权保证金账户的资金划拨进行盯市管理，并应在客户股票期权保证金账户中存入足额的结算准备金。</w:t>
      </w:r>
    </w:p>
    <w:p w:rsidR="00173848" w:rsidRDefault="00FC3217" w:rsidP="00021BE0">
      <w:pPr>
        <w:spacing w:beforeLines="50" w:afterLines="50" w:line="360" w:lineRule="auto"/>
        <w:ind w:firstLineChars="200" w:firstLine="560"/>
        <w:rPr>
          <w:rFonts w:ascii="仿宋_GB2312" w:eastAsia="仿宋_GB2312" w:hAnsi="Times New Roman"/>
          <w:sz w:val="28"/>
          <w:szCs w:val="28"/>
        </w:rPr>
      </w:pPr>
      <w:r>
        <w:rPr>
          <w:rFonts w:ascii="仿宋_GB2312" w:eastAsia="仿宋_GB2312" w:hAnsi="Times New Roman" w:hint="eastAsia"/>
          <w:sz w:val="28"/>
          <w:szCs w:val="28"/>
        </w:rPr>
        <w:t>目前，中国结算暂不提供实时出金服务（未来提供服务时间待定）。</w:t>
      </w:r>
    </w:p>
    <w:p w:rsidR="00FC3217" w:rsidRDefault="00FC3217" w:rsidP="00FC3217">
      <w:pPr>
        <w:pStyle w:val="2"/>
        <w:ind w:firstLine="562"/>
      </w:pPr>
      <w:bookmarkStart w:id="287" w:name="_Toc408746741"/>
      <w:bookmarkStart w:id="288" w:name="_Toc10360"/>
      <w:bookmarkStart w:id="289" w:name="_Toc6524"/>
      <w:bookmarkStart w:id="290" w:name="_Toc21883"/>
      <w:bookmarkStart w:id="291" w:name="_Toc13294"/>
      <w:bookmarkStart w:id="292" w:name="_Toc23946990"/>
      <w:r>
        <w:rPr>
          <w:rFonts w:hint="eastAsia"/>
        </w:rPr>
        <w:t>一、资金盯市管理</w:t>
      </w:r>
      <w:bookmarkEnd w:id="287"/>
      <w:bookmarkEnd w:id="288"/>
      <w:bookmarkEnd w:id="289"/>
      <w:bookmarkEnd w:id="290"/>
      <w:bookmarkEnd w:id="291"/>
      <w:bookmarkEnd w:id="292"/>
    </w:p>
    <w:p w:rsidR="00FC3217" w:rsidRDefault="00FC3217" w:rsidP="00FC3217">
      <w:pPr>
        <w:ind w:firstLineChars="200" w:firstLine="562"/>
        <w:rPr>
          <w:rFonts w:ascii="仿宋_GB2312" w:eastAsia="仿宋_GB2312" w:hAnsi="Times New Roman"/>
          <w:b/>
          <w:bCs/>
          <w:sz w:val="28"/>
          <w:szCs w:val="28"/>
        </w:rPr>
      </w:pPr>
      <w:r>
        <w:rPr>
          <w:rFonts w:ascii="仿宋_GB2312" w:eastAsia="仿宋_GB2312" w:hAnsi="Times New Roman" w:hint="eastAsia"/>
          <w:b/>
          <w:bCs/>
          <w:sz w:val="28"/>
          <w:szCs w:val="28"/>
        </w:rPr>
        <w:t>（一）资金盯市管理要求</w:t>
      </w:r>
    </w:p>
    <w:p w:rsidR="00FC3217" w:rsidRDefault="00FC3217" w:rsidP="00021BE0">
      <w:pPr>
        <w:spacing w:beforeLines="50" w:afterLines="50" w:line="360" w:lineRule="auto"/>
        <w:ind w:firstLineChars="200" w:firstLine="560"/>
        <w:rPr>
          <w:rFonts w:ascii="仿宋_GB2312" w:eastAsia="仿宋_GB2312" w:hAnsi="Times New Roman"/>
          <w:sz w:val="28"/>
          <w:szCs w:val="28"/>
        </w:rPr>
      </w:pPr>
      <w:r>
        <w:rPr>
          <w:rFonts w:ascii="仿宋_GB2312" w:eastAsia="仿宋_GB2312" w:hAnsi="Times New Roman" w:hint="eastAsia"/>
          <w:sz w:val="28"/>
          <w:szCs w:val="28"/>
        </w:rPr>
        <w:t>以保证客户的正常交易及公司的正常交收为首要目标、兼顾客户银衍转账的出金需求，期货公司应合理判断客户衍生品结算资金汇总账户与客户股票期权保证金账户之间的资金配置比例。</w:t>
      </w:r>
    </w:p>
    <w:p w:rsidR="00173848" w:rsidRDefault="00FC3217" w:rsidP="00021BE0">
      <w:pPr>
        <w:spacing w:beforeLines="50" w:afterLines="50" w:line="360" w:lineRule="auto"/>
        <w:ind w:firstLineChars="200" w:firstLine="560"/>
        <w:rPr>
          <w:rFonts w:ascii="仿宋_GB2312" w:eastAsia="仿宋_GB2312" w:hAnsi="Times New Roman"/>
          <w:sz w:val="28"/>
          <w:szCs w:val="28"/>
        </w:rPr>
      </w:pPr>
      <w:r>
        <w:rPr>
          <w:rFonts w:ascii="仿宋_GB2312" w:eastAsia="仿宋_GB2312" w:hAnsi="Times New Roman" w:hint="eastAsia"/>
          <w:sz w:val="28"/>
          <w:szCs w:val="28"/>
        </w:rPr>
        <w:t>期货公司应及时掌握公司银行存款余额变化情况，做好银衍转账客户出入金的实时监控。</w:t>
      </w:r>
    </w:p>
    <w:p w:rsidR="00173848" w:rsidRDefault="00FC3217" w:rsidP="00021BE0">
      <w:pPr>
        <w:spacing w:beforeLines="50" w:afterLines="50" w:line="360" w:lineRule="auto"/>
        <w:ind w:firstLineChars="200" w:firstLine="560"/>
        <w:rPr>
          <w:rFonts w:ascii="仿宋_GB2312" w:eastAsia="仿宋_GB2312" w:hAnsi="Times New Roman"/>
          <w:sz w:val="28"/>
          <w:szCs w:val="28"/>
        </w:rPr>
      </w:pPr>
      <w:r>
        <w:rPr>
          <w:rFonts w:ascii="仿宋_GB2312" w:eastAsia="仿宋_GB2312" w:hAnsi="Times New Roman" w:hint="eastAsia"/>
          <w:sz w:val="28"/>
          <w:szCs w:val="28"/>
        </w:rPr>
        <w:t>期货公司应根据期权合约各义务方客户持仓情况和客户入金情况等，及时调度资金头寸，满足客户盘中正常开仓、公司盘后正常交收的要求。</w:t>
      </w:r>
    </w:p>
    <w:p w:rsidR="00173848" w:rsidRDefault="00FC3217" w:rsidP="00021BE0">
      <w:pPr>
        <w:spacing w:beforeLines="50" w:afterLines="50" w:line="360" w:lineRule="auto"/>
        <w:ind w:firstLineChars="200" w:firstLine="562"/>
        <w:rPr>
          <w:rFonts w:ascii="仿宋_GB2312" w:eastAsia="仿宋_GB2312" w:hAnsi="Times New Roman"/>
          <w:b/>
          <w:bCs/>
          <w:sz w:val="28"/>
          <w:szCs w:val="28"/>
        </w:rPr>
      </w:pPr>
      <w:r>
        <w:rPr>
          <w:rFonts w:ascii="仿宋_GB2312" w:eastAsia="仿宋_GB2312" w:hAnsi="Times New Roman" w:hint="eastAsia"/>
          <w:b/>
          <w:bCs/>
          <w:sz w:val="28"/>
          <w:szCs w:val="28"/>
        </w:rPr>
        <w:t>（二）盘中保证金占用比例实时监控</w:t>
      </w:r>
    </w:p>
    <w:p w:rsidR="00173848" w:rsidRDefault="00FC3217" w:rsidP="00021BE0">
      <w:pPr>
        <w:spacing w:beforeLines="50" w:afterLines="50" w:line="360" w:lineRule="auto"/>
        <w:ind w:firstLineChars="200" w:firstLine="560"/>
        <w:rPr>
          <w:rFonts w:ascii="仿宋_GB2312" w:eastAsia="仿宋_GB2312" w:hAnsi="Times New Roman"/>
          <w:sz w:val="28"/>
          <w:szCs w:val="28"/>
        </w:rPr>
      </w:pPr>
      <w:r>
        <w:rPr>
          <w:rFonts w:ascii="仿宋_GB2312" w:eastAsia="仿宋_GB2312" w:hAnsi="Times New Roman" w:hint="eastAsia"/>
          <w:sz w:val="28"/>
          <w:szCs w:val="28"/>
        </w:rPr>
        <w:t>1、监控指标</w:t>
      </w:r>
    </w:p>
    <w:p w:rsidR="00173848" w:rsidRDefault="00FC3217" w:rsidP="00021BE0">
      <w:pPr>
        <w:spacing w:beforeLines="50" w:afterLines="50" w:line="360" w:lineRule="auto"/>
        <w:ind w:firstLineChars="200" w:firstLine="560"/>
        <w:rPr>
          <w:rFonts w:ascii="仿宋_GB2312" w:eastAsia="仿宋_GB2312" w:hAnsi="Times New Roman"/>
          <w:sz w:val="28"/>
          <w:szCs w:val="28"/>
        </w:rPr>
      </w:pPr>
      <w:r>
        <w:rPr>
          <w:rFonts w:ascii="仿宋_GB2312" w:eastAsia="仿宋_GB2312" w:hAnsi="Times New Roman" w:hint="eastAsia"/>
          <w:sz w:val="28"/>
          <w:szCs w:val="28"/>
        </w:rPr>
        <w:t>期货公司应在盘中对保证金占用比例进行实时监控。</w:t>
      </w:r>
    </w:p>
    <w:p w:rsidR="00173848" w:rsidRDefault="00FC3217" w:rsidP="00021BE0">
      <w:pPr>
        <w:spacing w:beforeLines="50" w:afterLines="50" w:line="360" w:lineRule="auto"/>
        <w:ind w:firstLineChars="200" w:firstLine="560"/>
        <w:rPr>
          <w:rFonts w:ascii="仿宋_GB2312" w:eastAsia="仿宋_GB2312" w:hAnsi="Times New Roman"/>
          <w:sz w:val="28"/>
          <w:szCs w:val="28"/>
        </w:rPr>
      </w:pPr>
      <w:r>
        <w:rPr>
          <w:rFonts w:ascii="仿宋_GB2312" w:eastAsia="仿宋_GB2312" w:hAnsi="Times New Roman" w:hint="eastAsia"/>
          <w:sz w:val="28"/>
          <w:szCs w:val="28"/>
        </w:rPr>
        <w:lastRenderedPageBreak/>
        <w:t>保证金占用比例=经纪业务已占用保证金/客户股票期权保证金账户总额</w:t>
      </w:r>
    </w:p>
    <w:p w:rsidR="00173848" w:rsidRDefault="00FC3217" w:rsidP="00021BE0">
      <w:pPr>
        <w:spacing w:beforeLines="50" w:afterLines="50" w:line="360" w:lineRule="auto"/>
        <w:ind w:firstLineChars="200" w:firstLine="560"/>
        <w:rPr>
          <w:rFonts w:ascii="仿宋_GB2312" w:eastAsia="仿宋_GB2312" w:hAnsi="Times New Roman"/>
          <w:sz w:val="28"/>
          <w:szCs w:val="28"/>
        </w:rPr>
      </w:pPr>
      <w:r>
        <w:rPr>
          <w:rFonts w:ascii="仿宋_GB2312" w:eastAsia="仿宋_GB2312" w:hAnsi="Times New Roman" w:hint="eastAsia"/>
          <w:sz w:val="28"/>
          <w:szCs w:val="28"/>
        </w:rPr>
        <w:t>经纪业务已占用保证金：指根据《风控办法》规定的保证金标准，按照单个客户账户双向头寸未对冲</w:t>
      </w:r>
      <w:r>
        <w:rPr>
          <w:rFonts w:ascii="仿宋_GB2312" w:eastAsia="仿宋_GB2312" w:hint="eastAsia"/>
          <w:sz w:val="28"/>
          <w:szCs w:val="28"/>
        </w:rPr>
        <w:t>及组合策略持仓</w:t>
      </w:r>
      <w:r>
        <w:rPr>
          <w:rFonts w:ascii="仿宋_GB2312" w:eastAsia="仿宋_GB2312" w:hAnsi="Times New Roman" w:hint="eastAsia"/>
          <w:sz w:val="28"/>
          <w:szCs w:val="28"/>
        </w:rPr>
        <w:t>的数据，计算的所有客户占用的保证金总和，包括已成交的和已申报未成交的义务仓期权合约占用的保证金之和。</w:t>
      </w:r>
    </w:p>
    <w:p w:rsidR="00173848" w:rsidRDefault="00FC3217" w:rsidP="00021BE0">
      <w:pPr>
        <w:spacing w:beforeLines="50" w:afterLines="50" w:line="360" w:lineRule="auto"/>
        <w:ind w:firstLineChars="200" w:firstLine="560"/>
        <w:rPr>
          <w:rFonts w:ascii="仿宋_GB2312" w:eastAsia="仿宋_GB2312" w:hAnsi="Times New Roman"/>
          <w:sz w:val="28"/>
          <w:szCs w:val="28"/>
        </w:rPr>
      </w:pPr>
      <w:r>
        <w:rPr>
          <w:rFonts w:ascii="仿宋_GB2312" w:eastAsia="仿宋_GB2312" w:hAnsi="Times New Roman" w:hint="eastAsia"/>
          <w:sz w:val="28"/>
          <w:szCs w:val="28"/>
        </w:rPr>
        <w:t>客户股票期权保证金账户总额：是期货公司存放在中国结算的，实时地用于其所有客户股票期权保证金管理的账户总金额。</w:t>
      </w:r>
    </w:p>
    <w:p w:rsidR="00173848" w:rsidRDefault="00FC3217" w:rsidP="00021BE0">
      <w:pPr>
        <w:spacing w:beforeLines="50" w:afterLines="50" w:line="360" w:lineRule="auto"/>
        <w:ind w:firstLineChars="200" w:firstLine="560"/>
        <w:rPr>
          <w:rFonts w:ascii="仿宋_GB2312" w:eastAsia="仿宋_GB2312" w:hAnsi="Times New Roman"/>
          <w:sz w:val="28"/>
          <w:szCs w:val="28"/>
        </w:rPr>
      </w:pPr>
      <w:r>
        <w:rPr>
          <w:rFonts w:ascii="仿宋_GB2312" w:eastAsia="仿宋_GB2312" w:hAnsi="Times New Roman" w:hint="eastAsia"/>
          <w:sz w:val="28"/>
          <w:szCs w:val="28"/>
        </w:rPr>
        <w:t>客户衍生品结算资金汇总账户总额：是期货公司在具有衍生品结算资格的银行开立的，用于存放客户衍生品交易的资金。</w:t>
      </w:r>
    </w:p>
    <w:p w:rsidR="00173848" w:rsidRDefault="00FC3217" w:rsidP="00021BE0">
      <w:pPr>
        <w:spacing w:beforeLines="50" w:afterLines="50" w:line="360" w:lineRule="auto"/>
        <w:ind w:firstLineChars="200" w:firstLine="560"/>
        <w:rPr>
          <w:rFonts w:ascii="仿宋_GB2312" w:eastAsia="仿宋_GB2312" w:hAnsi="宋体" w:cs="宋体"/>
          <w:kern w:val="0"/>
          <w:sz w:val="28"/>
          <w:szCs w:val="28"/>
        </w:rPr>
      </w:pPr>
      <w:r>
        <w:rPr>
          <w:rFonts w:ascii="仿宋_GB2312" w:eastAsia="仿宋_GB2312" w:hAnsi="Times New Roman" w:hint="eastAsia"/>
          <w:sz w:val="28"/>
          <w:szCs w:val="28"/>
        </w:rPr>
        <w:t>期货公司资金管理的主要目的是根据经纪业务已占用保证金的动态变化，将客户衍生品结算资金汇总账户的部分金额划拨至中国结算指定的客户股票期权保证金账户，从而实现：一方面期货公司的所有客户的实际开仓规模的最大值与其存放的保证金总额一致；另一方面满足客户盘中出金需求，减少客户资金的盘中占用。</w:t>
      </w:r>
    </w:p>
    <w:p w:rsidR="00173848" w:rsidRDefault="00FC3217" w:rsidP="00021BE0">
      <w:pPr>
        <w:spacing w:beforeLines="50" w:afterLines="50" w:line="360" w:lineRule="auto"/>
        <w:ind w:firstLineChars="200" w:firstLine="560"/>
        <w:rPr>
          <w:rFonts w:ascii="仿宋_GB2312" w:eastAsia="仿宋_GB2312" w:hAnsi="Times New Roman"/>
          <w:sz w:val="28"/>
          <w:szCs w:val="28"/>
        </w:rPr>
      </w:pPr>
      <w:r>
        <w:rPr>
          <w:rFonts w:ascii="仿宋_GB2312" w:eastAsia="仿宋_GB2312" w:hAnsi="Times New Roman" w:hint="eastAsia"/>
          <w:sz w:val="28"/>
          <w:szCs w:val="28"/>
        </w:rPr>
        <w:t>2、资金警戒线和划拨线</w:t>
      </w:r>
    </w:p>
    <w:p w:rsidR="00173848" w:rsidRDefault="00FC3217" w:rsidP="00021BE0">
      <w:pPr>
        <w:spacing w:beforeLines="50" w:afterLines="50" w:line="360" w:lineRule="auto"/>
        <w:ind w:firstLineChars="200" w:firstLine="560"/>
        <w:rPr>
          <w:rFonts w:ascii="仿宋_GB2312" w:eastAsia="仿宋_GB2312" w:hAnsi="Times New Roman"/>
          <w:sz w:val="28"/>
          <w:szCs w:val="28"/>
        </w:rPr>
      </w:pPr>
      <w:r>
        <w:rPr>
          <w:rFonts w:ascii="仿宋_GB2312" w:eastAsia="仿宋_GB2312" w:hAnsi="Times New Roman" w:hint="eastAsia"/>
          <w:sz w:val="28"/>
          <w:szCs w:val="28"/>
        </w:rPr>
        <w:t>期货公司可依据保证金占用比例分别设置资金警戒线、资金划拨线。</w:t>
      </w:r>
    </w:p>
    <w:p w:rsidR="00173848" w:rsidRDefault="00FC3217" w:rsidP="00021BE0">
      <w:pPr>
        <w:spacing w:beforeLines="50" w:afterLines="50" w:line="360" w:lineRule="auto"/>
        <w:ind w:firstLineChars="200" w:firstLine="560"/>
        <w:rPr>
          <w:rFonts w:ascii="仿宋_GB2312" w:eastAsia="仿宋_GB2312" w:hAnsi="Times New Roman"/>
          <w:sz w:val="28"/>
          <w:szCs w:val="28"/>
        </w:rPr>
      </w:pPr>
      <w:r>
        <w:rPr>
          <w:rFonts w:ascii="仿宋_GB2312" w:eastAsia="仿宋_GB2312" w:hAnsi="Times New Roman" w:hint="eastAsia"/>
          <w:sz w:val="28"/>
          <w:szCs w:val="28"/>
        </w:rPr>
        <w:t>（1）资金划拨线：当保证金占用比例达到资金划拨线的一定比例（期货公司自定）时，比如当保证金占用比例为80%时，达到资金</w:t>
      </w:r>
      <w:r>
        <w:rPr>
          <w:rFonts w:ascii="仿宋_GB2312" w:eastAsia="仿宋_GB2312" w:hAnsi="Times New Roman" w:hint="eastAsia"/>
          <w:sz w:val="28"/>
          <w:szCs w:val="28"/>
        </w:rPr>
        <w:lastRenderedPageBreak/>
        <w:t>划拨线。</w:t>
      </w:r>
    </w:p>
    <w:p w:rsidR="00173848" w:rsidRDefault="00FC3217" w:rsidP="00021BE0">
      <w:pPr>
        <w:spacing w:beforeLines="50" w:afterLines="50" w:line="360" w:lineRule="auto"/>
        <w:ind w:firstLineChars="200" w:firstLine="560"/>
        <w:rPr>
          <w:rFonts w:ascii="仿宋_GB2312" w:eastAsia="仿宋_GB2312" w:hAnsi="Times New Roman"/>
          <w:sz w:val="28"/>
          <w:szCs w:val="28"/>
        </w:rPr>
      </w:pPr>
      <w:r>
        <w:rPr>
          <w:rFonts w:ascii="仿宋_GB2312" w:eastAsia="仿宋_GB2312" w:hAnsi="Times New Roman" w:hint="eastAsia"/>
          <w:sz w:val="28"/>
          <w:szCs w:val="28"/>
        </w:rPr>
        <w:t>当盘中期货公司经纪业务保证金占用比例高于资金划拨线时，期货公司相关业务人员应及时向存管结算相关部门提出入金需求，将资金从客户衍生品结算资金汇总账户划转至客户股票期权保证金账户，注明“客户资金”和“股票期权保证金账户号”，跟踪资金到账情况。</w:t>
      </w:r>
    </w:p>
    <w:p w:rsidR="00173848" w:rsidRDefault="00FC3217" w:rsidP="00021BE0">
      <w:pPr>
        <w:spacing w:beforeLines="50" w:afterLines="50" w:line="360" w:lineRule="auto"/>
        <w:ind w:firstLineChars="200" w:firstLine="560"/>
        <w:rPr>
          <w:rFonts w:ascii="仿宋_GB2312" w:eastAsia="仿宋_GB2312" w:hAnsi="Times New Roman"/>
          <w:sz w:val="28"/>
          <w:szCs w:val="28"/>
        </w:rPr>
      </w:pPr>
      <w:r>
        <w:rPr>
          <w:rFonts w:ascii="仿宋_GB2312" w:eastAsia="仿宋_GB2312" w:hAnsi="Times New Roman" w:hint="eastAsia"/>
          <w:sz w:val="28"/>
          <w:szCs w:val="28"/>
        </w:rPr>
        <w:t>（2）资金警戒线：当保证金占用比例低于资金划拨线时，比如当保证金占用比例为60%时，达到资金警戒线。</w:t>
      </w:r>
    </w:p>
    <w:p w:rsidR="00173848" w:rsidRDefault="00FC3217" w:rsidP="00021BE0">
      <w:pPr>
        <w:spacing w:beforeLines="50" w:afterLines="50" w:line="360" w:lineRule="auto"/>
        <w:ind w:firstLineChars="200" w:firstLine="560"/>
        <w:rPr>
          <w:rFonts w:ascii="仿宋_GB2312" w:eastAsia="仿宋_GB2312" w:hAnsi="Times New Roman"/>
          <w:sz w:val="28"/>
          <w:szCs w:val="28"/>
        </w:rPr>
      </w:pPr>
      <w:r>
        <w:rPr>
          <w:rFonts w:ascii="仿宋_GB2312" w:eastAsia="仿宋_GB2312" w:hAnsi="Times New Roman" w:hint="eastAsia"/>
          <w:sz w:val="28"/>
          <w:szCs w:val="28"/>
        </w:rPr>
        <w:t>当盘中期货公司经纪业务保证金占用比例高于资金警戒线时，期货公司相关业务人员应及时向资金调拨人员预约划款，资金调拨人员随时做好调拨资金的准备。</w:t>
      </w:r>
    </w:p>
    <w:p w:rsidR="00173848" w:rsidRDefault="00FC3217" w:rsidP="00021BE0">
      <w:pPr>
        <w:spacing w:beforeLines="50" w:afterLines="50" w:line="360" w:lineRule="auto"/>
        <w:ind w:firstLineChars="200" w:firstLine="560"/>
        <w:rPr>
          <w:rFonts w:ascii="仿宋_GB2312" w:eastAsia="仿宋_GB2312" w:hAnsi="Times New Roman"/>
          <w:sz w:val="28"/>
          <w:szCs w:val="28"/>
        </w:rPr>
      </w:pPr>
      <w:r>
        <w:rPr>
          <w:rFonts w:ascii="仿宋_GB2312" w:eastAsia="仿宋_GB2312" w:hAnsi="Times New Roman" w:hint="eastAsia"/>
          <w:sz w:val="28"/>
          <w:szCs w:val="28"/>
        </w:rPr>
        <w:t>3、期货公司应根据公司期权业务规模、历史盘后交收金额与峰值、当天期权交易规模、客户活跃度、经纪业务占用保证金增速、客户入金情况等，设定每日资金警戒线、资金划拨线，并视情况每日进行动态调整。</w:t>
      </w:r>
    </w:p>
    <w:p w:rsidR="00173848" w:rsidRDefault="00FC3217" w:rsidP="00021BE0">
      <w:pPr>
        <w:spacing w:beforeLines="50" w:afterLines="50" w:line="360" w:lineRule="auto"/>
        <w:ind w:firstLineChars="200" w:firstLine="562"/>
        <w:rPr>
          <w:rFonts w:ascii="仿宋_GB2312" w:eastAsia="仿宋_GB2312" w:hAnsi="Times New Roman"/>
          <w:sz w:val="28"/>
          <w:szCs w:val="28"/>
        </w:rPr>
      </w:pPr>
      <w:r>
        <w:rPr>
          <w:rFonts w:ascii="仿宋_GB2312" w:eastAsia="仿宋_GB2312" w:hAnsi="Times New Roman" w:hint="eastAsia"/>
          <w:b/>
          <w:bCs/>
          <w:sz w:val="28"/>
          <w:szCs w:val="28"/>
        </w:rPr>
        <w:t>（三）盘后资金维持比例逐日盯市</w:t>
      </w:r>
    </w:p>
    <w:p w:rsidR="00173848" w:rsidRDefault="00FC3217" w:rsidP="00021BE0">
      <w:pPr>
        <w:spacing w:beforeLines="50" w:afterLines="50" w:line="360" w:lineRule="auto"/>
        <w:ind w:firstLineChars="200" w:firstLine="560"/>
        <w:rPr>
          <w:rFonts w:ascii="仿宋_GB2312" w:eastAsia="仿宋_GB2312" w:hAnsi="Times New Roman"/>
          <w:sz w:val="28"/>
          <w:szCs w:val="28"/>
        </w:rPr>
      </w:pPr>
      <w:r>
        <w:rPr>
          <w:rFonts w:ascii="仿宋_GB2312" w:eastAsia="仿宋_GB2312" w:hAnsi="Times New Roman" w:hint="eastAsia"/>
          <w:sz w:val="28"/>
          <w:szCs w:val="28"/>
        </w:rPr>
        <w:t>收盘后，期货公司应对盘后资金维持比例进行盯市管理。</w:t>
      </w:r>
    </w:p>
    <w:p w:rsidR="00173848" w:rsidRDefault="00FC3217" w:rsidP="00021BE0">
      <w:pPr>
        <w:spacing w:beforeLines="50" w:afterLines="50" w:line="360" w:lineRule="auto"/>
        <w:ind w:firstLineChars="200" w:firstLine="560"/>
        <w:rPr>
          <w:rFonts w:ascii="仿宋_GB2312" w:eastAsia="仿宋_GB2312" w:hAnsi="Times New Roman"/>
          <w:sz w:val="28"/>
          <w:szCs w:val="28"/>
        </w:rPr>
      </w:pPr>
      <w:r>
        <w:rPr>
          <w:rFonts w:ascii="仿宋_GB2312" w:eastAsia="仿宋_GB2312" w:hAnsi="Times New Roman" w:hint="eastAsia"/>
          <w:sz w:val="28"/>
          <w:szCs w:val="28"/>
        </w:rPr>
        <w:t>盘后资金维持比例=（经纪业务维持保证金+行权净应付资金）/客户股票期权保证金账户余额</w:t>
      </w:r>
    </w:p>
    <w:p w:rsidR="00173848" w:rsidRDefault="00FC3217" w:rsidP="00021BE0">
      <w:pPr>
        <w:spacing w:beforeLines="50" w:afterLines="50" w:line="360" w:lineRule="auto"/>
        <w:ind w:firstLineChars="200" w:firstLine="560"/>
        <w:rPr>
          <w:rFonts w:ascii="仿宋_GB2312" w:eastAsia="仿宋_GB2312" w:hAnsi="Times New Roman"/>
          <w:sz w:val="28"/>
          <w:szCs w:val="28"/>
        </w:rPr>
      </w:pPr>
      <w:r>
        <w:rPr>
          <w:rFonts w:ascii="仿宋_GB2312" w:eastAsia="仿宋_GB2312" w:hAnsi="Times New Roman" w:hint="eastAsia"/>
          <w:sz w:val="28"/>
          <w:szCs w:val="28"/>
        </w:rPr>
        <w:t>经纪业务维持保证金：根据《风控办法》规定的保证金标准，按照单个客户双向持仓自动对冲后</w:t>
      </w:r>
      <w:r>
        <w:rPr>
          <w:rFonts w:ascii="仿宋_GB2312" w:eastAsia="仿宋_GB2312" w:hint="eastAsia"/>
          <w:sz w:val="28"/>
          <w:szCs w:val="28"/>
        </w:rPr>
        <w:t>及组合策略持仓</w:t>
      </w:r>
      <w:r>
        <w:rPr>
          <w:rFonts w:ascii="仿宋_GB2312" w:eastAsia="仿宋_GB2312" w:hAnsi="Times New Roman" w:hint="eastAsia"/>
          <w:sz w:val="28"/>
          <w:szCs w:val="28"/>
        </w:rPr>
        <w:t>计算的，所有账户的</w:t>
      </w:r>
      <w:r>
        <w:rPr>
          <w:rFonts w:ascii="仿宋_GB2312" w:eastAsia="仿宋_GB2312" w:hAnsi="Times New Roman" w:hint="eastAsia"/>
          <w:sz w:val="28"/>
          <w:szCs w:val="28"/>
        </w:rPr>
        <w:lastRenderedPageBreak/>
        <w:t>维持保证金总额。</w:t>
      </w:r>
    </w:p>
    <w:p w:rsidR="00173848" w:rsidRDefault="00FC3217" w:rsidP="00021BE0">
      <w:pPr>
        <w:spacing w:beforeLines="50" w:afterLines="50" w:line="360" w:lineRule="auto"/>
        <w:ind w:firstLineChars="200" w:firstLine="560"/>
        <w:rPr>
          <w:rFonts w:ascii="仿宋_GB2312" w:eastAsia="仿宋_GB2312" w:hAnsi="Times New Roman"/>
          <w:sz w:val="28"/>
          <w:szCs w:val="28"/>
        </w:rPr>
      </w:pPr>
      <w:r>
        <w:rPr>
          <w:rFonts w:ascii="仿宋_GB2312" w:eastAsia="仿宋_GB2312" w:hAnsi="Times New Roman" w:hint="eastAsia"/>
          <w:sz w:val="28"/>
          <w:szCs w:val="28"/>
        </w:rPr>
        <w:t>行权净应付资金：交收日，客户行权或被指派应付资金与应收资金累加，包括客户证券交收违约按现金结算资金，如为净应收，则行权净应付资金为0。</w:t>
      </w:r>
    </w:p>
    <w:p w:rsidR="00173848" w:rsidRDefault="00FC3217" w:rsidP="00021BE0">
      <w:pPr>
        <w:spacing w:beforeLines="50" w:afterLines="50" w:line="360" w:lineRule="auto"/>
        <w:ind w:firstLineChars="200" w:firstLine="560"/>
        <w:rPr>
          <w:rFonts w:ascii="仿宋_GB2312" w:eastAsia="仿宋_GB2312" w:hAnsi="Times New Roman"/>
          <w:sz w:val="28"/>
          <w:szCs w:val="28"/>
        </w:rPr>
      </w:pPr>
      <w:r>
        <w:rPr>
          <w:rFonts w:ascii="仿宋_GB2312" w:eastAsia="仿宋_GB2312" w:hAnsi="Times New Roman" w:hint="eastAsia"/>
          <w:sz w:val="28"/>
          <w:szCs w:val="28"/>
        </w:rPr>
        <w:t>收盘后，为了保证公司正常交收，期货公司应保证盘后资金维持比例不高于一定比例（比如90%）。基于客户在收盘后出金的可能性较大，期货公司需保留足够的资金满足客户出金需求。</w:t>
      </w:r>
    </w:p>
    <w:p w:rsidR="00173848" w:rsidRDefault="00FC3217" w:rsidP="00021BE0">
      <w:pPr>
        <w:spacing w:beforeLines="50" w:afterLines="50" w:line="360" w:lineRule="auto"/>
        <w:ind w:firstLineChars="200" w:firstLine="562"/>
        <w:rPr>
          <w:rFonts w:ascii="仿宋_GB2312" w:eastAsia="仿宋_GB2312" w:hAnsi="Times New Roman"/>
          <w:b/>
          <w:bCs/>
          <w:sz w:val="28"/>
          <w:szCs w:val="28"/>
        </w:rPr>
      </w:pPr>
      <w:r>
        <w:rPr>
          <w:rFonts w:ascii="仿宋_GB2312" w:eastAsia="仿宋_GB2312" w:hAnsi="Times New Roman" w:hint="eastAsia"/>
          <w:b/>
          <w:bCs/>
          <w:sz w:val="28"/>
          <w:szCs w:val="28"/>
        </w:rPr>
        <w:t>（四）可用资金余额头寸监控</w:t>
      </w:r>
    </w:p>
    <w:p w:rsidR="00173848" w:rsidRDefault="00FC3217" w:rsidP="00021BE0">
      <w:pPr>
        <w:spacing w:beforeLines="50" w:afterLines="50" w:line="360" w:lineRule="auto"/>
        <w:ind w:firstLineChars="200" w:firstLine="560"/>
        <w:rPr>
          <w:rFonts w:ascii="仿宋_GB2312" w:eastAsia="仿宋_GB2312" w:hAnsi="Times New Roman"/>
          <w:sz w:val="28"/>
          <w:szCs w:val="28"/>
        </w:rPr>
      </w:pPr>
      <w:r>
        <w:rPr>
          <w:rFonts w:ascii="仿宋_GB2312" w:eastAsia="仿宋_GB2312" w:hAnsi="Times New Roman" w:hint="eastAsia"/>
          <w:sz w:val="28"/>
          <w:szCs w:val="28"/>
        </w:rPr>
        <w:t>期货公司应分别在开盘前、盘中和盘后，通过上交所交易系统查询公司在中国结算开立的客户股票期权保证金账户的可用余额，进行头寸监控：</w:t>
      </w:r>
    </w:p>
    <w:p w:rsidR="00173848" w:rsidRDefault="00FC3217" w:rsidP="00021BE0">
      <w:pPr>
        <w:spacing w:beforeLines="50" w:afterLines="50" w:line="360" w:lineRule="auto"/>
        <w:ind w:firstLineChars="200" w:firstLine="560"/>
        <w:rPr>
          <w:rFonts w:ascii="仿宋_GB2312" w:eastAsia="仿宋_GB2312" w:hAnsi="Times New Roman"/>
          <w:sz w:val="28"/>
          <w:szCs w:val="28"/>
        </w:rPr>
      </w:pPr>
      <w:r>
        <w:rPr>
          <w:rFonts w:ascii="仿宋_GB2312" w:eastAsia="仿宋_GB2312" w:hAnsi="Times New Roman" w:hint="eastAsia"/>
          <w:sz w:val="28"/>
          <w:szCs w:val="28"/>
        </w:rPr>
        <w:t>1、盘中要保证客户股票期权保证金账户可用余额能满足客户的开仓需求；</w:t>
      </w:r>
    </w:p>
    <w:p w:rsidR="00173848" w:rsidRDefault="00FC3217" w:rsidP="00021BE0">
      <w:pPr>
        <w:spacing w:beforeLines="50" w:afterLines="50" w:line="360" w:lineRule="auto"/>
        <w:ind w:firstLineChars="200" w:firstLine="560"/>
        <w:rPr>
          <w:rFonts w:ascii="仿宋_GB2312" w:eastAsia="仿宋_GB2312" w:hAnsi="Times New Roman"/>
          <w:sz w:val="28"/>
          <w:szCs w:val="28"/>
        </w:rPr>
      </w:pPr>
      <w:r>
        <w:rPr>
          <w:rFonts w:ascii="仿宋_GB2312" w:eastAsia="仿宋_GB2312" w:hAnsi="Times New Roman" w:hint="eastAsia"/>
          <w:sz w:val="28"/>
          <w:szCs w:val="28"/>
        </w:rPr>
        <w:t>2、开盘前和收盘后，要保证客户股票期权保证金账户可用余额高于最低结算准备余额（目前暂为200万）。开盘前，若结算准备金余额大于零而低于结算准备金最低余额，</w:t>
      </w:r>
      <w:r>
        <w:rPr>
          <w:rFonts w:ascii="仿宋_GB2312" w:eastAsia="仿宋_GB2312" w:cs="仿宋_GB2312" w:hint="eastAsia"/>
          <w:sz w:val="28"/>
          <w:szCs w:val="28"/>
        </w:rPr>
        <w:t>上交所</w:t>
      </w:r>
      <w:r>
        <w:rPr>
          <w:rFonts w:ascii="仿宋_GB2312" w:eastAsia="仿宋_GB2312" w:hAnsi="Times New Roman" w:hint="eastAsia"/>
          <w:sz w:val="28"/>
          <w:szCs w:val="28"/>
        </w:rPr>
        <w:t>前端控制将禁止客户新开仓（买入或卖出开仓禁止，允许备兑开仓）。</w:t>
      </w:r>
    </w:p>
    <w:p w:rsidR="00173848" w:rsidRDefault="00FC3217" w:rsidP="00021BE0">
      <w:pPr>
        <w:spacing w:beforeLines="50" w:afterLines="50" w:line="360" w:lineRule="auto"/>
        <w:ind w:firstLineChars="200" w:firstLine="562"/>
        <w:rPr>
          <w:rFonts w:ascii="仿宋_GB2312" w:eastAsia="仿宋_GB2312" w:hAnsi="Times New Roman"/>
          <w:b/>
          <w:bCs/>
          <w:sz w:val="28"/>
          <w:szCs w:val="28"/>
        </w:rPr>
      </w:pPr>
      <w:r>
        <w:rPr>
          <w:rFonts w:ascii="仿宋_GB2312" w:eastAsia="仿宋_GB2312" w:hAnsi="Times New Roman" w:hint="eastAsia"/>
          <w:b/>
          <w:bCs/>
          <w:sz w:val="28"/>
          <w:szCs w:val="28"/>
        </w:rPr>
        <w:t>（五）客户出金要求</w:t>
      </w:r>
    </w:p>
    <w:p w:rsidR="00FC3217" w:rsidRDefault="00FC3217" w:rsidP="00FC3217">
      <w:pPr>
        <w:spacing w:before="156" w:after="156"/>
        <w:ind w:firstLineChars="200" w:firstLine="560"/>
        <w:rPr>
          <w:rFonts w:ascii="仿宋_GB2312" w:eastAsia="仿宋_GB2312" w:hAnsi="Times New Roman"/>
          <w:sz w:val="28"/>
          <w:szCs w:val="28"/>
        </w:rPr>
      </w:pPr>
      <w:r>
        <w:rPr>
          <w:rFonts w:ascii="仿宋_GB2312" w:eastAsia="仿宋_GB2312" w:hAnsi="Times New Roman" w:hint="eastAsia"/>
          <w:sz w:val="28"/>
          <w:szCs w:val="28"/>
        </w:rPr>
        <w:t>期货公司根据与客户在经纪合同中的约定，设置的提取线计算客户可提现资金，允许客户进行提现。对大额资金提取，可以要求先预</w:t>
      </w:r>
      <w:r>
        <w:rPr>
          <w:rFonts w:ascii="仿宋_GB2312" w:eastAsia="仿宋_GB2312" w:hAnsi="Times New Roman" w:hint="eastAsia"/>
          <w:sz w:val="28"/>
          <w:szCs w:val="28"/>
        </w:rPr>
        <w:lastRenderedPageBreak/>
        <w:t>约。</w:t>
      </w:r>
    </w:p>
    <w:p w:rsidR="00FC3217" w:rsidRDefault="00FC3217" w:rsidP="00FC3217">
      <w:pPr>
        <w:numPr>
          <w:ilvl w:val="0"/>
          <w:numId w:val="4"/>
        </w:numPr>
        <w:spacing w:before="156" w:after="156"/>
        <w:ind w:firstLineChars="200" w:firstLine="562"/>
        <w:rPr>
          <w:rFonts w:ascii="仿宋_GB2312" w:eastAsia="仿宋_GB2312"/>
          <w:b/>
          <w:sz w:val="28"/>
          <w:szCs w:val="28"/>
        </w:rPr>
      </w:pPr>
      <w:r>
        <w:rPr>
          <w:rFonts w:ascii="仿宋_GB2312" w:eastAsia="仿宋_GB2312" w:hint="eastAsia"/>
          <w:b/>
          <w:sz w:val="28"/>
          <w:szCs w:val="28"/>
        </w:rPr>
        <w:t>卖出平仓注意事项</w:t>
      </w:r>
    </w:p>
    <w:p w:rsidR="00FC3217" w:rsidRDefault="00FC3217" w:rsidP="00021BE0">
      <w:pPr>
        <w:spacing w:beforeLines="50" w:afterLines="50"/>
        <w:ind w:firstLineChars="200" w:firstLine="560"/>
        <w:rPr>
          <w:rFonts w:ascii="仿宋_GB2312" w:eastAsia="仿宋_GB2312"/>
          <w:sz w:val="28"/>
          <w:szCs w:val="28"/>
        </w:rPr>
      </w:pPr>
      <w:r>
        <w:rPr>
          <w:rFonts w:ascii="仿宋_GB2312" w:eastAsia="仿宋_GB2312" w:hint="eastAsia"/>
          <w:sz w:val="28"/>
          <w:szCs w:val="28"/>
        </w:rPr>
        <w:t xml:space="preserve"> </w:t>
      </w:r>
      <w:r>
        <w:rPr>
          <w:rFonts w:ascii="仿宋_GB2312" w:eastAsia="仿宋_GB2312" w:cs="仿宋_GB2312" w:hint="eastAsia"/>
          <w:sz w:val="28"/>
          <w:szCs w:val="28"/>
        </w:rPr>
        <w:t>对投资者卖出平仓应注意交易成本的计算。若出现卖出平仓所得无法覆盖交易成本的情况，应在客户端进行提醒。若客户执意平仓，方可接受委托。如预算成交后客户资产出现透支状态，期货公司可拒绝该笔委托。</w:t>
      </w:r>
    </w:p>
    <w:p w:rsidR="00FC3217" w:rsidRDefault="00FC3217" w:rsidP="00FC3217">
      <w:pPr>
        <w:pStyle w:val="2"/>
        <w:ind w:firstLine="562"/>
      </w:pPr>
      <w:bookmarkStart w:id="293" w:name="_Toc11204"/>
      <w:bookmarkStart w:id="294" w:name="_Toc408746742"/>
      <w:bookmarkStart w:id="295" w:name="_Toc19670"/>
      <w:bookmarkStart w:id="296" w:name="_Toc12394"/>
      <w:bookmarkStart w:id="297" w:name="_Toc5460"/>
      <w:bookmarkStart w:id="298" w:name="_Toc23946991"/>
      <w:r>
        <w:rPr>
          <w:rFonts w:hint="eastAsia"/>
        </w:rPr>
        <w:t>二、资金划拨应急处理</w:t>
      </w:r>
      <w:bookmarkEnd w:id="293"/>
      <w:bookmarkEnd w:id="294"/>
      <w:bookmarkEnd w:id="295"/>
      <w:bookmarkEnd w:id="296"/>
      <w:bookmarkEnd w:id="297"/>
      <w:bookmarkEnd w:id="298"/>
    </w:p>
    <w:p w:rsidR="00FC3217" w:rsidRDefault="00FC3217" w:rsidP="00021BE0">
      <w:pPr>
        <w:spacing w:beforeLines="50" w:afterLines="50" w:line="360" w:lineRule="auto"/>
        <w:ind w:firstLineChars="200" w:firstLine="560"/>
        <w:rPr>
          <w:rFonts w:ascii="仿宋_GB2312" w:eastAsia="仿宋_GB2312" w:hAnsi="Times New Roman"/>
          <w:sz w:val="28"/>
          <w:szCs w:val="28"/>
        </w:rPr>
      </w:pPr>
      <w:r>
        <w:rPr>
          <w:rFonts w:ascii="仿宋_GB2312" w:eastAsia="仿宋_GB2312" w:hAnsi="Times New Roman" w:hint="eastAsia"/>
          <w:sz w:val="28"/>
          <w:szCs w:val="28"/>
        </w:rPr>
        <w:t>期货公司应建立客户资金存取、划拨、应对信息系统故障等异常和突发情况的应急预案，具体要求包括但不限于：</w:t>
      </w:r>
    </w:p>
    <w:p w:rsidR="00173848" w:rsidRDefault="00FC3217" w:rsidP="00021BE0">
      <w:pPr>
        <w:spacing w:beforeLines="50" w:afterLines="50" w:line="360" w:lineRule="auto"/>
        <w:ind w:firstLineChars="200" w:firstLine="560"/>
        <w:rPr>
          <w:rFonts w:ascii="仿宋_GB2312" w:eastAsia="仿宋_GB2312" w:hAnsi="Times New Roman"/>
          <w:sz w:val="28"/>
          <w:szCs w:val="28"/>
        </w:rPr>
      </w:pPr>
      <w:r>
        <w:rPr>
          <w:rFonts w:ascii="仿宋_GB2312" w:eastAsia="仿宋_GB2312" w:hAnsi="Times New Roman" w:hint="eastAsia"/>
          <w:sz w:val="28"/>
          <w:szCs w:val="28"/>
        </w:rPr>
        <w:t>（一）期货公司应与各结算银行商谈并签订客户资金应急划款协议或备忘录，建立客户资金存取和交收的应急备用划款方式，明确因技术故障等影响客户资金存取及交收时，相关各方之间的备用操作流程和沟通协调机制，保证客户资金存取和交收的正常有序进行。</w:t>
      </w:r>
    </w:p>
    <w:p w:rsidR="00173848" w:rsidRDefault="00FC3217" w:rsidP="00021BE0">
      <w:pPr>
        <w:spacing w:beforeLines="50" w:afterLines="50" w:line="360" w:lineRule="auto"/>
        <w:ind w:firstLineChars="200" w:firstLine="560"/>
        <w:rPr>
          <w:rFonts w:ascii="仿宋_GB2312" w:eastAsia="仿宋_GB2312" w:hAnsi="Times New Roman"/>
          <w:sz w:val="28"/>
          <w:szCs w:val="28"/>
        </w:rPr>
      </w:pPr>
      <w:r>
        <w:rPr>
          <w:rFonts w:ascii="仿宋_GB2312" w:eastAsia="仿宋_GB2312" w:hAnsi="Times New Roman" w:hint="eastAsia"/>
          <w:sz w:val="28"/>
          <w:szCs w:val="28"/>
        </w:rPr>
        <w:t>（二）期货公司应建立多家银行账户划拨备用机制，一旦一家银行账户结算出现问题或延迟，立即启用其他银行账户划拨资金。</w:t>
      </w:r>
    </w:p>
    <w:p w:rsidR="00173848" w:rsidRDefault="00FC3217" w:rsidP="00021BE0">
      <w:pPr>
        <w:spacing w:beforeLines="50" w:afterLines="50" w:line="360" w:lineRule="auto"/>
        <w:ind w:firstLineChars="200" w:firstLine="560"/>
        <w:rPr>
          <w:rFonts w:ascii="仿宋_GB2312" w:eastAsia="仿宋_GB2312" w:hAnsi="Times New Roman"/>
          <w:sz w:val="28"/>
          <w:szCs w:val="28"/>
        </w:rPr>
      </w:pPr>
      <w:r>
        <w:rPr>
          <w:rFonts w:ascii="仿宋_GB2312" w:eastAsia="仿宋_GB2312" w:hAnsi="Times New Roman" w:hint="eastAsia"/>
          <w:sz w:val="28"/>
          <w:szCs w:val="28"/>
        </w:rPr>
        <w:t>（三）期货公司应通过和银行建立多种替代方式的资金划拨路径，一旦结算出现异常，可以立即通过其他替代划拨方式完成资金划拨。和银行建立良好的结算关系，由银行指定专人负责跟踪每笔划拨资金。</w:t>
      </w:r>
    </w:p>
    <w:p w:rsidR="00173848" w:rsidRDefault="00FC3217" w:rsidP="00021BE0">
      <w:pPr>
        <w:spacing w:beforeLines="50" w:afterLines="50" w:line="360" w:lineRule="auto"/>
        <w:ind w:firstLineChars="200" w:firstLine="560"/>
        <w:rPr>
          <w:rFonts w:ascii="仿宋_GB2312" w:eastAsia="仿宋_GB2312" w:hAnsi="Times New Roman"/>
          <w:b/>
          <w:bCs/>
          <w:sz w:val="28"/>
          <w:szCs w:val="28"/>
        </w:rPr>
      </w:pPr>
      <w:r>
        <w:rPr>
          <w:rFonts w:ascii="仿宋_GB2312" w:eastAsia="仿宋_GB2312" w:hAnsi="Times New Roman" w:hint="eastAsia"/>
          <w:sz w:val="28"/>
          <w:szCs w:val="28"/>
        </w:rPr>
        <w:t>（四）期货公司应当与结算银行建立日终数据交换和差异处理机制，保证客户下一交易日的正常交易和资金存取。</w:t>
      </w:r>
    </w:p>
    <w:p w:rsidR="00173848" w:rsidRDefault="00FC3217" w:rsidP="00021BE0">
      <w:pPr>
        <w:pStyle w:val="2"/>
        <w:spacing w:beforeLines="50" w:afterLines="50"/>
        <w:ind w:firstLine="562"/>
        <w:jc w:val="center"/>
        <w:rPr>
          <w:rFonts w:ascii="黑体" w:eastAsia="黑体" w:hAnsi="黑体"/>
          <w:sz w:val="32"/>
        </w:rPr>
      </w:pPr>
      <w:r>
        <w:rPr>
          <w:rFonts w:ascii="仿宋_GB2312" w:hAnsi="Times New Roman" w:hint="eastAsia"/>
          <w:szCs w:val="28"/>
        </w:rPr>
        <w:br w:type="page"/>
      </w:r>
      <w:bookmarkStart w:id="299" w:name="_Toc7355"/>
      <w:bookmarkStart w:id="300" w:name="_Toc32619"/>
      <w:bookmarkStart w:id="301" w:name="_Toc24183"/>
      <w:bookmarkStart w:id="302" w:name="_Toc26518"/>
      <w:bookmarkStart w:id="303" w:name="_Toc408746743"/>
      <w:bookmarkStart w:id="304" w:name="_Toc23946992"/>
      <w:r>
        <w:rPr>
          <w:rFonts w:ascii="黑体" w:eastAsia="黑体" w:hAnsi="黑体" w:hint="eastAsia"/>
          <w:sz w:val="32"/>
        </w:rPr>
        <w:lastRenderedPageBreak/>
        <w:t>第八章 强行平仓管理</w:t>
      </w:r>
      <w:bookmarkEnd w:id="299"/>
      <w:bookmarkEnd w:id="300"/>
      <w:bookmarkEnd w:id="301"/>
      <w:bookmarkEnd w:id="302"/>
      <w:bookmarkEnd w:id="303"/>
      <w:bookmarkEnd w:id="304"/>
    </w:p>
    <w:p w:rsidR="00FC3217" w:rsidRDefault="00FC3217" w:rsidP="00FC3217">
      <w:pPr>
        <w:pStyle w:val="2"/>
        <w:ind w:firstLine="562"/>
      </w:pPr>
      <w:bookmarkStart w:id="305" w:name="_Toc16871"/>
      <w:bookmarkStart w:id="306" w:name="_Toc6782"/>
      <w:bookmarkStart w:id="307" w:name="_Toc21422"/>
      <w:bookmarkStart w:id="308" w:name="_Toc16159"/>
      <w:bookmarkStart w:id="309" w:name="_Toc408665043"/>
      <w:bookmarkStart w:id="310" w:name="一、保证金不足强行平仓"/>
      <w:bookmarkStart w:id="311" w:name="_Toc23946993"/>
      <w:r>
        <w:rPr>
          <w:rFonts w:hint="eastAsia"/>
        </w:rPr>
        <w:t>一、保证金不足强行平仓</w:t>
      </w:r>
      <w:bookmarkEnd w:id="305"/>
      <w:bookmarkEnd w:id="306"/>
      <w:bookmarkEnd w:id="307"/>
      <w:bookmarkEnd w:id="308"/>
      <w:bookmarkEnd w:id="309"/>
      <w:bookmarkEnd w:id="310"/>
      <w:bookmarkEnd w:id="311"/>
    </w:p>
    <w:p w:rsidR="00FC3217" w:rsidRDefault="00FC3217" w:rsidP="00021BE0">
      <w:pPr>
        <w:spacing w:beforeLines="50" w:afterLines="50"/>
        <w:ind w:firstLineChars="200" w:firstLine="560"/>
        <w:rPr>
          <w:rFonts w:ascii="仿宋_GB2312" w:eastAsia="仿宋_GB2312" w:cs="仿宋_GB2312"/>
          <w:sz w:val="28"/>
          <w:szCs w:val="28"/>
        </w:rPr>
      </w:pPr>
      <w:r>
        <w:rPr>
          <w:rFonts w:ascii="仿宋_GB2312" w:eastAsia="仿宋_GB2312" w:cs="仿宋_GB2312" w:hint="eastAsia"/>
          <w:sz w:val="28"/>
          <w:szCs w:val="28"/>
        </w:rPr>
        <w:t>（一）触发条件</w:t>
      </w:r>
    </w:p>
    <w:p w:rsidR="00173848" w:rsidRDefault="00FC3217" w:rsidP="00021BE0">
      <w:pPr>
        <w:spacing w:beforeLines="50" w:afterLines="50"/>
        <w:ind w:firstLineChars="200" w:firstLine="560"/>
        <w:rPr>
          <w:rFonts w:ascii="仿宋_GB2312" w:eastAsia="仿宋_GB2312" w:cs="仿宋_GB2312"/>
          <w:sz w:val="28"/>
          <w:szCs w:val="28"/>
        </w:rPr>
      </w:pPr>
      <w:r>
        <w:rPr>
          <w:rFonts w:ascii="仿宋_GB2312" w:eastAsia="仿宋_GB2312" w:cs="仿宋_GB2312" w:hint="eastAsia"/>
          <w:sz w:val="28"/>
          <w:szCs w:val="28"/>
        </w:rPr>
        <w:t>1、盘中监控</w:t>
      </w:r>
    </w:p>
    <w:p w:rsidR="00173848" w:rsidRDefault="00FC3217" w:rsidP="00021BE0">
      <w:pPr>
        <w:widowControl/>
        <w:spacing w:beforeLines="50" w:afterLines="50"/>
        <w:ind w:firstLineChars="200" w:firstLine="560"/>
        <w:rPr>
          <w:rFonts w:ascii="仿宋_GB2312" w:eastAsia="仿宋_GB2312" w:cs="仿宋_GB2312"/>
          <w:sz w:val="28"/>
          <w:szCs w:val="28"/>
        </w:rPr>
      </w:pPr>
      <w:r>
        <w:rPr>
          <w:rFonts w:ascii="仿宋_GB2312" w:eastAsia="仿宋_GB2312" w:cs="仿宋_GB2312" w:hint="eastAsia"/>
          <w:sz w:val="28"/>
          <w:szCs w:val="28"/>
        </w:rPr>
        <w:t>（1）客户实时风险值1达到或者高于公司盘中平仓线，且未能在规定时内补足或者自行平仓，期货公司可以在约定时间对客户进行强行平仓。</w:t>
      </w:r>
    </w:p>
    <w:p w:rsidR="00173848" w:rsidRDefault="00FC3217" w:rsidP="00021BE0">
      <w:pPr>
        <w:widowControl/>
        <w:spacing w:beforeLines="50" w:afterLines="50"/>
        <w:ind w:firstLineChars="200" w:firstLine="560"/>
        <w:rPr>
          <w:rFonts w:ascii="仿宋_GB2312" w:eastAsia="仿宋_GB2312" w:cs="仿宋_GB2312"/>
          <w:sz w:val="28"/>
          <w:szCs w:val="28"/>
        </w:rPr>
      </w:pPr>
      <w:r>
        <w:rPr>
          <w:rFonts w:ascii="仿宋_GB2312" w:eastAsia="仿宋_GB2312" w:cs="仿宋_GB2312" w:hint="eastAsia"/>
          <w:sz w:val="28"/>
          <w:szCs w:val="28"/>
        </w:rPr>
        <w:t>（2）客户实时风险值2达到或者高于即时处置线，期货公司根据与客户约定可即时对客户进行强行平仓。</w:t>
      </w:r>
    </w:p>
    <w:p w:rsidR="00173848" w:rsidRDefault="00FC3217" w:rsidP="00021BE0">
      <w:pPr>
        <w:widowControl/>
        <w:spacing w:beforeLines="50" w:afterLines="50"/>
        <w:ind w:firstLineChars="200" w:firstLine="560"/>
        <w:rPr>
          <w:rFonts w:ascii="仿宋_GB2312" w:eastAsia="仿宋_GB2312"/>
          <w:sz w:val="28"/>
          <w:szCs w:val="28"/>
        </w:rPr>
      </w:pPr>
      <w:r>
        <w:rPr>
          <w:rFonts w:ascii="仿宋_GB2312" w:eastAsia="仿宋_GB2312" w:hint="eastAsia"/>
          <w:sz w:val="28"/>
          <w:szCs w:val="28"/>
        </w:rPr>
        <w:t>期货公司</w:t>
      </w:r>
      <w:r w:rsidRPr="00C61493">
        <w:rPr>
          <w:rFonts w:ascii="仿宋_GB2312" w:eastAsia="仿宋_GB2312" w:hint="eastAsia"/>
          <w:sz w:val="28"/>
          <w:szCs w:val="28"/>
        </w:rPr>
        <w:t>对其客户的组合策略实施强行平仓的，应当提交强制解除组合策略指令，再对组合策略中的义务仓和权利仓实施强行平仓。上交所对</w:t>
      </w:r>
      <w:r>
        <w:rPr>
          <w:rFonts w:ascii="仿宋_GB2312" w:eastAsia="仿宋_GB2312" w:hint="eastAsia"/>
          <w:sz w:val="28"/>
          <w:szCs w:val="28"/>
        </w:rPr>
        <w:t>期货公司</w:t>
      </w:r>
      <w:r w:rsidRPr="00C61493">
        <w:rPr>
          <w:rFonts w:ascii="仿宋_GB2312" w:eastAsia="仿宋_GB2312" w:hint="eastAsia"/>
          <w:sz w:val="28"/>
          <w:szCs w:val="28"/>
        </w:rPr>
        <w:t>提交强制解除组合策略的指令进行</w:t>
      </w:r>
      <w:r>
        <w:rPr>
          <w:rFonts w:ascii="仿宋_GB2312" w:eastAsia="仿宋_GB2312" w:hint="eastAsia"/>
          <w:sz w:val="28"/>
          <w:szCs w:val="28"/>
        </w:rPr>
        <w:t>结算参与人层面的</w:t>
      </w:r>
      <w:r w:rsidRPr="00C61493">
        <w:rPr>
          <w:rFonts w:ascii="仿宋_GB2312" w:eastAsia="仿宋_GB2312" w:hint="eastAsia"/>
          <w:sz w:val="28"/>
          <w:szCs w:val="28"/>
        </w:rPr>
        <w:t>资金前端校验。</w:t>
      </w:r>
    </w:p>
    <w:p w:rsidR="00173848" w:rsidRDefault="00FC3217" w:rsidP="00021BE0">
      <w:pPr>
        <w:widowControl/>
        <w:spacing w:beforeLines="50" w:afterLines="50"/>
        <w:ind w:firstLineChars="200" w:firstLine="560"/>
        <w:rPr>
          <w:rFonts w:ascii="仿宋_GB2312" w:eastAsia="仿宋_GB2312" w:cs="仿宋_GB2312"/>
          <w:sz w:val="28"/>
          <w:szCs w:val="28"/>
        </w:rPr>
      </w:pPr>
      <w:r>
        <w:rPr>
          <w:rFonts w:ascii="仿宋_GB2312" w:eastAsia="仿宋_GB2312" w:cs="仿宋_GB2312" w:hint="eastAsia"/>
          <w:sz w:val="28"/>
          <w:szCs w:val="28"/>
        </w:rPr>
        <w:t>期货公司对客户的买入平仓指令可不检查资金是否足额，若采取资金前端控制，应建立“不足时由客户自行平仓或期货公司进行强行平仓”相关操作流程。</w:t>
      </w:r>
    </w:p>
    <w:p w:rsidR="00173848" w:rsidRDefault="00FC3217" w:rsidP="00021BE0">
      <w:pPr>
        <w:widowControl/>
        <w:spacing w:beforeLines="50" w:afterLines="50"/>
        <w:ind w:firstLineChars="200" w:firstLine="560"/>
        <w:rPr>
          <w:rFonts w:ascii="仿宋_GB2312" w:eastAsia="仿宋_GB2312" w:cs="仿宋_GB2312"/>
          <w:sz w:val="28"/>
          <w:szCs w:val="28"/>
        </w:rPr>
      </w:pPr>
      <w:r>
        <w:rPr>
          <w:rFonts w:ascii="仿宋_GB2312" w:eastAsia="仿宋_GB2312" w:cs="仿宋_GB2312" w:hint="eastAsia"/>
          <w:sz w:val="28"/>
          <w:szCs w:val="28"/>
        </w:rPr>
        <w:t>2、盘后监控</w:t>
      </w:r>
    </w:p>
    <w:p w:rsidR="00173848" w:rsidRDefault="00FC3217" w:rsidP="00021BE0">
      <w:pPr>
        <w:widowControl/>
        <w:spacing w:beforeLines="50" w:afterLines="50"/>
        <w:ind w:firstLineChars="200" w:firstLine="560"/>
        <w:rPr>
          <w:rFonts w:ascii="仿宋_GB2312" w:eastAsia="仿宋_GB2312" w:cs="仿宋_GB2312"/>
          <w:sz w:val="28"/>
          <w:szCs w:val="28"/>
        </w:rPr>
      </w:pPr>
      <w:r>
        <w:rPr>
          <w:rFonts w:ascii="仿宋_GB2312" w:eastAsia="仿宋_GB2312" w:cs="仿宋_GB2312" w:hint="eastAsia"/>
          <w:sz w:val="28"/>
          <w:szCs w:val="28"/>
        </w:rPr>
        <w:lastRenderedPageBreak/>
        <w:t>（1）客户维持保证金比例1达到或者高于公司盘后平仓线，且未能在规定时间内补足或者自行平仓，期货公司应在下一交易日（T+1日）约定时间对客户进行强行平仓。</w:t>
      </w:r>
    </w:p>
    <w:p w:rsidR="00173848" w:rsidRDefault="00FC3217" w:rsidP="00021BE0">
      <w:pPr>
        <w:widowControl/>
        <w:spacing w:beforeLines="50" w:afterLines="50"/>
        <w:ind w:firstLineChars="200" w:firstLine="560"/>
        <w:rPr>
          <w:rFonts w:ascii="仿宋_GB2312" w:eastAsia="仿宋_GB2312" w:cs="仿宋_GB2312"/>
          <w:sz w:val="28"/>
          <w:szCs w:val="28"/>
        </w:rPr>
      </w:pPr>
      <w:r>
        <w:rPr>
          <w:rFonts w:ascii="仿宋_GB2312" w:eastAsia="仿宋_GB2312" w:cs="仿宋_GB2312" w:hint="eastAsia"/>
          <w:sz w:val="28"/>
          <w:szCs w:val="28"/>
        </w:rPr>
        <w:t>（2）客户维持保证金比2达到或者高于交易所平仓线，且未能在规定时间内补足或者自行平仓，期货公司应在下一交易日（T+1日）上午开盘后尽快对客户进行强行平仓。</w:t>
      </w:r>
    </w:p>
    <w:p w:rsidR="00173848" w:rsidRDefault="00FC3217" w:rsidP="00021BE0">
      <w:pPr>
        <w:spacing w:beforeLines="50" w:afterLines="50"/>
        <w:ind w:firstLineChars="200" w:firstLine="560"/>
        <w:rPr>
          <w:rFonts w:ascii="仿宋_GB2312" w:eastAsia="仿宋_GB2312" w:cs="仿宋_GB2312"/>
          <w:sz w:val="28"/>
          <w:szCs w:val="28"/>
        </w:rPr>
      </w:pPr>
      <w:r>
        <w:rPr>
          <w:rFonts w:ascii="仿宋_GB2312" w:eastAsia="仿宋_GB2312" w:cs="仿宋_GB2312" w:hint="eastAsia"/>
          <w:sz w:val="28"/>
          <w:szCs w:val="28"/>
        </w:rPr>
        <w:t>（二）平仓原则</w:t>
      </w:r>
    </w:p>
    <w:p w:rsidR="00173848" w:rsidRDefault="00FC3217" w:rsidP="00021BE0">
      <w:pPr>
        <w:widowControl/>
        <w:spacing w:beforeLines="50" w:afterLines="50"/>
        <w:ind w:firstLineChars="200" w:firstLine="560"/>
        <w:rPr>
          <w:rFonts w:ascii="仿宋_GB2312" w:eastAsia="仿宋_GB2312" w:cs="仿宋_GB2312"/>
          <w:sz w:val="28"/>
          <w:szCs w:val="28"/>
        </w:rPr>
      </w:pPr>
      <w:r>
        <w:rPr>
          <w:rFonts w:ascii="仿宋_GB2312" w:eastAsia="仿宋_GB2312" w:cs="仿宋_GB2312" w:hint="eastAsia"/>
          <w:sz w:val="28"/>
          <w:szCs w:val="28"/>
        </w:rPr>
        <w:t>期货公司对客户进行强行平仓可采用以下原则：</w:t>
      </w:r>
    </w:p>
    <w:p w:rsidR="00173848" w:rsidRDefault="00FC3217" w:rsidP="00021BE0">
      <w:pPr>
        <w:widowControl/>
        <w:spacing w:beforeLines="50" w:afterLines="50"/>
        <w:ind w:firstLineChars="200" w:firstLine="560"/>
        <w:rPr>
          <w:rFonts w:ascii="仿宋_GB2312" w:eastAsia="仿宋_GB2312" w:cs="仿宋_GB2312"/>
          <w:sz w:val="28"/>
          <w:szCs w:val="28"/>
        </w:rPr>
      </w:pPr>
      <w:r>
        <w:rPr>
          <w:rFonts w:ascii="仿宋_GB2312" w:eastAsia="仿宋_GB2312" w:cs="仿宋_GB2312" w:hint="eastAsia"/>
          <w:sz w:val="28"/>
          <w:szCs w:val="28"/>
        </w:rPr>
        <w:t>1、按客户保证金不足数额确定客户平仓顺序；</w:t>
      </w:r>
    </w:p>
    <w:p w:rsidR="00173848" w:rsidRDefault="00FC3217" w:rsidP="00021BE0">
      <w:pPr>
        <w:widowControl/>
        <w:spacing w:beforeLines="50" w:afterLines="50"/>
        <w:ind w:firstLineChars="200" w:firstLine="560"/>
        <w:rPr>
          <w:rFonts w:ascii="仿宋_GB2312" w:eastAsia="仿宋_GB2312" w:cs="仿宋_GB2312"/>
          <w:sz w:val="28"/>
          <w:szCs w:val="28"/>
        </w:rPr>
      </w:pPr>
      <w:r>
        <w:rPr>
          <w:rFonts w:ascii="仿宋_GB2312" w:eastAsia="仿宋_GB2312" w:cs="仿宋_GB2312" w:hint="eastAsia"/>
          <w:sz w:val="28"/>
          <w:szCs w:val="28"/>
        </w:rPr>
        <w:t>2、对待平仓合约，按前一交易日日终对冲后持仓量由大到小顺序选取待平仓合约，或占用保证金由大到小顺序选取待平仓合约，或可释放保证金由大到小顺序选取待平仓合约等。</w:t>
      </w:r>
    </w:p>
    <w:p w:rsidR="00173848" w:rsidRDefault="00FC3217" w:rsidP="00021BE0">
      <w:pPr>
        <w:widowControl/>
        <w:spacing w:beforeLines="50" w:afterLines="50"/>
        <w:ind w:firstLineChars="200" w:firstLine="560"/>
        <w:rPr>
          <w:rFonts w:ascii="仿宋_GB2312" w:eastAsia="仿宋_GB2312" w:cs="仿宋_GB2312"/>
          <w:sz w:val="28"/>
          <w:szCs w:val="28"/>
        </w:rPr>
      </w:pPr>
      <w:r>
        <w:rPr>
          <w:rFonts w:ascii="仿宋_GB2312" w:eastAsia="仿宋_GB2312" w:cs="仿宋_GB2312" w:hint="eastAsia"/>
          <w:sz w:val="28"/>
          <w:szCs w:val="28"/>
        </w:rPr>
        <w:t>期货公司可依照上述原则对客户的部分或全部合约强行平仓，直至低于追保线。</w:t>
      </w:r>
    </w:p>
    <w:p w:rsidR="00173848" w:rsidRDefault="00FC3217" w:rsidP="00021BE0">
      <w:pPr>
        <w:widowControl/>
        <w:spacing w:beforeLines="50" w:afterLines="50"/>
        <w:ind w:firstLineChars="200" w:firstLine="560"/>
        <w:rPr>
          <w:rFonts w:ascii="仿宋_GB2312" w:eastAsia="仿宋_GB2312" w:cs="仿宋_GB2312"/>
          <w:sz w:val="28"/>
          <w:szCs w:val="28"/>
        </w:rPr>
      </w:pPr>
      <w:r>
        <w:rPr>
          <w:rFonts w:ascii="仿宋_GB2312" w:eastAsia="仿宋_GB2312" w:cs="仿宋_GB2312" w:hint="eastAsia"/>
          <w:sz w:val="28"/>
          <w:szCs w:val="28"/>
        </w:rPr>
        <w:t>期货公司应当在与客户签订的期权经纪合同中，明确约定对客户执行强行平仓的具体条件与时间，包括可约定“对未持有义务仓而资金余额小于零的客户，可对权利仓进行平仓等”。</w:t>
      </w:r>
    </w:p>
    <w:p w:rsidR="00173848" w:rsidRDefault="00FC3217" w:rsidP="00021BE0">
      <w:pPr>
        <w:spacing w:beforeLines="50" w:afterLines="50"/>
        <w:ind w:firstLineChars="200" w:firstLine="560"/>
        <w:rPr>
          <w:rFonts w:ascii="仿宋_GB2312" w:eastAsia="仿宋_GB2312" w:cs="仿宋_GB2312"/>
          <w:sz w:val="28"/>
          <w:szCs w:val="28"/>
        </w:rPr>
      </w:pPr>
      <w:r>
        <w:rPr>
          <w:rFonts w:ascii="仿宋_GB2312" w:eastAsia="仿宋_GB2312" w:cs="仿宋_GB2312" w:hint="eastAsia"/>
          <w:sz w:val="28"/>
          <w:szCs w:val="28"/>
        </w:rPr>
        <w:t>（三）平仓流程</w:t>
      </w:r>
    </w:p>
    <w:p w:rsidR="00173848" w:rsidRDefault="00FC3217" w:rsidP="00021BE0">
      <w:pPr>
        <w:spacing w:beforeLines="50" w:afterLines="50"/>
        <w:ind w:firstLineChars="200" w:firstLine="560"/>
        <w:rPr>
          <w:rFonts w:ascii="仿宋_GB2312" w:eastAsia="仿宋_GB2312" w:cs="仿宋_GB2312"/>
          <w:sz w:val="28"/>
          <w:szCs w:val="28"/>
        </w:rPr>
      </w:pPr>
      <w:r>
        <w:rPr>
          <w:rFonts w:ascii="仿宋_GB2312" w:eastAsia="仿宋_GB2312" w:cs="仿宋_GB2312" w:hint="eastAsia"/>
          <w:sz w:val="28"/>
          <w:szCs w:val="28"/>
        </w:rPr>
        <w:t>1、未收到中国结算强平通知书情况下期货公司对客户发起的强平</w:t>
      </w:r>
    </w:p>
    <w:p w:rsidR="00173848" w:rsidRDefault="00FC3217" w:rsidP="00021BE0">
      <w:pPr>
        <w:widowControl/>
        <w:spacing w:beforeLines="50" w:afterLines="50"/>
        <w:ind w:firstLineChars="200" w:firstLine="560"/>
        <w:rPr>
          <w:rFonts w:ascii="仿宋_GB2312" w:eastAsia="仿宋_GB2312" w:cs="仿宋_GB2312"/>
          <w:sz w:val="28"/>
          <w:szCs w:val="28"/>
        </w:rPr>
      </w:pPr>
      <w:r>
        <w:rPr>
          <w:rFonts w:ascii="仿宋_GB2312" w:eastAsia="仿宋_GB2312" w:cs="仿宋_GB2312" w:hint="eastAsia"/>
          <w:sz w:val="28"/>
          <w:szCs w:val="28"/>
        </w:rPr>
        <w:lastRenderedPageBreak/>
        <w:t>（1）盘中</w:t>
      </w:r>
    </w:p>
    <w:p w:rsidR="00173848" w:rsidRDefault="00FC3217" w:rsidP="00021BE0">
      <w:pPr>
        <w:widowControl/>
        <w:spacing w:beforeLines="50" w:afterLines="50"/>
        <w:ind w:firstLineChars="200" w:firstLine="560"/>
        <w:rPr>
          <w:rFonts w:ascii="仿宋_GB2312" w:eastAsia="仿宋_GB2312" w:cs="仿宋_GB2312"/>
          <w:sz w:val="28"/>
          <w:szCs w:val="28"/>
        </w:rPr>
      </w:pPr>
      <w:r>
        <w:rPr>
          <w:rFonts w:ascii="仿宋_GB2312" w:eastAsia="仿宋_GB2312" w:cs="仿宋_GB2312" w:hint="eastAsia"/>
          <w:sz w:val="28"/>
          <w:szCs w:val="28"/>
        </w:rPr>
        <w:t>盘中监控，客户实时风险值1高于公司盘中平仓线。期货公司应以邮件、短信、交易端提醒等形式</w:t>
      </w:r>
      <w:r>
        <w:rPr>
          <w:rFonts w:ascii="仿宋_GB2312" w:eastAsia="仿宋_GB2312" w:hint="eastAsia"/>
          <w:sz w:val="28"/>
          <w:szCs w:val="28"/>
        </w:rPr>
        <w:t>（至少采用两种形式）</w:t>
      </w:r>
      <w:r>
        <w:rPr>
          <w:rFonts w:ascii="仿宋_GB2312" w:eastAsia="仿宋_GB2312" w:cs="仿宋_GB2312" w:hint="eastAsia"/>
          <w:sz w:val="28"/>
          <w:szCs w:val="28"/>
        </w:rPr>
        <w:t>向客户发送“强行平仓警示通知”，并要求客户在约定时间（可以是当日某时或下一交易日的某个时间点）前追加保证金或自行平仓，否则公司将于该时间实施强行平仓。</w:t>
      </w:r>
    </w:p>
    <w:p w:rsidR="00173848" w:rsidRDefault="00FC3217" w:rsidP="00021BE0">
      <w:pPr>
        <w:widowControl/>
        <w:spacing w:beforeLines="50" w:afterLines="50"/>
        <w:ind w:firstLineChars="200" w:firstLine="560"/>
        <w:rPr>
          <w:rFonts w:ascii="仿宋_GB2312" w:eastAsia="仿宋_GB2312" w:cs="仿宋_GB2312"/>
          <w:sz w:val="28"/>
          <w:szCs w:val="28"/>
        </w:rPr>
      </w:pPr>
      <w:r>
        <w:rPr>
          <w:rFonts w:ascii="仿宋_GB2312" w:eastAsia="仿宋_GB2312" w:cs="仿宋_GB2312" w:hint="eastAsia"/>
          <w:sz w:val="28"/>
          <w:szCs w:val="28"/>
        </w:rPr>
        <w:t>若客户账户风险值持续上升，且客户实时风险值2高于即时处置线，期货公司根据期权经纪合同中的约定，可即时对客户进行强行平仓。</w:t>
      </w:r>
    </w:p>
    <w:p w:rsidR="00173848" w:rsidRDefault="00FC3217" w:rsidP="00021BE0">
      <w:pPr>
        <w:widowControl/>
        <w:spacing w:beforeLines="50" w:afterLines="50"/>
        <w:ind w:firstLineChars="200" w:firstLine="560"/>
        <w:rPr>
          <w:rFonts w:ascii="仿宋_GB2312" w:eastAsia="仿宋_GB2312" w:cs="仿宋_GB2312"/>
          <w:sz w:val="28"/>
          <w:szCs w:val="28"/>
        </w:rPr>
      </w:pPr>
      <w:r>
        <w:rPr>
          <w:rFonts w:ascii="仿宋_GB2312" w:eastAsia="仿宋_GB2312" w:cs="仿宋_GB2312" w:hint="eastAsia"/>
          <w:sz w:val="28"/>
          <w:szCs w:val="28"/>
        </w:rPr>
        <w:t>（2）盘后</w:t>
      </w:r>
    </w:p>
    <w:p w:rsidR="00173848" w:rsidRDefault="00FC3217" w:rsidP="00021BE0">
      <w:pPr>
        <w:widowControl/>
        <w:spacing w:beforeLines="50" w:afterLines="50"/>
        <w:ind w:firstLineChars="200" w:firstLine="560"/>
        <w:rPr>
          <w:rFonts w:ascii="仿宋_GB2312" w:eastAsia="仿宋_GB2312" w:cs="仿宋_GB2312"/>
          <w:sz w:val="28"/>
          <w:szCs w:val="28"/>
        </w:rPr>
      </w:pPr>
      <w:r>
        <w:rPr>
          <w:rFonts w:ascii="仿宋_GB2312" w:eastAsia="仿宋_GB2312" w:cs="仿宋_GB2312" w:hint="eastAsia"/>
          <w:sz w:val="28"/>
          <w:szCs w:val="28"/>
        </w:rPr>
        <w:t>日终结算后，若客户维持保证金比例1高于公司盘后平仓线。期货公司应再次以邮件、短信、交易端提醒等形式</w:t>
      </w:r>
      <w:r>
        <w:rPr>
          <w:rFonts w:ascii="仿宋_GB2312" w:eastAsia="仿宋_GB2312" w:hint="eastAsia"/>
          <w:sz w:val="28"/>
          <w:szCs w:val="28"/>
        </w:rPr>
        <w:t>（至少采用两种形式）</w:t>
      </w:r>
      <w:r>
        <w:rPr>
          <w:rFonts w:ascii="仿宋_GB2312" w:eastAsia="仿宋_GB2312" w:cs="仿宋_GB2312" w:hint="eastAsia"/>
          <w:sz w:val="28"/>
          <w:szCs w:val="28"/>
        </w:rPr>
        <w:t>向客户发送“强行平仓警示通知”，并要求客户在下一交易日约定时间前追加保证金或自行平仓。否则期货公司可按照与客户的约定执行强行平仓。</w:t>
      </w:r>
    </w:p>
    <w:p w:rsidR="00173848" w:rsidRDefault="00FC3217" w:rsidP="00021BE0">
      <w:pPr>
        <w:widowControl/>
        <w:spacing w:beforeLines="50" w:afterLines="50"/>
        <w:ind w:firstLineChars="200" w:firstLine="560"/>
        <w:rPr>
          <w:rFonts w:ascii="仿宋_GB2312" w:eastAsia="仿宋_GB2312" w:cs="仿宋_GB2312"/>
          <w:sz w:val="28"/>
          <w:szCs w:val="28"/>
        </w:rPr>
      </w:pPr>
      <w:r>
        <w:rPr>
          <w:rFonts w:ascii="仿宋_GB2312" w:eastAsia="仿宋_GB2312" w:cs="仿宋_GB2312" w:hint="eastAsia"/>
          <w:sz w:val="28"/>
          <w:szCs w:val="28"/>
        </w:rPr>
        <w:t>日终结算后，若客户维持保证金比例2高于交易所平仓线，期货公司应以电话、邮件、短信、交易端提醒等形式向客户发送“强行平仓通知”，若客户未能在规定时间内补足或者自行平仓，由期货公司尽快对客户进行强行平仓。</w:t>
      </w:r>
    </w:p>
    <w:p w:rsidR="00173848" w:rsidRDefault="00FC3217" w:rsidP="00021BE0">
      <w:pPr>
        <w:spacing w:beforeLines="50" w:afterLines="50"/>
        <w:ind w:firstLineChars="200" w:firstLine="560"/>
        <w:rPr>
          <w:rFonts w:ascii="仿宋_GB2312" w:eastAsia="仿宋_GB2312" w:cs="仿宋_GB2312"/>
          <w:sz w:val="28"/>
          <w:szCs w:val="28"/>
        </w:rPr>
      </w:pPr>
      <w:r>
        <w:rPr>
          <w:rFonts w:ascii="仿宋_GB2312" w:eastAsia="仿宋_GB2312" w:cs="仿宋_GB2312" w:hint="eastAsia"/>
          <w:sz w:val="28"/>
          <w:szCs w:val="28"/>
        </w:rPr>
        <w:t>2、收到中国结算强平通知书情况下期货公司对客户发起的强平</w:t>
      </w:r>
    </w:p>
    <w:p w:rsidR="00173848" w:rsidRDefault="00FC3217" w:rsidP="00021BE0">
      <w:pPr>
        <w:widowControl/>
        <w:spacing w:beforeLines="50" w:afterLines="50"/>
        <w:ind w:firstLineChars="200" w:firstLine="560"/>
        <w:rPr>
          <w:rFonts w:ascii="仿宋_GB2312" w:eastAsia="仿宋_GB2312" w:cs="仿宋_GB2312"/>
          <w:sz w:val="28"/>
          <w:szCs w:val="28"/>
        </w:rPr>
      </w:pPr>
      <w:r>
        <w:rPr>
          <w:rFonts w:ascii="仿宋_GB2312" w:eastAsia="仿宋_GB2312" w:cs="仿宋_GB2312" w:hint="eastAsia"/>
          <w:sz w:val="28"/>
          <w:szCs w:val="28"/>
        </w:rPr>
        <w:lastRenderedPageBreak/>
        <w:t>当期货公司结算准备金小于零时，中国结算随当日结算数据向有关期货公司发送“强行平仓通知书”。相关期货公司应在收到通知书后在按中国结算要求在规定时间（下一交易日9:00之前）补足保证金。</w:t>
      </w:r>
    </w:p>
    <w:p w:rsidR="00173848" w:rsidRDefault="00FC3217" w:rsidP="00021BE0">
      <w:pPr>
        <w:widowControl/>
        <w:spacing w:beforeLines="50" w:afterLines="50"/>
        <w:ind w:firstLineChars="200" w:firstLine="560"/>
        <w:rPr>
          <w:rFonts w:ascii="仿宋_GB2312" w:eastAsia="仿宋_GB2312" w:cs="仿宋_GB2312"/>
          <w:sz w:val="28"/>
          <w:szCs w:val="28"/>
        </w:rPr>
      </w:pPr>
      <w:r>
        <w:rPr>
          <w:rFonts w:ascii="仿宋_GB2312" w:eastAsia="仿宋_GB2312" w:cs="仿宋_GB2312" w:hint="eastAsia"/>
          <w:sz w:val="28"/>
          <w:szCs w:val="28"/>
        </w:rPr>
        <w:t>如无法补足保证金，应对维持保证金比例1高于公司盘后平仓线或维持保证金比例2高于交易所平仓线的客户按相应日常平仓流程处理，并确保在收到通知书后的次一交易日上午11:30前，按要求对保证金未予补足部分进行强行平仓。</w:t>
      </w:r>
    </w:p>
    <w:p w:rsidR="00173848" w:rsidRDefault="00FC3217" w:rsidP="00021BE0">
      <w:pPr>
        <w:widowControl/>
        <w:spacing w:beforeLines="50" w:afterLines="50"/>
        <w:ind w:firstLineChars="200" w:firstLine="560"/>
        <w:rPr>
          <w:rFonts w:ascii="仿宋_GB2312" w:eastAsia="仿宋_GB2312" w:cs="仿宋_GB2312"/>
          <w:sz w:val="28"/>
          <w:szCs w:val="28"/>
        </w:rPr>
      </w:pPr>
      <w:r>
        <w:rPr>
          <w:rFonts w:ascii="仿宋_GB2312" w:eastAsia="仿宋_GB2312" w:cs="仿宋_GB2312" w:hint="eastAsia"/>
          <w:sz w:val="28"/>
          <w:szCs w:val="28"/>
        </w:rPr>
        <w:t>如收到通知书的次一交易日上午，全部合约停牌（即市场停市）且下午有恢复交易时，期货公司应当及时入金或在恢复交易后进行强行平仓，若日终保证金足额，下一交易日，中国结算将不进行保证金不足强行平仓（该情况下，期货公司可以上午入金以尽快消除保证金不足的情形）；若日终保证金不足额，该日日终中国结算将向有关期货公司发送“强行平仓通知书”，期货公司收到通知书后应在规定时间内补足资金或强行平仓。全天市场停市下，强行平仓流程顺延至恢复交易日首日。</w:t>
      </w:r>
    </w:p>
    <w:p w:rsidR="00FC3217" w:rsidRDefault="00FC3217" w:rsidP="00FC3217">
      <w:pPr>
        <w:pStyle w:val="2"/>
        <w:ind w:firstLine="562"/>
      </w:pPr>
      <w:bookmarkStart w:id="312" w:name="_Toc25149"/>
      <w:bookmarkStart w:id="313" w:name="_Toc9273"/>
      <w:bookmarkStart w:id="314" w:name="_Toc10032"/>
      <w:bookmarkStart w:id="315" w:name="_Toc408665044"/>
      <w:bookmarkStart w:id="316" w:name="_Toc1309"/>
      <w:bookmarkStart w:id="317" w:name="_Toc23946994"/>
      <w:r>
        <w:rPr>
          <w:rFonts w:hint="eastAsia"/>
        </w:rPr>
        <w:t>二、备兑不足强行平仓</w:t>
      </w:r>
      <w:bookmarkEnd w:id="312"/>
      <w:bookmarkEnd w:id="313"/>
      <w:bookmarkEnd w:id="314"/>
      <w:bookmarkEnd w:id="315"/>
      <w:bookmarkEnd w:id="316"/>
      <w:bookmarkEnd w:id="317"/>
    </w:p>
    <w:p w:rsidR="00FC3217" w:rsidRDefault="00FC3217" w:rsidP="00021BE0">
      <w:pPr>
        <w:spacing w:beforeLines="50" w:afterLines="50"/>
        <w:ind w:firstLineChars="200" w:firstLine="560"/>
        <w:rPr>
          <w:rFonts w:ascii="仿宋_GB2312" w:eastAsia="仿宋_GB2312" w:hAnsi="宋体" w:cs="仿宋_GB2312"/>
          <w:sz w:val="28"/>
          <w:szCs w:val="28"/>
        </w:rPr>
      </w:pPr>
      <w:r>
        <w:rPr>
          <w:rFonts w:ascii="仿宋_GB2312" w:eastAsia="仿宋_GB2312" w:hAnsi="宋体" w:cs="仿宋_GB2312" w:hint="eastAsia"/>
          <w:sz w:val="28"/>
          <w:szCs w:val="28"/>
        </w:rPr>
        <w:t>（一）触发条件</w:t>
      </w:r>
    </w:p>
    <w:p w:rsidR="00FC3217" w:rsidRDefault="00FC3217" w:rsidP="00021BE0">
      <w:pPr>
        <w:widowControl/>
        <w:spacing w:beforeLines="50" w:afterLines="50"/>
        <w:ind w:firstLineChars="200" w:firstLine="560"/>
        <w:rPr>
          <w:rFonts w:ascii="仿宋_GB2312" w:eastAsia="仿宋_GB2312" w:cs="仿宋_GB2312"/>
          <w:sz w:val="28"/>
          <w:szCs w:val="28"/>
        </w:rPr>
      </w:pPr>
      <w:r>
        <w:rPr>
          <w:rFonts w:ascii="仿宋_GB2312" w:eastAsia="仿宋_GB2312" w:cs="仿宋_GB2312" w:hint="eastAsia"/>
          <w:sz w:val="28"/>
          <w:szCs w:val="28"/>
        </w:rPr>
        <w:lastRenderedPageBreak/>
        <w:t>期货公司应对客户备兑证券情况进行日常监控，及时关注有可能导致客户备兑证券数量不足的影响因素。导致客户备兑证券数量不足的原因包括但不限于：</w:t>
      </w:r>
    </w:p>
    <w:p w:rsidR="00173848" w:rsidRDefault="00FC3217" w:rsidP="00021BE0">
      <w:pPr>
        <w:widowControl/>
        <w:spacing w:beforeLines="50" w:afterLines="50"/>
        <w:ind w:firstLineChars="200" w:firstLine="560"/>
        <w:rPr>
          <w:rFonts w:ascii="仿宋_GB2312" w:eastAsia="仿宋_GB2312" w:cs="仿宋_GB2312"/>
          <w:sz w:val="28"/>
          <w:szCs w:val="28"/>
        </w:rPr>
      </w:pPr>
      <w:r>
        <w:rPr>
          <w:rFonts w:ascii="仿宋_GB2312" w:eastAsia="仿宋_GB2312" w:cs="仿宋_GB2312" w:hint="eastAsia"/>
          <w:sz w:val="28"/>
          <w:szCs w:val="28"/>
        </w:rPr>
        <w:t>1、合约标的发生除权除息变动导致备兑证券数量不足；</w:t>
      </w:r>
    </w:p>
    <w:p w:rsidR="00173848" w:rsidRDefault="00FC3217" w:rsidP="00021BE0">
      <w:pPr>
        <w:widowControl/>
        <w:spacing w:beforeLines="50" w:afterLines="50"/>
        <w:ind w:firstLineChars="200" w:firstLine="560"/>
        <w:rPr>
          <w:rFonts w:ascii="仿宋_GB2312" w:eastAsia="仿宋_GB2312" w:cs="仿宋_GB2312"/>
          <w:sz w:val="28"/>
          <w:szCs w:val="28"/>
        </w:rPr>
      </w:pPr>
      <w:r>
        <w:rPr>
          <w:rFonts w:ascii="仿宋_GB2312" w:eastAsia="仿宋_GB2312" w:cs="仿宋_GB2312" w:hint="eastAsia"/>
          <w:sz w:val="28"/>
          <w:szCs w:val="28"/>
        </w:rPr>
        <w:t>2、行权交收应付证券不足，不足部分使用备兑证券，从而导致备兑证券数量不足；</w:t>
      </w:r>
    </w:p>
    <w:p w:rsidR="00173848" w:rsidRDefault="00FC3217" w:rsidP="00021BE0">
      <w:pPr>
        <w:widowControl/>
        <w:spacing w:beforeLines="50" w:afterLines="50"/>
        <w:ind w:firstLineChars="200" w:firstLine="560"/>
        <w:rPr>
          <w:rFonts w:ascii="仿宋_GB2312" w:eastAsia="仿宋_GB2312" w:cs="仿宋_GB2312"/>
          <w:sz w:val="28"/>
          <w:szCs w:val="28"/>
        </w:rPr>
      </w:pPr>
      <w:r>
        <w:rPr>
          <w:rFonts w:ascii="仿宋_GB2312" w:eastAsia="仿宋_GB2312" w:cs="仿宋_GB2312" w:hint="eastAsia"/>
          <w:sz w:val="28"/>
          <w:szCs w:val="28"/>
        </w:rPr>
        <w:t>3、其他导致备兑证券数量不足的情形。</w:t>
      </w:r>
    </w:p>
    <w:p w:rsidR="00173848" w:rsidRDefault="00FC3217" w:rsidP="00021BE0">
      <w:pPr>
        <w:spacing w:beforeLines="50" w:afterLines="50"/>
        <w:ind w:firstLineChars="200" w:firstLine="560"/>
        <w:rPr>
          <w:rFonts w:ascii="仿宋_GB2312" w:eastAsia="仿宋_GB2312" w:hAnsi="宋体" w:cs="仿宋_GB2312"/>
          <w:sz w:val="28"/>
          <w:szCs w:val="28"/>
        </w:rPr>
      </w:pPr>
      <w:r>
        <w:rPr>
          <w:rFonts w:ascii="仿宋_GB2312" w:eastAsia="仿宋_GB2312" w:hAnsi="宋体" w:cs="仿宋_GB2312" w:hint="eastAsia"/>
          <w:sz w:val="28"/>
          <w:szCs w:val="28"/>
        </w:rPr>
        <w:t>（二）平仓原则</w:t>
      </w:r>
    </w:p>
    <w:p w:rsidR="00173848" w:rsidRDefault="00FC3217" w:rsidP="00021BE0">
      <w:pPr>
        <w:widowControl/>
        <w:spacing w:beforeLines="50" w:afterLines="50"/>
        <w:ind w:firstLineChars="200" w:firstLine="560"/>
        <w:rPr>
          <w:rFonts w:ascii="仿宋_GB2312" w:eastAsia="仿宋_GB2312" w:cs="仿宋_GB2312"/>
          <w:sz w:val="28"/>
          <w:szCs w:val="28"/>
        </w:rPr>
      </w:pPr>
      <w:r>
        <w:rPr>
          <w:rFonts w:ascii="仿宋_GB2312" w:eastAsia="仿宋_GB2312" w:cs="仿宋_GB2312" w:hint="eastAsia"/>
          <w:sz w:val="28"/>
          <w:szCs w:val="28"/>
        </w:rPr>
        <w:t>当客户出现备兑证券数量不足，且未能在规定时间内补足备兑备用证券或未能对不足部分</w:t>
      </w:r>
      <w:r>
        <w:rPr>
          <w:rFonts w:ascii="仿宋_GB2312" w:eastAsia="仿宋_GB2312" w:cs="仿宋_GB2312" w:hint="eastAsia"/>
          <w:kern w:val="0"/>
          <w:sz w:val="28"/>
          <w:szCs w:val="28"/>
          <w:lang w:val="zh-CN"/>
        </w:rPr>
        <w:t>数量</w:t>
      </w:r>
      <w:r>
        <w:rPr>
          <w:rFonts w:ascii="仿宋_GB2312" w:eastAsia="仿宋_GB2312" w:cs="仿宋_GB2312" w:hint="eastAsia"/>
          <w:sz w:val="28"/>
          <w:szCs w:val="28"/>
        </w:rPr>
        <w:t>自行平仓时，期货公司应当对该客户进行强行平仓。参考原则如下：</w:t>
      </w:r>
    </w:p>
    <w:p w:rsidR="00173848" w:rsidRDefault="00FC3217" w:rsidP="00021BE0">
      <w:pPr>
        <w:widowControl/>
        <w:spacing w:beforeLines="50" w:afterLines="50"/>
        <w:ind w:firstLineChars="200" w:firstLine="560"/>
        <w:rPr>
          <w:rFonts w:ascii="仿宋_GB2312" w:eastAsia="仿宋_GB2312" w:cs="仿宋_GB2312"/>
          <w:sz w:val="28"/>
          <w:szCs w:val="28"/>
        </w:rPr>
      </w:pPr>
      <w:r>
        <w:rPr>
          <w:rFonts w:ascii="仿宋_GB2312" w:eastAsia="仿宋_GB2312" w:cs="仿宋_GB2312" w:hint="eastAsia"/>
          <w:sz w:val="28"/>
          <w:szCs w:val="28"/>
        </w:rPr>
        <w:t>1、对持有备兑证券所对应合约的账户，期货公司应按照备兑证券不足数量由大到小的顺序选取账户作为平仓账户；</w:t>
      </w:r>
    </w:p>
    <w:p w:rsidR="00173848" w:rsidRDefault="00FC3217" w:rsidP="00021BE0">
      <w:pPr>
        <w:widowControl/>
        <w:spacing w:beforeLines="50" w:afterLines="50"/>
        <w:ind w:firstLineChars="200" w:firstLine="560"/>
        <w:rPr>
          <w:rFonts w:ascii="仿宋_GB2312" w:eastAsia="仿宋_GB2312" w:cs="仿宋_GB2312"/>
          <w:sz w:val="28"/>
          <w:szCs w:val="28"/>
        </w:rPr>
      </w:pPr>
      <w:r>
        <w:rPr>
          <w:rFonts w:ascii="仿宋_GB2312" w:eastAsia="仿宋_GB2312" w:cs="仿宋_GB2312" w:hint="eastAsia"/>
          <w:sz w:val="28"/>
          <w:szCs w:val="28"/>
        </w:rPr>
        <w:t>2、再按照上一交易日收盘后备兑证券不足账户内对应合约持仓量由大到小的顺序选取平仓合约。</w:t>
      </w:r>
    </w:p>
    <w:p w:rsidR="00173848" w:rsidRDefault="00FC3217" w:rsidP="00021BE0">
      <w:pPr>
        <w:widowControl/>
        <w:spacing w:beforeLines="50" w:afterLines="50"/>
        <w:ind w:firstLineChars="200" w:firstLine="560"/>
        <w:rPr>
          <w:rFonts w:ascii="仿宋_GB2312" w:eastAsia="仿宋_GB2312" w:hAnsi="宋体" w:cs="仿宋_GB2312"/>
          <w:sz w:val="28"/>
          <w:szCs w:val="28"/>
        </w:rPr>
      </w:pPr>
      <w:r>
        <w:rPr>
          <w:rFonts w:ascii="仿宋_GB2312" w:eastAsia="仿宋_GB2312" w:hAnsi="宋体" w:cs="仿宋_GB2312" w:hint="eastAsia"/>
          <w:sz w:val="28"/>
          <w:szCs w:val="28"/>
        </w:rPr>
        <w:t>（三）平仓流程</w:t>
      </w:r>
    </w:p>
    <w:p w:rsidR="00173848" w:rsidRDefault="00FC3217" w:rsidP="00021BE0">
      <w:pPr>
        <w:widowControl/>
        <w:spacing w:beforeLines="50" w:afterLines="50"/>
        <w:ind w:firstLineChars="200" w:firstLine="560"/>
        <w:rPr>
          <w:rFonts w:ascii="仿宋_GB2312" w:eastAsia="仿宋_GB2312" w:cs="仿宋_GB2312"/>
          <w:sz w:val="28"/>
          <w:szCs w:val="28"/>
        </w:rPr>
      </w:pPr>
      <w:r>
        <w:rPr>
          <w:rFonts w:ascii="仿宋_GB2312" w:eastAsia="仿宋_GB2312" w:cs="仿宋_GB2312" w:hint="eastAsia"/>
          <w:sz w:val="28"/>
          <w:szCs w:val="28"/>
        </w:rPr>
        <w:t>1、未收到中国结算强平通知书情况下期货公司处理流程</w:t>
      </w:r>
    </w:p>
    <w:p w:rsidR="00173848" w:rsidRDefault="00FC3217" w:rsidP="00021BE0">
      <w:pPr>
        <w:widowControl/>
        <w:spacing w:beforeLines="50" w:afterLines="50"/>
        <w:ind w:firstLineChars="200" w:firstLine="560"/>
        <w:rPr>
          <w:rFonts w:ascii="仿宋_GB2312" w:eastAsia="仿宋_GB2312" w:cs="仿宋_GB2312"/>
          <w:sz w:val="28"/>
          <w:szCs w:val="28"/>
        </w:rPr>
      </w:pPr>
      <w:r>
        <w:rPr>
          <w:rFonts w:ascii="仿宋_GB2312" w:eastAsia="仿宋_GB2312" w:cs="仿宋_GB2312" w:hint="eastAsia"/>
          <w:sz w:val="28"/>
          <w:szCs w:val="28"/>
        </w:rPr>
        <w:t>期货公司盘中应对客户备兑证券情况进行日间监控。对于当日盘中客户备兑证券数量不足的，期货公司应及时以电话、邮件、短信、交易端提醒等形式</w:t>
      </w:r>
      <w:r>
        <w:rPr>
          <w:rFonts w:ascii="仿宋_GB2312" w:eastAsia="仿宋_GB2312" w:hint="eastAsia"/>
          <w:sz w:val="28"/>
          <w:szCs w:val="28"/>
        </w:rPr>
        <w:t>（至少采用两种形式）</w:t>
      </w:r>
      <w:r>
        <w:rPr>
          <w:rFonts w:ascii="仿宋_GB2312" w:eastAsia="仿宋_GB2312" w:cs="仿宋_GB2312" w:hint="eastAsia"/>
          <w:sz w:val="28"/>
          <w:szCs w:val="28"/>
        </w:rPr>
        <w:t>向客户发送“补券或自行平</w:t>
      </w:r>
      <w:r>
        <w:rPr>
          <w:rFonts w:ascii="仿宋_GB2312" w:eastAsia="仿宋_GB2312" w:cs="仿宋_GB2312" w:hint="eastAsia"/>
          <w:sz w:val="28"/>
          <w:szCs w:val="28"/>
        </w:rPr>
        <w:lastRenderedPageBreak/>
        <w:t>仓通知”，要求客户于在约定时间前补足备兑备用证券或对不足部分</w:t>
      </w:r>
      <w:r>
        <w:rPr>
          <w:rFonts w:ascii="仿宋_GB2312" w:eastAsia="仿宋_GB2312" w:cs="仿宋_GB2312" w:hint="eastAsia"/>
          <w:kern w:val="0"/>
          <w:sz w:val="28"/>
          <w:szCs w:val="28"/>
          <w:lang w:val="zh-CN"/>
        </w:rPr>
        <w:t>数量</w:t>
      </w:r>
      <w:r>
        <w:rPr>
          <w:rFonts w:ascii="仿宋_GB2312" w:eastAsia="仿宋_GB2312" w:cs="仿宋_GB2312" w:hint="eastAsia"/>
          <w:sz w:val="28"/>
          <w:szCs w:val="28"/>
        </w:rPr>
        <w:t>自行平仓。</w:t>
      </w:r>
    </w:p>
    <w:p w:rsidR="00173848" w:rsidRDefault="00FC3217" w:rsidP="00021BE0">
      <w:pPr>
        <w:spacing w:beforeLines="50" w:afterLines="50"/>
        <w:ind w:firstLineChars="200" w:firstLine="560"/>
        <w:rPr>
          <w:rFonts w:ascii="仿宋_GB2312" w:eastAsia="仿宋_GB2312" w:cs="仿宋_GB2312"/>
          <w:sz w:val="28"/>
          <w:szCs w:val="28"/>
        </w:rPr>
      </w:pPr>
      <w:r>
        <w:rPr>
          <w:rFonts w:ascii="仿宋_GB2312" w:eastAsia="仿宋_GB2312" w:cs="仿宋_GB2312" w:hint="eastAsia"/>
          <w:sz w:val="28"/>
          <w:szCs w:val="28"/>
        </w:rPr>
        <w:t>2、收到中国结算强平通知书情况下期货公司发起的强平</w:t>
      </w:r>
    </w:p>
    <w:p w:rsidR="00173848" w:rsidRDefault="00FC3217" w:rsidP="00021BE0">
      <w:pPr>
        <w:spacing w:beforeLines="50" w:afterLines="50"/>
        <w:ind w:firstLineChars="200" w:firstLine="560"/>
        <w:rPr>
          <w:rFonts w:ascii="仿宋_GB2312" w:eastAsia="仿宋_GB2312" w:cs="仿宋_GB2312"/>
          <w:sz w:val="28"/>
          <w:szCs w:val="28"/>
        </w:rPr>
      </w:pPr>
      <w:r>
        <w:rPr>
          <w:rFonts w:ascii="仿宋_GB2312" w:eastAsia="仿宋_GB2312" w:cs="仿宋_GB2312" w:hint="eastAsia"/>
          <w:sz w:val="28"/>
          <w:szCs w:val="28"/>
        </w:rPr>
        <w:t>期货公司在当日盘后收到中国结算备兑不足强平通知书的，相关期货公司应在收到通知书后立即进行自查并确定备兑证券数量不足的客户账户，以电话、邮件、短信、交易端提醒等形式</w:t>
      </w:r>
      <w:r>
        <w:rPr>
          <w:rFonts w:ascii="仿宋_GB2312" w:eastAsia="仿宋_GB2312" w:hint="eastAsia"/>
          <w:sz w:val="28"/>
          <w:szCs w:val="28"/>
        </w:rPr>
        <w:t>（至少采用两种形式）</w:t>
      </w:r>
      <w:r>
        <w:rPr>
          <w:rFonts w:ascii="仿宋_GB2312" w:eastAsia="仿宋_GB2312" w:cs="仿宋_GB2312" w:hint="eastAsia"/>
          <w:sz w:val="28"/>
          <w:szCs w:val="28"/>
        </w:rPr>
        <w:t>向客户发送“强行平仓通知”，并要求客户在下一交易日上午约定时间（比如10:00）前补足备兑备用证券或对不足部分</w:t>
      </w:r>
      <w:r>
        <w:rPr>
          <w:rFonts w:ascii="仿宋_GB2312" w:eastAsia="仿宋_GB2312" w:cs="仿宋_GB2312" w:hint="eastAsia"/>
          <w:kern w:val="0"/>
          <w:sz w:val="28"/>
          <w:szCs w:val="28"/>
          <w:lang w:val="zh-CN"/>
        </w:rPr>
        <w:t>数量</w:t>
      </w:r>
      <w:r>
        <w:rPr>
          <w:rFonts w:ascii="仿宋_GB2312" w:eastAsia="仿宋_GB2312" w:cs="仿宋_GB2312" w:hint="eastAsia"/>
          <w:sz w:val="28"/>
          <w:szCs w:val="28"/>
        </w:rPr>
        <w:t>自行平仓。在期货公司约定时间，若客户没有补足备兑备用证券或未能对不足部分</w:t>
      </w:r>
      <w:r>
        <w:rPr>
          <w:rFonts w:ascii="仿宋_GB2312" w:eastAsia="仿宋_GB2312" w:cs="仿宋_GB2312" w:hint="eastAsia"/>
          <w:kern w:val="0"/>
          <w:sz w:val="28"/>
          <w:szCs w:val="28"/>
          <w:lang w:val="zh-CN"/>
        </w:rPr>
        <w:t>数量</w:t>
      </w:r>
      <w:r>
        <w:rPr>
          <w:rFonts w:ascii="仿宋_GB2312" w:eastAsia="仿宋_GB2312" w:cs="仿宋_GB2312" w:hint="eastAsia"/>
          <w:sz w:val="28"/>
          <w:szCs w:val="28"/>
        </w:rPr>
        <w:t>自行平仓，期货公司应根据与客户约定的强行平仓原则在约定时间对客户账户执行强行平仓，确保符合中国结算或者上交所规定。</w:t>
      </w:r>
    </w:p>
    <w:p w:rsidR="00173848" w:rsidRDefault="00FC3217" w:rsidP="00021BE0">
      <w:pPr>
        <w:spacing w:beforeLines="50" w:afterLines="50"/>
        <w:ind w:firstLineChars="200" w:firstLine="560"/>
        <w:rPr>
          <w:rFonts w:ascii="仿宋_GB2312" w:eastAsia="仿宋_GB2312" w:cs="仿宋_GB2312"/>
          <w:sz w:val="28"/>
          <w:szCs w:val="28"/>
        </w:rPr>
      </w:pPr>
      <w:r>
        <w:rPr>
          <w:rFonts w:ascii="仿宋_GB2312" w:eastAsia="仿宋_GB2312" w:cs="仿宋_GB2312" w:hint="eastAsia"/>
          <w:sz w:val="28"/>
          <w:szCs w:val="28"/>
        </w:rPr>
        <w:t>如收到通知书的次一交易日上午，全部合约停牌（即市场停市）且下午有恢复交易时，期货公司应当督促客户补足备兑备用证券或在下午恢复交易后及时进行强行平仓，若日终备兑证券不足的情况消除，所司将不进行备兑证券不足强行平仓；若日终备兑证券仍不足，中国结算将向相关期货公司发送备兑证券不足强平通知书。全天市场停市下，强行平仓流程顺延至恢复交易日首日。</w:t>
      </w:r>
    </w:p>
    <w:p w:rsidR="00173848" w:rsidRDefault="00FC3217" w:rsidP="00021BE0">
      <w:pPr>
        <w:widowControl/>
        <w:spacing w:beforeLines="50" w:afterLines="50"/>
        <w:ind w:firstLineChars="200" w:firstLine="560"/>
        <w:rPr>
          <w:rFonts w:ascii="仿宋_GB2312" w:eastAsia="仿宋_GB2312" w:hAnsi="宋体" w:cs="仿宋_GB2312"/>
          <w:sz w:val="28"/>
          <w:szCs w:val="28"/>
        </w:rPr>
      </w:pPr>
      <w:r>
        <w:rPr>
          <w:rFonts w:ascii="仿宋_GB2312" w:eastAsia="仿宋_GB2312" w:hAnsi="宋体" w:cs="仿宋_GB2312" w:hint="eastAsia"/>
          <w:sz w:val="28"/>
          <w:szCs w:val="28"/>
        </w:rPr>
        <w:t>（四）其他</w:t>
      </w:r>
    </w:p>
    <w:p w:rsidR="00173848" w:rsidRDefault="00FC3217" w:rsidP="00021BE0">
      <w:pPr>
        <w:widowControl/>
        <w:spacing w:beforeLines="50" w:afterLines="50"/>
        <w:ind w:firstLineChars="200" w:firstLine="560"/>
        <w:rPr>
          <w:rFonts w:ascii="仿宋_GB2312" w:eastAsia="仿宋_GB2312" w:cs="仿宋_GB2312"/>
          <w:sz w:val="28"/>
          <w:szCs w:val="28"/>
        </w:rPr>
      </w:pPr>
      <w:r>
        <w:rPr>
          <w:rFonts w:ascii="仿宋_GB2312" w:eastAsia="仿宋_GB2312" w:cs="仿宋_GB2312" w:hint="eastAsia"/>
          <w:sz w:val="28"/>
          <w:szCs w:val="28"/>
        </w:rPr>
        <w:t>除权除息日客户现货账户备兑备用证券数量不足，但存在在途数量（配股送股未上市流通的），且客户备兑备用证券数量与在途数量</w:t>
      </w:r>
      <w:r>
        <w:rPr>
          <w:rFonts w:ascii="仿宋_GB2312" w:eastAsia="仿宋_GB2312" w:cs="仿宋_GB2312" w:hint="eastAsia"/>
          <w:sz w:val="28"/>
          <w:szCs w:val="28"/>
        </w:rPr>
        <w:lastRenderedPageBreak/>
        <w:t>合并计算后足额的，该客户可视为除权除息日备兑证券数量足额。期货公司不需要在除权除息日通知客户进行补券或自行平仓，或进行强行平仓操作。客户备兑备用证券数量与在途数量合并计算后仍不足的，需要通知客户补足不足部分。在途数量仅能作为已有的备兑持仓的备兑备用证券，不能用于备兑新开仓。</w:t>
      </w:r>
    </w:p>
    <w:p w:rsidR="00173848" w:rsidRDefault="00FC3217" w:rsidP="00021BE0">
      <w:pPr>
        <w:widowControl/>
        <w:spacing w:beforeLines="50" w:afterLines="50"/>
        <w:ind w:firstLineChars="200" w:firstLine="560"/>
        <w:rPr>
          <w:rFonts w:ascii="仿宋_GB2312" w:eastAsia="仿宋_GB2312" w:cs="仿宋_GB2312"/>
          <w:sz w:val="28"/>
          <w:szCs w:val="28"/>
        </w:rPr>
      </w:pPr>
      <w:r>
        <w:rPr>
          <w:rFonts w:ascii="仿宋_GB2312" w:eastAsia="仿宋_GB2312" w:cs="仿宋_GB2312" w:hint="eastAsia"/>
          <w:sz w:val="28"/>
          <w:szCs w:val="28"/>
        </w:rPr>
        <w:t xml:space="preserve">期货公司应设置专门岗位实时关注交易日发生送股、配股等权益类变动的合约标的，提前提请客户注意，并在除权除息日前一交易日收盘后，根据合约标的当日收盘价，及时提醒和通知客户注意补券及具体补券数量。 </w:t>
      </w:r>
    </w:p>
    <w:p w:rsidR="00FC3217" w:rsidRDefault="00FC3217" w:rsidP="00FC3217">
      <w:pPr>
        <w:pStyle w:val="2"/>
        <w:ind w:firstLine="562"/>
      </w:pPr>
      <w:bookmarkStart w:id="318" w:name="_Toc408665045"/>
      <w:bookmarkStart w:id="319" w:name="_Toc5626"/>
      <w:bookmarkStart w:id="320" w:name="_Toc10805"/>
      <w:bookmarkStart w:id="321" w:name="_Toc10719"/>
      <w:bookmarkStart w:id="322" w:name="_Toc16886"/>
      <w:bookmarkStart w:id="323" w:name="_Toc23946995"/>
      <w:r>
        <w:rPr>
          <w:rFonts w:hint="eastAsia"/>
        </w:rPr>
        <w:t>三、持仓超限平仓</w:t>
      </w:r>
      <w:bookmarkEnd w:id="318"/>
      <w:bookmarkEnd w:id="319"/>
      <w:bookmarkEnd w:id="320"/>
      <w:bookmarkEnd w:id="321"/>
      <w:bookmarkEnd w:id="322"/>
      <w:bookmarkEnd w:id="323"/>
    </w:p>
    <w:p w:rsidR="00FC3217" w:rsidRDefault="00FC3217" w:rsidP="00021BE0">
      <w:pPr>
        <w:spacing w:beforeLines="50" w:afterLines="50"/>
        <w:ind w:firstLineChars="200" w:firstLine="560"/>
        <w:rPr>
          <w:rFonts w:ascii="仿宋_GB2312" w:eastAsia="仿宋_GB2312" w:hAnsi="宋体" w:cs="仿宋_GB2312"/>
          <w:sz w:val="28"/>
          <w:szCs w:val="28"/>
        </w:rPr>
      </w:pPr>
      <w:r>
        <w:rPr>
          <w:rFonts w:ascii="仿宋_GB2312" w:eastAsia="仿宋_GB2312" w:hAnsi="宋体" w:cs="仿宋_GB2312" w:hint="eastAsia"/>
          <w:sz w:val="28"/>
          <w:szCs w:val="28"/>
        </w:rPr>
        <w:t>（一）触发条件</w:t>
      </w:r>
    </w:p>
    <w:p w:rsidR="00173848" w:rsidRDefault="00FC3217" w:rsidP="00021BE0">
      <w:pPr>
        <w:spacing w:beforeLines="50" w:afterLines="50"/>
        <w:ind w:firstLineChars="200" w:firstLine="560"/>
        <w:rPr>
          <w:rFonts w:ascii="仿宋_GB2312" w:eastAsia="仿宋_GB2312" w:cs="仿宋_GB2312"/>
          <w:sz w:val="28"/>
          <w:szCs w:val="28"/>
        </w:rPr>
      </w:pPr>
      <w:r>
        <w:rPr>
          <w:rFonts w:ascii="仿宋_GB2312" w:eastAsia="仿宋_GB2312" w:cs="仿宋_GB2312" w:hint="eastAsia"/>
          <w:sz w:val="28"/>
          <w:szCs w:val="28"/>
        </w:rPr>
        <w:t>客户单个合约品种超过期货公司与客户约定的持仓限额，且未能在规定时间内自行平仓，期货公司可实施强行平仓。</w:t>
      </w:r>
    </w:p>
    <w:p w:rsidR="00173848" w:rsidRDefault="00FC3217" w:rsidP="00021BE0">
      <w:pPr>
        <w:spacing w:beforeLines="50" w:afterLines="50"/>
        <w:ind w:firstLineChars="200" w:firstLine="560"/>
        <w:rPr>
          <w:rFonts w:ascii="仿宋_GB2312" w:eastAsia="仿宋_GB2312" w:cs="仿宋_GB2312"/>
          <w:sz w:val="28"/>
          <w:szCs w:val="28"/>
        </w:rPr>
      </w:pPr>
      <w:r>
        <w:rPr>
          <w:rFonts w:ascii="仿宋_GB2312" w:eastAsia="仿宋_GB2312" w:cs="仿宋_GB2312" w:hint="eastAsia"/>
          <w:sz w:val="28"/>
          <w:szCs w:val="28"/>
        </w:rPr>
        <w:t>由于上交所</w:t>
      </w:r>
      <w:r>
        <w:rPr>
          <w:rFonts w:ascii="仿宋_GB2312" w:eastAsia="仿宋_GB2312" w:hAnsi="宋体" w:cs="仿宋_GB2312" w:hint="eastAsia"/>
          <w:bCs/>
          <w:sz w:val="28"/>
          <w:szCs w:val="28"/>
        </w:rPr>
        <w:t>采取风险控制措施等原因降低市场主体持仓限额、期货公司根据经纪合同约定对客户的持仓限额作出调整或者因</w:t>
      </w:r>
      <w:r>
        <w:rPr>
          <w:rFonts w:ascii="仿宋_GB2312" w:eastAsia="仿宋_GB2312" w:cs="仿宋_GB2312" w:hint="eastAsia"/>
          <w:sz w:val="28"/>
          <w:szCs w:val="28"/>
        </w:rPr>
        <w:t>客户申请的持仓限额到期导致客户持仓超限，客户可以自行平仓，期货公司不应对客户自行平仓或对客户的超额持仓进行强行平仓，但对客户开仓将按新的持仓限额进行限制。</w:t>
      </w:r>
    </w:p>
    <w:p w:rsidR="00173848" w:rsidRDefault="00FC3217" w:rsidP="00021BE0">
      <w:pPr>
        <w:spacing w:beforeLines="50" w:afterLines="50"/>
        <w:ind w:firstLineChars="200" w:firstLine="560"/>
        <w:rPr>
          <w:rFonts w:ascii="仿宋_GB2312" w:eastAsia="仿宋_GB2312" w:hAnsi="宋体" w:cs="仿宋_GB2312"/>
          <w:sz w:val="28"/>
          <w:szCs w:val="28"/>
        </w:rPr>
      </w:pPr>
      <w:r>
        <w:rPr>
          <w:rFonts w:ascii="仿宋_GB2312" w:eastAsia="仿宋_GB2312" w:hAnsi="宋体" w:cs="仿宋_GB2312" w:hint="eastAsia"/>
          <w:sz w:val="28"/>
          <w:szCs w:val="28"/>
        </w:rPr>
        <w:t>（二）平仓原则</w:t>
      </w:r>
    </w:p>
    <w:p w:rsidR="00173848" w:rsidRDefault="00FC3217" w:rsidP="00021BE0">
      <w:pPr>
        <w:spacing w:beforeLines="50" w:afterLines="50"/>
        <w:ind w:firstLineChars="200" w:firstLine="560"/>
        <w:rPr>
          <w:rFonts w:ascii="仿宋_GB2312" w:eastAsia="仿宋_GB2312" w:cs="仿宋_GB2312"/>
          <w:sz w:val="28"/>
          <w:szCs w:val="28"/>
        </w:rPr>
      </w:pPr>
      <w:r>
        <w:rPr>
          <w:rFonts w:ascii="仿宋_GB2312" w:eastAsia="仿宋_GB2312" w:cs="仿宋_GB2312" w:hint="eastAsia"/>
          <w:sz w:val="28"/>
          <w:szCs w:val="28"/>
        </w:rPr>
        <w:t>对单个合约品种持仓超限的，待平仓合约选择范围为在该合约品</w:t>
      </w:r>
      <w:r>
        <w:rPr>
          <w:rFonts w:ascii="仿宋_GB2312" w:eastAsia="仿宋_GB2312" w:cs="仿宋_GB2312" w:hint="eastAsia"/>
          <w:sz w:val="28"/>
          <w:szCs w:val="28"/>
        </w:rPr>
        <w:lastRenderedPageBreak/>
        <w:t>种中，优先选取总持仓量大的合约作为待平仓合约。</w:t>
      </w:r>
    </w:p>
    <w:p w:rsidR="00173848" w:rsidRDefault="00FC3217" w:rsidP="00021BE0">
      <w:pPr>
        <w:spacing w:beforeLines="50" w:afterLines="50"/>
        <w:ind w:firstLineChars="200" w:firstLine="560"/>
        <w:rPr>
          <w:rFonts w:ascii="仿宋_GB2312" w:eastAsia="仿宋_GB2312" w:cs="仿宋_GB2312"/>
          <w:sz w:val="28"/>
          <w:szCs w:val="28"/>
        </w:rPr>
      </w:pPr>
      <w:r>
        <w:rPr>
          <w:rFonts w:ascii="仿宋_GB2312" w:eastAsia="仿宋_GB2312" w:cs="仿宋_GB2312" w:hint="eastAsia"/>
          <w:sz w:val="28"/>
          <w:szCs w:val="28"/>
        </w:rPr>
        <w:t>对同一合约义务仓进行强行平仓的，先对非备兑持仓进行强行平仓。</w:t>
      </w:r>
    </w:p>
    <w:p w:rsidR="00173848" w:rsidRDefault="00FC3217" w:rsidP="00021BE0">
      <w:pPr>
        <w:spacing w:beforeLines="50" w:afterLines="50"/>
        <w:ind w:firstLineChars="200" w:firstLine="560"/>
        <w:rPr>
          <w:rFonts w:ascii="仿宋_GB2312" w:eastAsia="仿宋_GB2312" w:hAnsi="宋体" w:cs="仿宋_GB2312"/>
          <w:sz w:val="28"/>
          <w:szCs w:val="28"/>
        </w:rPr>
      </w:pPr>
      <w:r>
        <w:rPr>
          <w:rFonts w:ascii="仿宋_GB2312" w:eastAsia="仿宋_GB2312" w:hAnsi="宋体" w:cs="仿宋_GB2312" w:hint="eastAsia"/>
          <w:sz w:val="28"/>
          <w:szCs w:val="28"/>
        </w:rPr>
        <w:t>（三）平仓流程</w:t>
      </w:r>
    </w:p>
    <w:p w:rsidR="00173848" w:rsidRDefault="00FC3217" w:rsidP="00021BE0">
      <w:pPr>
        <w:spacing w:beforeLines="50" w:afterLines="50"/>
        <w:ind w:firstLineChars="200" w:firstLine="560"/>
        <w:rPr>
          <w:rFonts w:ascii="仿宋_GB2312" w:eastAsia="仿宋_GB2312" w:cs="仿宋_GB2312"/>
          <w:b/>
          <w:sz w:val="28"/>
          <w:szCs w:val="28"/>
        </w:rPr>
      </w:pPr>
      <w:r>
        <w:rPr>
          <w:rFonts w:ascii="仿宋_GB2312" w:eastAsia="仿宋_GB2312" w:cs="仿宋_GB2312" w:hint="eastAsia"/>
          <w:sz w:val="28"/>
          <w:szCs w:val="28"/>
        </w:rPr>
        <w:t>对持仓超限需要进行强行平仓的，期货公司应以电话、邮件、短信、交易端提醒等形式向客户发送“强行平仓通知书”，并要求客户在规定时间前自行平仓，否则公司将于该时间实施强行平仓。</w:t>
      </w:r>
    </w:p>
    <w:p w:rsidR="00FC3217" w:rsidRDefault="00FC3217" w:rsidP="00FC3217">
      <w:pPr>
        <w:pStyle w:val="2"/>
        <w:ind w:firstLine="562"/>
      </w:pPr>
      <w:bookmarkStart w:id="324" w:name="_Toc9432"/>
      <w:bookmarkStart w:id="325" w:name="_Toc24367"/>
      <w:bookmarkStart w:id="326" w:name="_Toc408665046"/>
      <w:bookmarkStart w:id="327" w:name="_Toc20167"/>
      <w:bookmarkStart w:id="328" w:name="_Toc8500"/>
      <w:bookmarkStart w:id="329" w:name="_Toc23946996"/>
      <w:r>
        <w:rPr>
          <w:rFonts w:hint="eastAsia"/>
        </w:rPr>
        <w:t>四、强平成交回报</w:t>
      </w:r>
      <w:r>
        <w:rPr>
          <w:rFonts w:hint="eastAsia"/>
        </w:rPr>
        <w:t>PBU</w:t>
      </w:r>
      <w:r>
        <w:rPr>
          <w:rFonts w:hint="eastAsia"/>
        </w:rPr>
        <w:t>管理</w:t>
      </w:r>
      <w:bookmarkEnd w:id="324"/>
      <w:bookmarkEnd w:id="325"/>
      <w:bookmarkEnd w:id="326"/>
      <w:bookmarkEnd w:id="327"/>
      <w:bookmarkEnd w:id="328"/>
      <w:bookmarkEnd w:id="329"/>
    </w:p>
    <w:p w:rsidR="00FC3217" w:rsidRDefault="00FC3217" w:rsidP="00FC3217">
      <w:pPr>
        <w:ind w:firstLineChars="200" w:firstLine="560"/>
        <w:rPr>
          <w:rFonts w:ascii="仿宋_GB2312" w:eastAsia="仿宋_GB2312" w:cs="仿宋_GB2312"/>
          <w:sz w:val="28"/>
          <w:szCs w:val="28"/>
        </w:rPr>
      </w:pPr>
      <w:r>
        <w:rPr>
          <w:rFonts w:ascii="仿宋_GB2312" w:eastAsia="仿宋_GB2312" w:cs="仿宋_GB2312" w:hint="eastAsia"/>
          <w:sz w:val="28"/>
          <w:szCs w:val="28"/>
        </w:rPr>
        <w:t>当期货公司向上交所申请股票期权交易权限时，需同时向上交所申报强行平仓成交回报指定PBU，用于实时接收由上交所进行强行平仓的成交回报，该PBU也同时作为日终期货公司向上交所报备相关数据指定的PBU。其中，期货公司应当分别就期权经纪业务和自营业务各申报一个强行平仓成交回报指定PBU。</w:t>
      </w:r>
    </w:p>
    <w:p w:rsidR="00FC3217" w:rsidRDefault="00FC3217" w:rsidP="00FC3217">
      <w:pPr>
        <w:ind w:firstLineChars="200" w:firstLine="560"/>
        <w:rPr>
          <w:rFonts w:ascii="仿宋_GB2312" w:eastAsia="仿宋_GB2312" w:cs="仿宋_GB2312"/>
          <w:sz w:val="28"/>
          <w:szCs w:val="28"/>
        </w:rPr>
      </w:pPr>
      <w:r>
        <w:rPr>
          <w:rFonts w:ascii="仿宋_GB2312" w:eastAsia="仿宋_GB2312" w:cs="仿宋_GB2312" w:hint="eastAsia"/>
          <w:sz w:val="28"/>
          <w:szCs w:val="28"/>
        </w:rPr>
        <w:t>期货公司可申请修改经纪业务或自营业务强行平仓成交回报指定PBU。申请修改PBU时，登陆上交所会籍系统进行更新提交。</w:t>
      </w:r>
    </w:p>
    <w:p w:rsidR="00FC3217" w:rsidRDefault="00FC3217" w:rsidP="00FC3217">
      <w:pPr>
        <w:ind w:firstLineChars="200" w:firstLine="560"/>
        <w:rPr>
          <w:rFonts w:ascii="仿宋_GB2312" w:eastAsia="仿宋_GB2312" w:cs="仿宋_GB2312"/>
          <w:sz w:val="28"/>
          <w:szCs w:val="28"/>
        </w:rPr>
      </w:pPr>
      <w:r>
        <w:rPr>
          <w:rFonts w:ascii="仿宋_GB2312" w:eastAsia="仿宋_GB2312" w:cs="仿宋_GB2312" w:hint="eastAsia"/>
          <w:sz w:val="28"/>
          <w:szCs w:val="28"/>
        </w:rPr>
        <w:t>期货公司向上交所申请注销强行平仓成交回报指定PBU之前，应当先办理强行平仓成交回报指定PBU的变更业务。</w:t>
      </w:r>
    </w:p>
    <w:p w:rsidR="00FC3217" w:rsidRDefault="00FC3217" w:rsidP="00FC3217">
      <w:pPr>
        <w:pStyle w:val="2"/>
        <w:ind w:firstLine="562"/>
      </w:pPr>
      <w:bookmarkStart w:id="330" w:name="_Toc11124"/>
      <w:bookmarkStart w:id="331" w:name="_Toc17889"/>
      <w:bookmarkStart w:id="332" w:name="_Toc7711"/>
      <w:bookmarkStart w:id="333" w:name="_Toc30357"/>
      <w:bookmarkStart w:id="334" w:name="_Toc406660285"/>
      <w:bookmarkStart w:id="335" w:name="_Toc408665047"/>
      <w:bookmarkStart w:id="336" w:name="_Toc23946997"/>
      <w:r>
        <w:rPr>
          <w:rFonts w:hint="eastAsia"/>
        </w:rPr>
        <w:t>五、强行平仓申报订单指令</w:t>
      </w:r>
      <w:bookmarkEnd w:id="330"/>
      <w:bookmarkEnd w:id="331"/>
      <w:bookmarkEnd w:id="332"/>
      <w:bookmarkEnd w:id="333"/>
      <w:bookmarkEnd w:id="334"/>
      <w:bookmarkEnd w:id="335"/>
      <w:bookmarkEnd w:id="336"/>
    </w:p>
    <w:p w:rsidR="00FC3217" w:rsidRDefault="00FC3217" w:rsidP="00021BE0">
      <w:pPr>
        <w:spacing w:beforeLines="50" w:afterLines="50"/>
        <w:ind w:firstLineChars="200" w:firstLine="560"/>
        <w:rPr>
          <w:rFonts w:ascii="仿宋_GB2312" w:eastAsia="仿宋_GB2312" w:cs="仿宋_GB2312"/>
          <w:sz w:val="28"/>
          <w:szCs w:val="28"/>
        </w:rPr>
      </w:pPr>
      <w:r>
        <w:rPr>
          <w:rFonts w:ascii="仿宋_GB2312" w:eastAsia="仿宋_GB2312" w:cs="仿宋_GB2312" w:hint="eastAsia"/>
          <w:sz w:val="28"/>
          <w:szCs w:val="28"/>
        </w:rPr>
        <w:t>强行平仓申报订单指令应严格按照相关技术接口要求执行。经纪业务中由</w:t>
      </w:r>
      <w:r>
        <w:rPr>
          <w:rFonts w:ascii="仿宋_GB2312" w:eastAsia="仿宋_GB2312" w:cs="仿宋_GB2312" w:hint="eastAsia"/>
          <w:color w:val="000000"/>
          <w:sz w:val="28"/>
          <w:szCs w:val="28"/>
        </w:rPr>
        <w:t>期权经营机构</w:t>
      </w:r>
      <w:r>
        <w:rPr>
          <w:rFonts w:ascii="仿宋_GB2312" w:eastAsia="仿宋_GB2312" w:cs="仿宋_GB2312" w:hint="eastAsia"/>
          <w:sz w:val="28"/>
          <w:szCs w:val="28"/>
        </w:rPr>
        <w:t>发起的强行平仓，订单指令为“102=期权经营</w:t>
      </w:r>
      <w:r>
        <w:rPr>
          <w:rFonts w:ascii="仿宋_GB2312" w:eastAsia="仿宋_GB2312" w:cs="仿宋_GB2312" w:hint="eastAsia"/>
          <w:sz w:val="28"/>
          <w:szCs w:val="28"/>
        </w:rPr>
        <w:lastRenderedPageBreak/>
        <w:t>机构发起”，非期权经营机构发起的强行平仓，订单指令根据账户属性填写。</w:t>
      </w:r>
    </w:p>
    <w:p w:rsidR="00FC3217" w:rsidRDefault="00FC3217" w:rsidP="00FC3217">
      <w:pPr>
        <w:pStyle w:val="2"/>
        <w:ind w:firstLine="562"/>
      </w:pPr>
      <w:bookmarkStart w:id="337" w:name="_Toc4355"/>
      <w:bookmarkStart w:id="338" w:name="_Toc31775"/>
      <w:bookmarkStart w:id="339" w:name="_Toc27437"/>
      <w:bookmarkStart w:id="340" w:name="_Toc2539"/>
      <w:bookmarkStart w:id="341" w:name="_Toc408665048"/>
      <w:bookmarkStart w:id="342" w:name="_Toc23946998"/>
      <w:r>
        <w:rPr>
          <w:rFonts w:hint="eastAsia"/>
        </w:rPr>
        <w:t>六、平仓有关的应急处理</w:t>
      </w:r>
      <w:bookmarkEnd w:id="337"/>
      <w:bookmarkEnd w:id="338"/>
      <w:bookmarkEnd w:id="339"/>
      <w:bookmarkEnd w:id="340"/>
      <w:bookmarkEnd w:id="341"/>
      <w:bookmarkEnd w:id="342"/>
    </w:p>
    <w:p w:rsidR="00FC3217" w:rsidRDefault="00FC3217" w:rsidP="00021BE0">
      <w:pPr>
        <w:spacing w:beforeLines="50" w:afterLines="50"/>
        <w:ind w:firstLineChars="200" w:firstLine="560"/>
        <w:rPr>
          <w:rFonts w:ascii="仿宋_GB2312" w:eastAsia="仿宋_GB2312" w:hAnsi="宋体" w:cs="仿宋_GB2312"/>
          <w:sz w:val="28"/>
          <w:szCs w:val="28"/>
        </w:rPr>
      </w:pPr>
      <w:r>
        <w:rPr>
          <w:rFonts w:ascii="仿宋_GB2312" w:eastAsia="仿宋_GB2312" w:hAnsi="宋体" w:cs="仿宋_GB2312" w:hint="eastAsia"/>
          <w:sz w:val="28"/>
          <w:szCs w:val="28"/>
        </w:rPr>
        <w:t>（一）备用机制</w:t>
      </w:r>
    </w:p>
    <w:p w:rsidR="00173848" w:rsidRDefault="00FC3217" w:rsidP="00021BE0">
      <w:pPr>
        <w:spacing w:beforeLines="50" w:afterLines="50"/>
        <w:ind w:firstLineChars="200" w:firstLine="560"/>
        <w:rPr>
          <w:rFonts w:ascii="仿宋_GB2312" w:eastAsia="仿宋_GB2312" w:cs="仿宋_GB2312"/>
          <w:sz w:val="28"/>
          <w:szCs w:val="28"/>
        </w:rPr>
      </w:pPr>
      <w:r>
        <w:rPr>
          <w:rFonts w:ascii="仿宋_GB2312" w:eastAsia="仿宋_GB2312" w:cs="仿宋_GB2312" w:hint="eastAsia"/>
          <w:sz w:val="28"/>
          <w:szCs w:val="28"/>
        </w:rPr>
        <w:t>期货公司强行平仓操作应通过期权业务系统执行。当强行平仓系统出现故障时，期货公司应配置备用机制。</w:t>
      </w:r>
    </w:p>
    <w:p w:rsidR="00173848" w:rsidRDefault="00FC3217" w:rsidP="00021BE0">
      <w:pPr>
        <w:spacing w:beforeLines="50" w:afterLines="50"/>
        <w:ind w:firstLineChars="200" w:firstLine="560"/>
        <w:rPr>
          <w:rFonts w:ascii="仿宋_GB2312" w:eastAsia="仿宋_GB2312" w:hAnsi="宋体" w:cs="仿宋_GB2312"/>
          <w:sz w:val="28"/>
          <w:szCs w:val="28"/>
        </w:rPr>
      </w:pPr>
      <w:r>
        <w:rPr>
          <w:rFonts w:ascii="仿宋_GB2312" w:eastAsia="仿宋_GB2312" w:hAnsi="宋体" w:cs="仿宋_GB2312" w:hint="eastAsia"/>
          <w:sz w:val="28"/>
          <w:szCs w:val="28"/>
        </w:rPr>
        <w:t>（二）期货公司应设置强行平仓错单处理流程</w:t>
      </w:r>
    </w:p>
    <w:p w:rsidR="00173848" w:rsidRDefault="00FC3217" w:rsidP="00021BE0">
      <w:pPr>
        <w:spacing w:beforeLines="50" w:afterLines="50"/>
        <w:ind w:firstLineChars="200" w:firstLine="560"/>
        <w:rPr>
          <w:rFonts w:ascii="仿宋_GB2312" w:eastAsia="仿宋_GB2312" w:cs="仿宋_GB2312"/>
          <w:kern w:val="0"/>
          <w:sz w:val="28"/>
          <w:szCs w:val="28"/>
          <w:lang w:val="zh-CN"/>
        </w:rPr>
      </w:pPr>
      <w:r>
        <w:rPr>
          <w:rFonts w:ascii="仿宋_GB2312" w:eastAsia="仿宋_GB2312" w:cs="仿宋_GB2312" w:hint="eastAsia"/>
          <w:sz w:val="28"/>
          <w:szCs w:val="28"/>
        </w:rPr>
        <w:t>强行平仓错单是指在实施强行平仓过程中，期货公司因误操作等原因，导致的错平、多平的平仓成交单。期货公司应与客户在期权经纪合同中约定强行平仓错单的情形及补偿办法。</w:t>
      </w:r>
    </w:p>
    <w:p w:rsidR="00173848" w:rsidRDefault="00173848" w:rsidP="00021BE0">
      <w:pPr>
        <w:spacing w:beforeLines="50" w:afterLines="50" w:line="360" w:lineRule="auto"/>
        <w:jc w:val="center"/>
        <w:outlineLvl w:val="0"/>
        <w:rPr>
          <w:rFonts w:ascii="黑体" w:eastAsia="黑体" w:hAnsi="黑体"/>
          <w:b/>
          <w:bCs/>
          <w:sz w:val="32"/>
          <w:szCs w:val="32"/>
        </w:rPr>
      </w:pPr>
      <w:bookmarkStart w:id="343" w:name="_Toc408746750"/>
      <w:bookmarkStart w:id="344" w:name="_Toc8064"/>
      <w:bookmarkStart w:id="345" w:name="_Toc15637"/>
      <w:bookmarkStart w:id="346" w:name="_Toc19465"/>
    </w:p>
    <w:p w:rsidR="00173848" w:rsidRDefault="00173848" w:rsidP="00021BE0">
      <w:pPr>
        <w:spacing w:beforeLines="50" w:afterLines="50" w:line="360" w:lineRule="auto"/>
        <w:jc w:val="center"/>
        <w:outlineLvl w:val="0"/>
        <w:rPr>
          <w:rFonts w:ascii="黑体" w:eastAsia="黑体" w:hAnsi="黑体"/>
          <w:b/>
          <w:bCs/>
          <w:sz w:val="32"/>
          <w:szCs w:val="32"/>
        </w:rPr>
      </w:pPr>
    </w:p>
    <w:p w:rsidR="00173848" w:rsidRDefault="00FC3217" w:rsidP="00021BE0">
      <w:pPr>
        <w:pStyle w:val="2"/>
        <w:spacing w:beforeLines="50" w:afterLines="50"/>
        <w:ind w:firstLine="643"/>
        <w:jc w:val="center"/>
        <w:rPr>
          <w:rFonts w:ascii="黑体" w:eastAsia="黑体" w:hAnsi="黑体"/>
          <w:sz w:val="32"/>
        </w:rPr>
      </w:pPr>
      <w:bookmarkStart w:id="347" w:name="_Toc32126"/>
      <w:bookmarkStart w:id="348" w:name="_Toc23946999"/>
      <w:r>
        <w:rPr>
          <w:rFonts w:ascii="黑体" w:eastAsia="黑体" w:hAnsi="黑体" w:hint="eastAsia"/>
          <w:sz w:val="32"/>
        </w:rPr>
        <w:t>第九章 行权交收管理</w:t>
      </w:r>
      <w:bookmarkEnd w:id="343"/>
      <w:bookmarkEnd w:id="344"/>
      <w:bookmarkEnd w:id="345"/>
      <w:bookmarkEnd w:id="346"/>
      <w:bookmarkEnd w:id="347"/>
      <w:bookmarkEnd w:id="348"/>
    </w:p>
    <w:p w:rsidR="00173848" w:rsidRDefault="00FC3217" w:rsidP="00021BE0">
      <w:pPr>
        <w:spacing w:beforeLines="50" w:afterLines="50" w:line="360" w:lineRule="auto"/>
        <w:ind w:firstLineChars="180" w:firstLine="504"/>
        <w:rPr>
          <w:rFonts w:ascii="仿宋_GB2312" w:eastAsia="仿宋_GB2312" w:hAnsi="Times New Roman"/>
          <w:sz w:val="28"/>
          <w:szCs w:val="28"/>
        </w:rPr>
      </w:pPr>
      <w:r>
        <w:rPr>
          <w:rFonts w:ascii="仿宋_GB2312" w:eastAsia="仿宋_GB2312" w:hAnsi="Times New Roman" w:hint="eastAsia"/>
          <w:sz w:val="28"/>
          <w:szCs w:val="28"/>
        </w:rPr>
        <w:t>期货公司在期权合约最后交易日前对临近到期合约、潜在违约风险值进行监控，并对相应客户进行预警；在期权合约行权交收日，对认购期权义务方、认沽期权义务方的交收风险值监控，并采取相应的处置措施。</w:t>
      </w:r>
    </w:p>
    <w:p w:rsidR="00FC3217" w:rsidRDefault="00FC3217" w:rsidP="00FC3217">
      <w:pPr>
        <w:pStyle w:val="2"/>
        <w:ind w:firstLine="562"/>
      </w:pPr>
      <w:bookmarkStart w:id="349" w:name="_Toc22285"/>
      <w:bookmarkStart w:id="350" w:name="_Toc1948"/>
      <w:bookmarkStart w:id="351" w:name="_Toc9178"/>
      <w:bookmarkStart w:id="352" w:name="_Toc408746751"/>
      <w:bookmarkStart w:id="353" w:name="_Toc24781"/>
      <w:bookmarkStart w:id="354" w:name="_Toc23947000"/>
      <w:r>
        <w:rPr>
          <w:rFonts w:hint="eastAsia"/>
        </w:rPr>
        <w:t>一、投资者持仓合约的行权提醒</w:t>
      </w:r>
      <w:bookmarkEnd w:id="349"/>
      <w:bookmarkEnd w:id="350"/>
      <w:bookmarkEnd w:id="351"/>
      <w:bookmarkEnd w:id="352"/>
      <w:bookmarkEnd w:id="353"/>
      <w:bookmarkEnd w:id="354"/>
    </w:p>
    <w:p w:rsidR="00FC3217" w:rsidRDefault="00FC3217" w:rsidP="00021BE0">
      <w:pPr>
        <w:spacing w:beforeLines="50" w:afterLines="50" w:line="360" w:lineRule="auto"/>
        <w:ind w:firstLineChars="180" w:firstLine="504"/>
        <w:rPr>
          <w:rFonts w:ascii="仿宋_GB2312" w:eastAsia="仿宋_GB2312" w:hAnsi="Times New Roman"/>
          <w:sz w:val="28"/>
          <w:szCs w:val="28"/>
        </w:rPr>
      </w:pPr>
      <w:r>
        <w:rPr>
          <w:rFonts w:ascii="仿宋_GB2312" w:eastAsia="仿宋_GB2312" w:hAnsi="Times New Roman" w:hint="eastAsia"/>
          <w:sz w:val="28"/>
          <w:szCs w:val="28"/>
        </w:rPr>
        <w:t>（一）期货公司应在期权合约临近到期日前3个交易日至到期日，</w:t>
      </w:r>
      <w:r>
        <w:rPr>
          <w:rFonts w:ascii="仿宋_GB2312" w:eastAsia="仿宋_GB2312" w:hAnsi="Times New Roman" w:hint="eastAsia"/>
          <w:sz w:val="28"/>
          <w:szCs w:val="28"/>
        </w:rPr>
        <w:lastRenderedPageBreak/>
        <w:t>每日进行交易客户端和以下任意一种方式（短信或邮件）提醒。</w:t>
      </w:r>
    </w:p>
    <w:p w:rsidR="00FC3217" w:rsidRDefault="00FC3217" w:rsidP="00021BE0">
      <w:pPr>
        <w:spacing w:beforeLines="50" w:afterLines="50" w:line="360" w:lineRule="auto"/>
        <w:ind w:firstLineChars="180" w:firstLine="504"/>
        <w:rPr>
          <w:rFonts w:ascii="仿宋_GB2312" w:eastAsia="仿宋_GB2312" w:hAnsi="Times New Roman"/>
          <w:sz w:val="28"/>
          <w:szCs w:val="28"/>
        </w:rPr>
      </w:pPr>
      <w:r>
        <w:rPr>
          <w:rFonts w:ascii="仿宋_GB2312" w:eastAsia="仿宋_GB2312" w:hAnsi="Times New Roman" w:hint="eastAsia"/>
          <w:sz w:val="28"/>
          <w:szCs w:val="28"/>
        </w:rPr>
        <w:t>（二）期货公司可在期权合约临近到期日前5个交易日至到期日，每日对下列投资者进行提醒：（1）持有虚值期权合约的权利方；（2）持有实值期权合约的义务方。</w:t>
      </w:r>
    </w:p>
    <w:p w:rsidR="00FC3217" w:rsidRDefault="00FC3217" w:rsidP="00FC3217">
      <w:pPr>
        <w:pStyle w:val="2"/>
        <w:ind w:firstLine="562"/>
      </w:pPr>
      <w:bookmarkStart w:id="355" w:name="_Toc25829"/>
      <w:bookmarkStart w:id="356" w:name="_Toc408746752"/>
      <w:bookmarkStart w:id="357" w:name="_Toc24909"/>
      <w:bookmarkStart w:id="358" w:name="_Toc17446"/>
      <w:bookmarkStart w:id="359" w:name="_Toc20493"/>
      <w:bookmarkStart w:id="360" w:name="_Toc23947001"/>
      <w:r>
        <w:rPr>
          <w:rFonts w:hint="eastAsia"/>
        </w:rPr>
        <w:t>二、投资者行权及交收日风险管理</w:t>
      </w:r>
      <w:bookmarkEnd w:id="355"/>
      <w:bookmarkEnd w:id="356"/>
      <w:bookmarkEnd w:id="357"/>
      <w:bookmarkEnd w:id="358"/>
      <w:bookmarkEnd w:id="359"/>
      <w:bookmarkEnd w:id="360"/>
    </w:p>
    <w:p w:rsidR="00FC3217" w:rsidRDefault="00FC3217" w:rsidP="00021BE0">
      <w:pPr>
        <w:spacing w:beforeLines="50" w:afterLines="50"/>
        <w:ind w:firstLineChars="180" w:firstLine="504"/>
        <w:rPr>
          <w:rFonts w:ascii="仿宋_GB2312" w:eastAsia="仿宋_GB2312" w:cs="仿宋_GB2312"/>
          <w:sz w:val="28"/>
          <w:szCs w:val="28"/>
        </w:rPr>
      </w:pPr>
      <w:r>
        <w:rPr>
          <w:rFonts w:ascii="仿宋_GB2312" w:eastAsia="仿宋_GB2312" w:cs="仿宋_GB2312" w:hint="eastAsia"/>
          <w:sz w:val="28"/>
          <w:szCs w:val="28"/>
        </w:rPr>
        <w:t>（一）行权日15:00-15:30，投资者可行权数量应为未平仓权利仓数量（包括已申报未成交数量）。</w:t>
      </w:r>
    </w:p>
    <w:p w:rsidR="00173848" w:rsidRDefault="00FC3217" w:rsidP="00021BE0">
      <w:pPr>
        <w:spacing w:beforeLines="50" w:afterLines="50"/>
        <w:ind w:firstLineChars="180" w:firstLine="504"/>
        <w:rPr>
          <w:rFonts w:ascii="仿宋_GB2312" w:eastAsia="仿宋_GB2312" w:cs="仿宋_GB2312"/>
          <w:sz w:val="28"/>
          <w:szCs w:val="28"/>
        </w:rPr>
      </w:pPr>
      <w:r>
        <w:rPr>
          <w:rFonts w:ascii="仿宋_GB2312" w:eastAsia="仿宋_GB2312" w:cs="仿宋_GB2312" w:hint="eastAsia"/>
          <w:sz w:val="28"/>
          <w:szCs w:val="28"/>
        </w:rPr>
        <w:t>期货公司应完善相应的技术系统，确保行权日当天申报未成交的数量在15:00-15:30可行权。</w:t>
      </w:r>
    </w:p>
    <w:p w:rsidR="00173848" w:rsidRDefault="00FC3217" w:rsidP="00021BE0">
      <w:pPr>
        <w:spacing w:beforeLines="50" w:afterLines="50"/>
        <w:ind w:firstLineChars="180" w:firstLine="504"/>
        <w:rPr>
          <w:rFonts w:ascii="仿宋_GB2312" w:eastAsia="仿宋_GB2312"/>
          <w:b/>
          <w:sz w:val="28"/>
          <w:szCs w:val="28"/>
        </w:rPr>
      </w:pPr>
      <w:r>
        <w:rPr>
          <w:rFonts w:ascii="仿宋_GB2312" w:eastAsia="仿宋_GB2312" w:cs="仿宋_GB2312" w:hint="eastAsia"/>
          <w:sz w:val="28"/>
          <w:szCs w:val="28"/>
        </w:rPr>
        <w:t>（二）行权日同时提出认购期权行权和认沽期权行权的投资者，若行权同时有效，行权指派后中国结算按照轧差计算该投资者需要交付的资金和标的证券。</w:t>
      </w:r>
    </w:p>
    <w:p w:rsidR="00173848" w:rsidRDefault="00FC3217" w:rsidP="00021BE0">
      <w:pPr>
        <w:spacing w:beforeLines="50" w:afterLines="50" w:line="360" w:lineRule="auto"/>
        <w:ind w:firstLineChars="180" w:firstLine="504"/>
        <w:rPr>
          <w:rFonts w:ascii="仿宋_GB2312" w:eastAsia="仿宋_GB2312" w:hAnsi="Times New Roman"/>
          <w:sz w:val="28"/>
          <w:szCs w:val="28"/>
        </w:rPr>
      </w:pPr>
      <w:r>
        <w:rPr>
          <w:rFonts w:ascii="仿宋_GB2312" w:eastAsia="仿宋_GB2312" w:hAnsi="Times New Roman" w:hint="eastAsia"/>
          <w:sz w:val="28"/>
          <w:szCs w:val="28"/>
        </w:rPr>
        <w:t>（三）在行权日，如果投资者对持有的虚值期权（以合约标的实时价格计算）提交行权指令，期货公司应在客户交易终端的下单界面提醒投资者，合约为虚值的行权风险。</w:t>
      </w:r>
    </w:p>
    <w:p w:rsidR="00173848" w:rsidRDefault="00FC3217" w:rsidP="00021BE0">
      <w:pPr>
        <w:spacing w:beforeLines="50" w:afterLines="50" w:line="360" w:lineRule="auto"/>
        <w:ind w:firstLineChars="180" w:firstLine="504"/>
        <w:rPr>
          <w:rFonts w:ascii="仿宋_GB2312" w:eastAsia="仿宋_GB2312" w:hAnsi="Times New Roman"/>
          <w:sz w:val="28"/>
          <w:szCs w:val="28"/>
        </w:rPr>
      </w:pPr>
      <w:r>
        <w:rPr>
          <w:rFonts w:ascii="仿宋_GB2312" w:eastAsia="仿宋_GB2312" w:hAnsi="Times New Roman" w:hint="eastAsia"/>
          <w:sz w:val="28"/>
          <w:szCs w:val="28"/>
        </w:rPr>
        <w:t>（四）期货公司可向投资者提供“协议行权”服务。详见第十章关于协议行权的内容。</w:t>
      </w:r>
    </w:p>
    <w:p w:rsidR="00173848" w:rsidRDefault="00FC3217" w:rsidP="00021BE0">
      <w:pPr>
        <w:spacing w:beforeLines="50" w:afterLines="50" w:line="360" w:lineRule="auto"/>
        <w:ind w:firstLineChars="180" w:firstLine="504"/>
        <w:rPr>
          <w:rFonts w:ascii="仿宋_GB2312" w:eastAsia="仿宋_GB2312" w:hAnsi="Times New Roman"/>
          <w:kern w:val="0"/>
          <w:sz w:val="28"/>
          <w:szCs w:val="28"/>
          <w:lang w:val="zh-CN"/>
        </w:rPr>
      </w:pPr>
      <w:r>
        <w:rPr>
          <w:rFonts w:ascii="仿宋_GB2312" w:eastAsia="仿宋_GB2312" w:hAnsi="Times New Roman" w:hint="eastAsia"/>
          <w:kern w:val="0"/>
          <w:sz w:val="28"/>
          <w:szCs w:val="28"/>
          <w:lang w:val="zh-CN"/>
        </w:rPr>
        <w:t>（五）合约行权交收日，期货公司应监控行权交收应交券方的“行权交收应交券方违约风险1”和“行权交收应交券方违约风险2”，即监控投资者持有合约标的的情况，对投资者所持有的合约标的不能</w:t>
      </w:r>
      <w:r>
        <w:rPr>
          <w:rFonts w:ascii="仿宋_GB2312" w:eastAsia="仿宋_GB2312" w:hAnsi="Times New Roman" w:hint="eastAsia"/>
          <w:kern w:val="0"/>
          <w:sz w:val="28"/>
          <w:szCs w:val="28"/>
          <w:lang w:val="zh-CN"/>
        </w:rPr>
        <w:lastRenderedPageBreak/>
        <w:t>满足行权交收应交付数量的投资者，进行电话提醒并督促其补足应交合约标的证券数量。</w:t>
      </w:r>
    </w:p>
    <w:p w:rsidR="00173848" w:rsidRDefault="00FC3217" w:rsidP="00021BE0">
      <w:pPr>
        <w:widowControl/>
        <w:spacing w:beforeLines="50" w:afterLines="50" w:line="360" w:lineRule="auto"/>
        <w:ind w:firstLineChars="200" w:firstLine="560"/>
        <w:rPr>
          <w:rFonts w:ascii="仿宋_GB2312" w:eastAsia="仿宋_GB2312" w:hAnsi="Times New Roman"/>
          <w:kern w:val="0"/>
          <w:sz w:val="28"/>
          <w:szCs w:val="28"/>
          <w:lang w:val="zh-CN"/>
        </w:rPr>
      </w:pPr>
      <w:r>
        <w:rPr>
          <w:rFonts w:ascii="仿宋_GB2312" w:eastAsia="仿宋_GB2312" w:hAnsi="Times New Roman" w:hint="eastAsia"/>
          <w:kern w:val="0"/>
          <w:sz w:val="28"/>
          <w:szCs w:val="28"/>
          <w:lang w:val="zh-CN"/>
        </w:rPr>
        <w:t>行权交收应交券方违约风险1=应交数量/账户所持相关流通证券的数量（含备兑持仓）</w:t>
      </w:r>
    </w:p>
    <w:p w:rsidR="00173848" w:rsidRDefault="00FC3217" w:rsidP="00021BE0">
      <w:pPr>
        <w:widowControl/>
        <w:spacing w:beforeLines="50" w:afterLines="50" w:line="360" w:lineRule="auto"/>
        <w:ind w:firstLineChars="200" w:firstLine="560"/>
        <w:rPr>
          <w:rFonts w:ascii="仿宋_GB2312" w:eastAsia="仿宋_GB2312" w:hAnsi="Times New Roman"/>
          <w:kern w:val="0"/>
          <w:sz w:val="28"/>
          <w:szCs w:val="28"/>
          <w:lang w:val="zh-CN"/>
        </w:rPr>
      </w:pPr>
      <w:r>
        <w:rPr>
          <w:rFonts w:ascii="仿宋_GB2312" w:eastAsia="仿宋_GB2312" w:hAnsi="Times New Roman" w:hint="eastAsia"/>
          <w:kern w:val="0"/>
          <w:sz w:val="28"/>
          <w:szCs w:val="28"/>
          <w:lang w:val="zh-CN"/>
        </w:rPr>
        <w:t>行权交收应交券方违约风险2=应交数量/账户所持相关流通证券的数量（不含备兑持仓）</w:t>
      </w:r>
    </w:p>
    <w:p w:rsidR="00173848" w:rsidRDefault="00FC3217" w:rsidP="00021BE0">
      <w:pPr>
        <w:spacing w:beforeLines="50" w:afterLines="50" w:line="360" w:lineRule="auto"/>
        <w:ind w:firstLineChars="180" w:firstLine="504"/>
        <w:rPr>
          <w:rFonts w:ascii="仿宋_GB2312" w:eastAsia="仿宋_GB2312" w:hAnsi="Times New Roman"/>
          <w:kern w:val="0"/>
          <w:sz w:val="28"/>
          <w:szCs w:val="28"/>
          <w:lang w:val="zh-CN"/>
        </w:rPr>
      </w:pPr>
      <w:r>
        <w:rPr>
          <w:rFonts w:ascii="仿宋_GB2312" w:eastAsia="仿宋_GB2312" w:hAnsi="Times New Roman" w:hint="eastAsia"/>
          <w:kern w:val="0"/>
          <w:sz w:val="28"/>
          <w:szCs w:val="28"/>
          <w:lang w:val="zh-CN"/>
        </w:rPr>
        <w:t>（六）合约交收日约定时间内，对合约标的证券应付方，若准备交收的合约标的证券仍不足，期货公司可根据与客户在期权经纪合同中的约定，为客户买入合约标的或使用自有证券代为提供不足部分的合约标的。</w:t>
      </w:r>
    </w:p>
    <w:p w:rsidR="00173848" w:rsidRDefault="00FC3217" w:rsidP="00021BE0">
      <w:pPr>
        <w:spacing w:beforeLines="50" w:afterLines="50" w:line="360" w:lineRule="auto"/>
        <w:ind w:firstLineChars="180" w:firstLine="504"/>
        <w:rPr>
          <w:rFonts w:ascii="仿宋_GB2312" w:eastAsia="仿宋_GB2312" w:hAnsi="Times New Roman"/>
          <w:kern w:val="0"/>
          <w:sz w:val="28"/>
          <w:szCs w:val="28"/>
          <w:lang w:val="zh-CN"/>
        </w:rPr>
      </w:pPr>
      <w:r>
        <w:rPr>
          <w:rFonts w:ascii="仿宋_GB2312" w:eastAsia="仿宋_GB2312" w:hAnsi="Times New Roman" w:hint="eastAsia"/>
          <w:kern w:val="0"/>
          <w:sz w:val="28"/>
          <w:szCs w:val="28"/>
          <w:lang w:val="zh-CN"/>
        </w:rPr>
        <w:t>（七）合约行权交收日，对行权交收资金应付方，期货公司应监控账户“行权交收资金应付方违约风险值”，即股票期权保证金账户中资金能否满足行权交收所需的现金。</w:t>
      </w:r>
    </w:p>
    <w:p w:rsidR="00173848" w:rsidRDefault="00FC3217" w:rsidP="00021BE0">
      <w:pPr>
        <w:widowControl/>
        <w:spacing w:beforeLines="50" w:afterLines="50" w:line="360" w:lineRule="auto"/>
        <w:ind w:firstLineChars="200" w:firstLine="560"/>
        <w:rPr>
          <w:rFonts w:ascii="仿宋_GB2312" w:eastAsia="仿宋_GB2312" w:hAnsi="Times New Roman"/>
          <w:kern w:val="0"/>
          <w:sz w:val="28"/>
          <w:szCs w:val="28"/>
          <w:lang w:val="zh-CN"/>
        </w:rPr>
      </w:pPr>
      <w:r>
        <w:rPr>
          <w:rFonts w:ascii="仿宋_GB2312" w:eastAsia="仿宋_GB2312" w:hAnsi="Times New Roman" w:hint="eastAsia"/>
          <w:kern w:val="0"/>
          <w:sz w:val="28"/>
          <w:szCs w:val="28"/>
          <w:lang w:val="zh-CN"/>
        </w:rPr>
        <w:t>行权交收资金应付方违约风险=应付所需资金/（可用资金+行权日行权交收已冻结的资金）</w:t>
      </w:r>
    </w:p>
    <w:p w:rsidR="00173848" w:rsidRDefault="00FC3217" w:rsidP="00021BE0">
      <w:pPr>
        <w:widowControl/>
        <w:spacing w:beforeLines="50" w:afterLines="50" w:line="360" w:lineRule="auto"/>
        <w:ind w:firstLineChars="200" w:firstLine="560"/>
        <w:rPr>
          <w:rFonts w:ascii="仿宋_GB2312" w:eastAsia="仿宋_GB2312" w:hAnsi="Times New Roman"/>
          <w:kern w:val="0"/>
          <w:sz w:val="28"/>
          <w:szCs w:val="28"/>
          <w:lang w:val="zh-CN"/>
        </w:rPr>
      </w:pPr>
      <w:r>
        <w:rPr>
          <w:rFonts w:ascii="仿宋_GB2312" w:eastAsia="仿宋_GB2312" w:hAnsi="Times New Roman" w:hint="eastAsia"/>
          <w:kern w:val="0"/>
          <w:sz w:val="28"/>
          <w:szCs w:val="28"/>
          <w:lang w:val="zh-CN"/>
        </w:rPr>
        <w:t>期货公司对“行权交收资金应付方违约风险”设定预警值，比如85%，如果超过阀值，期货公司将对客户预警，而如果大于100%，则表明该账户存在很高的违约交收风险，期货公司需采取措施，通知客户入金。</w:t>
      </w:r>
    </w:p>
    <w:p w:rsidR="00173848" w:rsidRDefault="00FC3217" w:rsidP="00021BE0">
      <w:pPr>
        <w:spacing w:beforeLines="50" w:afterLines="50" w:line="360" w:lineRule="auto"/>
        <w:ind w:firstLineChars="180" w:firstLine="504"/>
        <w:rPr>
          <w:rFonts w:ascii="仿宋_GB2312" w:eastAsia="仿宋_GB2312" w:hAnsi="Times New Roman"/>
          <w:kern w:val="0"/>
          <w:sz w:val="28"/>
          <w:szCs w:val="28"/>
          <w:lang w:val="zh-CN"/>
        </w:rPr>
      </w:pPr>
      <w:r>
        <w:rPr>
          <w:rFonts w:ascii="仿宋_GB2312" w:eastAsia="仿宋_GB2312" w:hAnsi="Times New Roman" w:hint="eastAsia"/>
          <w:kern w:val="0"/>
          <w:sz w:val="28"/>
          <w:szCs w:val="28"/>
          <w:lang w:val="zh-CN"/>
        </w:rPr>
        <w:t>（八）客户认沽期权义务方被指派行权后资金不足或客户认购期</w:t>
      </w:r>
      <w:r>
        <w:rPr>
          <w:rFonts w:ascii="仿宋_GB2312" w:eastAsia="仿宋_GB2312" w:hAnsi="Times New Roman" w:hint="eastAsia"/>
          <w:kern w:val="0"/>
          <w:sz w:val="28"/>
          <w:szCs w:val="28"/>
          <w:lang w:val="zh-CN"/>
        </w:rPr>
        <w:lastRenderedPageBreak/>
        <w:t>权权利方行权资金不足的，期货公司可以自有资金先行垫付，并向上交所申报将相关行权所得证券划入处置证券账户。</w:t>
      </w:r>
    </w:p>
    <w:p w:rsidR="00173848" w:rsidRDefault="00FC3217" w:rsidP="00021BE0">
      <w:pPr>
        <w:spacing w:beforeLines="50" w:afterLines="50" w:line="360" w:lineRule="auto"/>
        <w:ind w:firstLineChars="180" w:firstLine="504"/>
        <w:rPr>
          <w:rFonts w:ascii="仿宋_GB2312" w:eastAsia="仿宋_GB2312" w:hAnsi="Times New Roman"/>
          <w:kern w:val="0"/>
          <w:sz w:val="28"/>
          <w:szCs w:val="28"/>
          <w:lang w:val="zh-CN"/>
        </w:rPr>
      </w:pPr>
      <w:r>
        <w:rPr>
          <w:rFonts w:ascii="仿宋_GB2312" w:eastAsia="仿宋_GB2312" w:hAnsi="Times New Roman" w:hint="eastAsia"/>
          <w:kern w:val="0"/>
          <w:sz w:val="28"/>
          <w:szCs w:val="28"/>
          <w:lang w:val="zh-CN"/>
        </w:rPr>
        <w:t>日终中国结算将对行权、证券转处置/转回指令申报进行校验，期货公司应确保申报交易单元清算编号与相应账户指定交易单元清算编号一致。</w:t>
      </w:r>
    </w:p>
    <w:p w:rsidR="00FC3217" w:rsidRDefault="00FC3217" w:rsidP="00FC3217">
      <w:pPr>
        <w:pStyle w:val="2"/>
        <w:ind w:firstLine="562"/>
      </w:pPr>
      <w:bookmarkStart w:id="361" w:name="_Toc20875"/>
      <w:bookmarkStart w:id="362" w:name="_Toc12935"/>
      <w:bookmarkStart w:id="363" w:name="_Toc7069"/>
      <w:bookmarkStart w:id="364" w:name="_Toc19870"/>
      <w:bookmarkStart w:id="365" w:name="_Toc408746753"/>
      <w:bookmarkStart w:id="366" w:name="_Toc23947002"/>
      <w:r>
        <w:rPr>
          <w:rFonts w:hint="eastAsia"/>
        </w:rPr>
        <w:t>三、行权日前调整保证金参数水平提醒</w:t>
      </w:r>
      <w:bookmarkEnd w:id="361"/>
      <w:bookmarkEnd w:id="362"/>
      <w:bookmarkEnd w:id="363"/>
      <w:bookmarkEnd w:id="364"/>
      <w:bookmarkEnd w:id="365"/>
      <w:bookmarkEnd w:id="366"/>
    </w:p>
    <w:p w:rsidR="00FC3217" w:rsidRDefault="00FC3217" w:rsidP="00021BE0">
      <w:pPr>
        <w:spacing w:beforeLines="50" w:afterLines="50" w:line="360" w:lineRule="auto"/>
        <w:ind w:firstLineChars="180" w:firstLine="504"/>
        <w:rPr>
          <w:rFonts w:ascii="仿宋_GB2312" w:eastAsia="仿宋_GB2312" w:hAnsi="Times New Roman"/>
          <w:kern w:val="0"/>
          <w:sz w:val="28"/>
          <w:szCs w:val="28"/>
          <w:lang w:val="zh-CN"/>
        </w:rPr>
      </w:pPr>
      <w:r>
        <w:rPr>
          <w:rFonts w:ascii="仿宋_GB2312" w:eastAsia="仿宋_GB2312" w:hAnsi="Times New Roman" w:hint="eastAsia"/>
          <w:kern w:val="0"/>
          <w:sz w:val="28"/>
          <w:szCs w:val="28"/>
          <w:lang w:val="zh-CN"/>
        </w:rPr>
        <w:t>若期货公司按照本指南进行保证金水平参数设置，期货公司应在与投资者签署的期权经纪合同中，明确约定可能导致保证金参数水平调整的情形。若在临近行权日进行了参数调整，调整后，应当及时通过邮件、短信、交易客户端等渠道做好通知提醒工作。</w:t>
      </w:r>
    </w:p>
    <w:p w:rsidR="00FC3217" w:rsidRPr="00F10E5A" w:rsidRDefault="00FC3217" w:rsidP="00FC3217">
      <w:pPr>
        <w:pStyle w:val="2"/>
        <w:ind w:firstLine="562"/>
      </w:pPr>
      <w:bookmarkStart w:id="367" w:name="_Toc23947003"/>
      <w:r w:rsidRPr="00F10E5A">
        <w:rPr>
          <w:rFonts w:hint="eastAsia"/>
        </w:rPr>
        <w:t>四、行权指令合并申报</w:t>
      </w:r>
      <w:bookmarkEnd w:id="367"/>
    </w:p>
    <w:p w:rsidR="00FC3217" w:rsidRPr="00021BE0" w:rsidRDefault="00FC3217" w:rsidP="00021BE0">
      <w:pPr>
        <w:ind w:firstLineChars="200" w:firstLine="560"/>
        <w:rPr>
          <w:rFonts w:ascii="仿宋_GB2312" w:eastAsia="仿宋_GB2312" w:hint="eastAsia"/>
          <w:sz w:val="28"/>
          <w:szCs w:val="28"/>
        </w:rPr>
      </w:pPr>
      <w:r w:rsidRPr="00021BE0">
        <w:rPr>
          <w:rFonts w:ascii="仿宋_GB2312" w:eastAsia="仿宋_GB2312" w:hint="eastAsia"/>
          <w:sz w:val="28"/>
          <w:szCs w:val="28"/>
        </w:rPr>
        <w:t>行权日，期货公司可以为同时持有相同标的证券当日到期的认购和认沽期权权利仓的客户提供行权指令合并申报功能，使客户实现到期认购和认沽期权的同步行权。具体安排如下：</w:t>
      </w:r>
    </w:p>
    <w:p w:rsidR="00A04AF8" w:rsidRPr="00021BE0" w:rsidRDefault="00A04AF8" w:rsidP="00021BE0">
      <w:pPr>
        <w:ind w:firstLineChars="200" w:firstLine="560"/>
        <w:rPr>
          <w:rFonts w:ascii="仿宋_GB2312" w:eastAsia="仿宋_GB2312" w:hAnsi="Times New Roman" w:hint="eastAsia"/>
          <w:sz w:val="28"/>
          <w:szCs w:val="28"/>
        </w:rPr>
      </w:pPr>
      <w:r w:rsidRPr="00021BE0">
        <w:rPr>
          <w:rFonts w:ascii="仿宋_GB2312" w:eastAsia="仿宋_GB2312" w:hAnsi="Times New Roman" w:hint="eastAsia"/>
          <w:sz w:val="28"/>
          <w:szCs w:val="28"/>
        </w:rPr>
        <w:t>（一）行权日9:15至9:25、9:30至11:30、13:00至15:30，</w:t>
      </w:r>
      <w:r w:rsidR="00B95318" w:rsidRPr="00021BE0">
        <w:rPr>
          <w:rFonts w:ascii="仿宋_GB2312" w:eastAsia="仿宋_GB2312" w:hAnsi="Times New Roman" w:hint="eastAsia"/>
          <w:sz w:val="28"/>
          <w:szCs w:val="28"/>
        </w:rPr>
        <w:t>客户</w:t>
      </w:r>
      <w:r w:rsidRPr="00021BE0">
        <w:rPr>
          <w:rFonts w:ascii="仿宋_GB2312" w:eastAsia="仿宋_GB2312" w:hAnsi="Times New Roman" w:hint="eastAsia"/>
          <w:sz w:val="28"/>
          <w:szCs w:val="28"/>
        </w:rPr>
        <w:t>可向期货公司提出行权指令合并申报委托，每一单位数量的行权指令合并申报包括同一标的的当日到期认购和认沽期权权利仓各一张，认购和认沽期权的合约单位必须相同，认沽期权行权价需高于认购期权。</w:t>
      </w:r>
    </w:p>
    <w:p w:rsidR="00A04AF8" w:rsidRPr="00021BE0" w:rsidRDefault="00B95318" w:rsidP="00021BE0">
      <w:pPr>
        <w:ind w:firstLineChars="200" w:firstLine="560"/>
        <w:rPr>
          <w:rFonts w:ascii="仿宋_GB2312" w:eastAsia="仿宋_GB2312" w:hAnsi="Times New Roman" w:hint="eastAsia"/>
          <w:sz w:val="28"/>
          <w:szCs w:val="28"/>
        </w:rPr>
      </w:pPr>
      <w:r w:rsidRPr="00021BE0">
        <w:rPr>
          <w:rFonts w:ascii="仿宋_GB2312" w:eastAsia="仿宋_GB2312" w:hAnsi="Times New Roman" w:hint="eastAsia"/>
          <w:sz w:val="28"/>
          <w:szCs w:val="28"/>
        </w:rPr>
        <w:t>客户</w:t>
      </w:r>
      <w:r w:rsidR="00A04AF8" w:rsidRPr="00021BE0">
        <w:rPr>
          <w:rFonts w:ascii="仿宋_GB2312" w:eastAsia="仿宋_GB2312" w:hAnsi="Times New Roman" w:hint="eastAsia"/>
          <w:sz w:val="28"/>
          <w:szCs w:val="28"/>
        </w:rPr>
        <w:t>可多次提交行权指令合并申报，累计申报的行权数量不应超</w:t>
      </w:r>
      <w:r w:rsidR="00A04AF8" w:rsidRPr="00021BE0">
        <w:rPr>
          <w:rFonts w:ascii="仿宋_GB2312" w:eastAsia="仿宋_GB2312" w:hAnsi="Times New Roman" w:hint="eastAsia"/>
          <w:sz w:val="28"/>
          <w:szCs w:val="28"/>
        </w:rPr>
        <w:lastRenderedPageBreak/>
        <w:t>过其持有的权利仓净头寸（即相应衍生品合约账户同一合约到期组合策略解除后，权利仓和义务仓对冲后的持仓）。若某次申报数量超过当前净头寸，则该笔申报中仅持有的权利仓净头寸部分有效。例如，行权日某</w:t>
      </w:r>
      <w:r w:rsidRPr="00021BE0">
        <w:rPr>
          <w:rFonts w:ascii="仿宋_GB2312" w:eastAsia="仿宋_GB2312" w:hAnsi="Times New Roman" w:hint="eastAsia"/>
          <w:sz w:val="28"/>
          <w:szCs w:val="28"/>
        </w:rPr>
        <w:t>客户</w:t>
      </w:r>
      <w:r w:rsidR="00A04AF8" w:rsidRPr="00021BE0">
        <w:rPr>
          <w:rFonts w:ascii="仿宋_GB2312" w:eastAsia="仿宋_GB2312" w:hAnsi="Times New Roman" w:hint="eastAsia"/>
          <w:sz w:val="28"/>
          <w:szCs w:val="28"/>
        </w:rPr>
        <w:t>持有的净头寸为15张认购期权权利仓和15张认沽期权权利仓，该</w:t>
      </w:r>
      <w:r w:rsidRPr="00021BE0">
        <w:rPr>
          <w:rFonts w:ascii="仿宋_GB2312" w:eastAsia="仿宋_GB2312" w:hAnsi="Times New Roman" w:hint="eastAsia"/>
          <w:sz w:val="28"/>
          <w:szCs w:val="28"/>
        </w:rPr>
        <w:t>客户</w:t>
      </w:r>
      <w:r w:rsidR="00A04AF8" w:rsidRPr="00021BE0">
        <w:rPr>
          <w:rFonts w:ascii="仿宋_GB2312" w:eastAsia="仿宋_GB2312" w:hAnsi="Times New Roman" w:hint="eastAsia"/>
          <w:sz w:val="28"/>
          <w:szCs w:val="28"/>
        </w:rPr>
        <w:t>第一次提出一笔10张认购期权和10张认沽期权的行权指令合并申报，则申报有效；之后第二次再提出一笔10张认购期权和10张认沽期权的行权指令合并申报，因为当前的累计申报数量超过其持有的权利仓净头寸，则该笔行权指令合并申报中仅5张认购期权和5张认沽期权的行权指令合并申报有效。</w:t>
      </w:r>
    </w:p>
    <w:p w:rsidR="00A04AF8" w:rsidRPr="00021BE0" w:rsidRDefault="00A04AF8" w:rsidP="00021BE0">
      <w:pPr>
        <w:ind w:firstLineChars="200" w:firstLine="560"/>
        <w:rPr>
          <w:rFonts w:ascii="仿宋_GB2312" w:eastAsia="仿宋_GB2312" w:hAnsi="Times New Roman" w:hint="eastAsia"/>
          <w:sz w:val="28"/>
          <w:szCs w:val="28"/>
        </w:rPr>
      </w:pPr>
      <w:r w:rsidRPr="00021BE0">
        <w:rPr>
          <w:rFonts w:ascii="仿宋_GB2312" w:eastAsia="仿宋_GB2312" w:hAnsi="Times New Roman" w:hint="eastAsia"/>
          <w:sz w:val="28"/>
          <w:szCs w:val="28"/>
        </w:rPr>
        <w:t>行权指令合并申报可以撤销，撤销申报时间为行权日9:15至9:25、9:30至11:30、13:00至15:30。</w:t>
      </w:r>
    </w:p>
    <w:p w:rsidR="00A04AF8" w:rsidRPr="00021BE0" w:rsidRDefault="00A04AF8" w:rsidP="00021BE0">
      <w:pPr>
        <w:ind w:firstLineChars="200" w:firstLine="560"/>
        <w:rPr>
          <w:rFonts w:ascii="仿宋_GB2312" w:eastAsia="仿宋_GB2312" w:hAnsi="Times New Roman" w:hint="eastAsia"/>
          <w:sz w:val="28"/>
          <w:szCs w:val="28"/>
        </w:rPr>
      </w:pPr>
      <w:r w:rsidRPr="00021BE0">
        <w:rPr>
          <w:rFonts w:ascii="仿宋_GB2312" w:eastAsia="仿宋_GB2312" w:hAnsi="Times New Roman" w:hint="eastAsia"/>
          <w:sz w:val="28"/>
          <w:szCs w:val="28"/>
        </w:rPr>
        <w:t>（二）期货公司根据</w:t>
      </w:r>
      <w:r w:rsidR="00B95318" w:rsidRPr="00021BE0">
        <w:rPr>
          <w:rFonts w:ascii="仿宋_GB2312" w:eastAsia="仿宋_GB2312" w:hAnsi="Times New Roman" w:hint="eastAsia"/>
          <w:sz w:val="28"/>
          <w:szCs w:val="28"/>
        </w:rPr>
        <w:t>客户</w:t>
      </w:r>
      <w:r w:rsidRPr="00021BE0">
        <w:rPr>
          <w:rFonts w:ascii="仿宋_GB2312" w:eastAsia="仿宋_GB2312" w:hAnsi="Times New Roman" w:hint="eastAsia"/>
          <w:sz w:val="28"/>
          <w:szCs w:val="28"/>
        </w:rPr>
        <w:t>的行权申报（包括行权指令合并申报和非行权指令合并申报），进行前端控制包括但不限于以下内容：</w:t>
      </w:r>
    </w:p>
    <w:p w:rsidR="00A04AF8" w:rsidRPr="00021BE0" w:rsidRDefault="00A04AF8" w:rsidP="00021BE0">
      <w:pPr>
        <w:ind w:firstLineChars="200" w:firstLine="560"/>
        <w:rPr>
          <w:rFonts w:ascii="仿宋_GB2312" w:eastAsia="仿宋_GB2312" w:hAnsi="Times New Roman" w:hint="eastAsia"/>
          <w:sz w:val="28"/>
          <w:szCs w:val="28"/>
        </w:rPr>
      </w:pPr>
      <w:r w:rsidRPr="00021BE0">
        <w:rPr>
          <w:rFonts w:ascii="仿宋_GB2312" w:eastAsia="仿宋_GB2312" w:hAnsi="Times New Roman" w:hint="eastAsia"/>
          <w:sz w:val="28"/>
          <w:szCs w:val="28"/>
        </w:rPr>
        <w:t>（1）行权指令合并申报为同一标的证券、合约单位相等、合约为认购与认沽期权、合约在当日到期、认沽期权行权价高于认购期权。</w:t>
      </w:r>
    </w:p>
    <w:p w:rsidR="00A04AF8" w:rsidRPr="00021BE0" w:rsidRDefault="00A04AF8" w:rsidP="00021BE0">
      <w:pPr>
        <w:ind w:firstLineChars="200" w:firstLine="560"/>
        <w:rPr>
          <w:rFonts w:ascii="仿宋_GB2312" w:eastAsia="仿宋_GB2312" w:hAnsi="Times New Roman" w:hint="eastAsia"/>
          <w:sz w:val="28"/>
          <w:szCs w:val="28"/>
        </w:rPr>
      </w:pPr>
      <w:r w:rsidRPr="00021BE0">
        <w:rPr>
          <w:rFonts w:ascii="仿宋_GB2312" w:eastAsia="仿宋_GB2312" w:hAnsi="Times New Roman" w:hint="eastAsia"/>
          <w:sz w:val="28"/>
          <w:szCs w:val="28"/>
        </w:rPr>
        <w:t>（2）对行权指令合并申报和非行权指令合并申报进行前端控制，检验认购期权和认沽期权累计行权指令合并申报数量（扣减撤单后）不得超过</w:t>
      </w:r>
      <w:r w:rsidR="00B95318" w:rsidRPr="00021BE0">
        <w:rPr>
          <w:rFonts w:ascii="仿宋_GB2312" w:eastAsia="仿宋_GB2312" w:hAnsi="Times New Roman" w:hint="eastAsia"/>
          <w:sz w:val="28"/>
          <w:szCs w:val="28"/>
        </w:rPr>
        <w:t>客户</w:t>
      </w:r>
      <w:r w:rsidRPr="00021BE0">
        <w:rPr>
          <w:rFonts w:ascii="仿宋_GB2312" w:eastAsia="仿宋_GB2312" w:hAnsi="Times New Roman" w:hint="eastAsia"/>
          <w:sz w:val="28"/>
          <w:szCs w:val="28"/>
        </w:rPr>
        <w:t>持有的相应认购期权合约权利仓净头寸及认沽期权合约权利仓净头寸的较小值，认购和认沽行权累计数量（扣减撤单后）不得超过</w:t>
      </w:r>
      <w:r w:rsidR="00B95318" w:rsidRPr="00021BE0">
        <w:rPr>
          <w:rFonts w:ascii="仿宋_GB2312" w:eastAsia="仿宋_GB2312" w:hAnsi="Times New Roman" w:hint="eastAsia"/>
          <w:sz w:val="28"/>
          <w:szCs w:val="28"/>
        </w:rPr>
        <w:t>客户</w:t>
      </w:r>
      <w:r w:rsidRPr="00021BE0">
        <w:rPr>
          <w:rFonts w:ascii="仿宋_GB2312" w:eastAsia="仿宋_GB2312" w:hAnsi="Times New Roman" w:hint="eastAsia"/>
          <w:sz w:val="28"/>
          <w:szCs w:val="28"/>
        </w:rPr>
        <w:t>持有的相应合约权利仓净头寸。净头寸以当日到期组合策略解除后的净头寸为准。</w:t>
      </w:r>
    </w:p>
    <w:p w:rsidR="00A04AF8" w:rsidRPr="00021BE0" w:rsidRDefault="00A04AF8" w:rsidP="00021BE0">
      <w:pPr>
        <w:ind w:firstLineChars="200" w:firstLine="560"/>
        <w:rPr>
          <w:rFonts w:ascii="仿宋_GB2312" w:eastAsia="仿宋_GB2312" w:hAnsi="Times New Roman" w:hint="eastAsia"/>
          <w:sz w:val="28"/>
          <w:szCs w:val="28"/>
        </w:rPr>
      </w:pPr>
      <w:r w:rsidRPr="00021BE0">
        <w:rPr>
          <w:rFonts w:ascii="仿宋_GB2312" w:eastAsia="仿宋_GB2312" w:hAnsi="Times New Roman" w:hint="eastAsia"/>
          <w:sz w:val="28"/>
          <w:szCs w:val="28"/>
        </w:rPr>
        <w:t>（三）行权日9:15至9:25、9:30至11:30、13:00至15:30，</w:t>
      </w:r>
      <w:r w:rsidRPr="00021BE0">
        <w:rPr>
          <w:rFonts w:ascii="仿宋_GB2312" w:eastAsia="仿宋_GB2312" w:hAnsi="Times New Roman" w:hint="eastAsia"/>
          <w:sz w:val="28"/>
          <w:szCs w:val="28"/>
        </w:rPr>
        <w:lastRenderedPageBreak/>
        <w:t>期货公司向上交所提交行权指令合并申报指令。</w:t>
      </w:r>
    </w:p>
    <w:p w:rsidR="00A04AF8" w:rsidRPr="00021BE0" w:rsidRDefault="00A04AF8" w:rsidP="00021BE0">
      <w:pPr>
        <w:ind w:firstLineChars="200" w:firstLine="560"/>
        <w:rPr>
          <w:rFonts w:ascii="仿宋_GB2312" w:eastAsia="仿宋_GB2312" w:hAnsi="Times New Roman" w:hint="eastAsia"/>
          <w:sz w:val="28"/>
          <w:szCs w:val="28"/>
        </w:rPr>
      </w:pPr>
      <w:r w:rsidRPr="00021BE0">
        <w:rPr>
          <w:rFonts w:ascii="仿宋_GB2312" w:eastAsia="仿宋_GB2312" w:hAnsi="Times New Roman" w:hint="eastAsia"/>
          <w:sz w:val="28"/>
          <w:szCs w:val="28"/>
        </w:rPr>
        <w:t>（四）上交所对期货公司提交的行权指令合并申报进行前端检查，主要检查以下内容：</w:t>
      </w:r>
    </w:p>
    <w:p w:rsidR="00A04AF8" w:rsidRPr="00021BE0" w:rsidRDefault="00A04AF8" w:rsidP="00021BE0">
      <w:pPr>
        <w:ind w:firstLineChars="200" w:firstLine="560"/>
        <w:rPr>
          <w:rFonts w:ascii="仿宋_GB2312" w:eastAsia="仿宋_GB2312" w:hAnsi="Times New Roman" w:hint="eastAsia"/>
          <w:sz w:val="28"/>
          <w:szCs w:val="28"/>
        </w:rPr>
      </w:pPr>
      <w:r w:rsidRPr="00021BE0">
        <w:rPr>
          <w:rFonts w:ascii="仿宋_GB2312" w:eastAsia="仿宋_GB2312" w:hAnsi="Times New Roman" w:hint="eastAsia"/>
          <w:sz w:val="28"/>
          <w:szCs w:val="28"/>
        </w:rPr>
        <w:t>（1）相关合约标的是否相同；</w:t>
      </w:r>
    </w:p>
    <w:p w:rsidR="00A04AF8" w:rsidRPr="00021BE0" w:rsidRDefault="00A04AF8" w:rsidP="00021BE0">
      <w:pPr>
        <w:ind w:firstLineChars="200" w:firstLine="560"/>
        <w:rPr>
          <w:rFonts w:ascii="仿宋_GB2312" w:eastAsia="仿宋_GB2312" w:hAnsi="Times New Roman" w:hint="eastAsia"/>
          <w:sz w:val="28"/>
          <w:szCs w:val="28"/>
        </w:rPr>
      </w:pPr>
      <w:r w:rsidRPr="00021BE0">
        <w:rPr>
          <w:rFonts w:ascii="仿宋_GB2312" w:eastAsia="仿宋_GB2312" w:hAnsi="Times New Roman" w:hint="eastAsia"/>
          <w:sz w:val="28"/>
          <w:szCs w:val="28"/>
        </w:rPr>
        <w:t>（2）合约单位是否相等；</w:t>
      </w:r>
    </w:p>
    <w:p w:rsidR="00A04AF8" w:rsidRPr="00021BE0" w:rsidRDefault="00A04AF8" w:rsidP="00021BE0">
      <w:pPr>
        <w:ind w:firstLineChars="200" w:firstLine="560"/>
        <w:rPr>
          <w:rFonts w:ascii="仿宋_GB2312" w:eastAsia="仿宋_GB2312" w:hAnsi="Times New Roman" w:hint="eastAsia"/>
          <w:sz w:val="28"/>
          <w:szCs w:val="28"/>
        </w:rPr>
      </w:pPr>
      <w:r w:rsidRPr="00021BE0">
        <w:rPr>
          <w:rFonts w:ascii="仿宋_GB2312" w:eastAsia="仿宋_GB2312" w:hAnsi="Times New Roman" w:hint="eastAsia"/>
          <w:sz w:val="28"/>
          <w:szCs w:val="28"/>
        </w:rPr>
        <w:t>（3）一个单位数量的行权指令合并申报是否为认购合约和认沽期权合约各一张；</w:t>
      </w:r>
    </w:p>
    <w:p w:rsidR="00A04AF8" w:rsidRPr="00021BE0" w:rsidRDefault="00A04AF8" w:rsidP="00021BE0">
      <w:pPr>
        <w:ind w:firstLineChars="200" w:firstLine="560"/>
        <w:rPr>
          <w:rFonts w:ascii="仿宋_GB2312" w:eastAsia="仿宋_GB2312" w:hAnsi="Times New Roman" w:hint="eastAsia"/>
          <w:sz w:val="28"/>
          <w:szCs w:val="28"/>
        </w:rPr>
      </w:pPr>
      <w:r w:rsidRPr="00021BE0">
        <w:rPr>
          <w:rFonts w:ascii="仿宋_GB2312" w:eastAsia="仿宋_GB2312" w:hAnsi="Times New Roman" w:hint="eastAsia"/>
          <w:sz w:val="28"/>
          <w:szCs w:val="28"/>
        </w:rPr>
        <w:t>（4）是否均为当日到期合约；</w:t>
      </w:r>
    </w:p>
    <w:p w:rsidR="00A04AF8" w:rsidRPr="00021BE0" w:rsidRDefault="00A04AF8" w:rsidP="00021BE0">
      <w:pPr>
        <w:ind w:firstLineChars="200" w:firstLine="560"/>
        <w:rPr>
          <w:rFonts w:ascii="仿宋_GB2312" w:eastAsia="仿宋_GB2312" w:hAnsi="Times New Roman" w:hint="eastAsia"/>
          <w:sz w:val="28"/>
          <w:szCs w:val="28"/>
        </w:rPr>
      </w:pPr>
      <w:r w:rsidRPr="00021BE0">
        <w:rPr>
          <w:rFonts w:ascii="仿宋_GB2312" w:eastAsia="仿宋_GB2312" w:hAnsi="Times New Roman" w:hint="eastAsia"/>
          <w:sz w:val="28"/>
          <w:szCs w:val="28"/>
        </w:rPr>
        <w:t>（5）认沽期权行权价是否高于认购期权；</w:t>
      </w:r>
    </w:p>
    <w:p w:rsidR="00173848" w:rsidRPr="00021BE0" w:rsidRDefault="00A04AF8" w:rsidP="00021BE0">
      <w:pPr>
        <w:spacing w:beforeLines="50" w:afterLines="50"/>
        <w:ind w:firstLineChars="180" w:firstLine="504"/>
        <w:rPr>
          <w:rFonts w:ascii="仿宋_GB2312" w:eastAsia="仿宋_GB2312" w:hAnsi="Times New Roman" w:hint="eastAsia"/>
          <w:kern w:val="0"/>
          <w:sz w:val="28"/>
          <w:szCs w:val="28"/>
          <w:lang w:val="zh-CN"/>
        </w:rPr>
      </w:pPr>
      <w:r w:rsidRPr="00021BE0">
        <w:rPr>
          <w:rFonts w:ascii="仿宋_GB2312" w:eastAsia="仿宋_GB2312" w:hAnsi="Times New Roman" w:hint="eastAsia"/>
          <w:sz w:val="28"/>
          <w:szCs w:val="28"/>
        </w:rPr>
        <w:t>（五）行权日日终，中国结算根据行权数据(包括非行权指令合并申报数据及有效的行权指令合并申报数据)，先对行权指令合并申报数据进行处理，再对非行权指令合并申报数据进行处理。若行权指令合并申报数量超过</w:t>
      </w:r>
      <w:r w:rsidR="00B95318" w:rsidRPr="00021BE0">
        <w:rPr>
          <w:rFonts w:ascii="仿宋_GB2312" w:eastAsia="仿宋_GB2312" w:hAnsi="Times New Roman" w:hint="eastAsia"/>
          <w:sz w:val="28"/>
          <w:szCs w:val="28"/>
        </w:rPr>
        <w:t>客户</w:t>
      </w:r>
      <w:r w:rsidRPr="00021BE0">
        <w:rPr>
          <w:rFonts w:ascii="仿宋_GB2312" w:eastAsia="仿宋_GB2312" w:hAnsi="Times New Roman" w:hint="eastAsia"/>
          <w:sz w:val="28"/>
          <w:szCs w:val="28"/>
        </w:rPr>
        <w:t>可用净头寸，则仅权利仓净头寸部分有效。在完成行权指令合并申报数据的处理后，中国结算根据行权可用权利仓数量，按现有规则对非合并申报的认购、认沽行权数据进行有效性检查。中国结算汇总通过有效性检查的行权指令合并申报及非行权指令合并申报数据，形成有效行权，并按现有规则完成行权指派、行权清算和行权交收等后续业务处理。</w:t>
      </w:r>
    </w:p>
    <w:p w:rsidR="00FC3217" w:rsidRDefault="00FC3217" w:rsidP="00FC3217">
      <w:pPr>
        <w:pStyle w:val="2"/>
        <w:ind w:firstLine="643"/>
        <w:jc w:val="center"/>
        <w:rPr>
          <w:rFonts w:ascii="黑体" w:eastAsia="黑体" w:hAnsi="黑体"/>
          <w:sz w:val="32"/>
        </w:rPr>
      </w:pPr>
      <w:bookmarkStart w:id="368" w:name="_Toc23947004"/>
      <w:r>
        <w:rPr>
          <w:rFonts w:ascii="黑体" w:eastAsia="黑体" w:hAnsi="黑体" w:hint="eastAsia"/>
          <w:sz w:val="32"/>
        </w:rPr>
        <w:t>第十章 协议行权</w:t>
      </w:r>
      <w:bookmarkEnd w:id="368"/>
    </w:p>
    <w:p w:rsidR="00FC3217" w:rsidRDefault="00FC3217" w:rsidP="00FC3217">
      <w:pPr>
        <w:ind w:firstLineChars="200" w:firstLine="560"/>
        <w:rPr>
          <w:rFonts w:ascii="仿宋_GB2312" w:eastAsia="仿宋_GB2312" w:hAnsi="Times New Roman"/>
          <w:color w:val="000000"/>
          <w:sz w:val="28"/>
          <w:szCs w:val="28"/>
        </w:rPr>
      </w:pPr>
      <w:r>
        <w:rPr>
          <w:rFonts w:ascii="仿宋_GB2312" w:eastAsia="仿宋_GB2312" w:hAnsi="Times New Roman" w:hint="eastAsia"/>
          <w:color w:val="000000"/>
          <w:sz w:val="28"/>
          <w:szCs w:val="28"/>
        </w:rPr>
        <w:t>协议行权是指期货公司与客户通过期权经纪合同约定，期货公司借助系统为客户指定合约设置行权策略，客户在行权日不必再提交行</w:t>
      </w:r>
      <w:r>
        <w:rPr>
          <w:rFonts w:ascii="仿宋_GB2312" w:eastAsia="仿宋_GB2312" w:hAnsi="Times New Roman" w:hint="eastAsia"/>
          <w:color w:val="000000"/>
          <w:sz w:val="28"/>
          <w:szCs w:val="28"/>
        </w:rPr>
        <w:lastRenderedPageBreak/>
        <w:t>权委托，系统会为指定合约自动提交行权委托的服务。协议行权能够降低客户在行权日忘记行权带来损失的风险。</w:t>
      </w:r>
    </w:p>
    <w:p w:rsidR="00FC3217" w:rsidRDefault="00FC3217" w:rsidP="00FC3217">
      <w:pPr>
        <w:pStyle w:val="2"/>
        <w:ind w:firstLine="562"/>
      </w:pPr>
      <w:bookmarkStart w:id="369" w:name="_Toc23947005"/>
      <w:r>
        <w:rPr>
          <w:rFonts w:hint="eastAsia"/>
        </w:rPr>
        <w:t>一、协议行权策略</w:t>
      </w:r>
      <w:bookmarkEnd w:id="369"/>
    </w:p>
    <w:p w:rsidR="00FC3217" w:rsidRDefault="00FC3217" w:rsidP="00FC3217">
      <w:pPr>
        <w:ind w:firstLineChars="200" w:firstLine="560"/>
        <w:rPr>
          <w:rFonts w:ascii="仿宋_GB2312" w:eastAsia="仿宋_GB2312" w:hAnsi="Times New Roman"/>
          <w:color w:val="000000"/>
          <w:sz w:val="28"/>
          <w:szCs w:val="28"/>
        </w:rPr>
      </w:pPr>
      <w:r>
        <w:rPr>
          <w:rFonts w:ascii="仿宋_GB2312" w:eastAsia="仿宋_GB2312" w:hAnsi="Times New Roman" w:hint="eastAsia"/>
          <w:color w:val="000000"/>
          <w:sz w:val="28"/>
          <w:szCs w:val="28"/>
        </w:rPr>
        <w:t>期货公司可为客户提供协议行权服务的选择，客户可以自行选择策略和触发条件，以此确定策略阀值。建议期货公司将协议行权申报委托时间设定在收盘后。</w:t>
      </w:r>
    </w:p>
    <w:p w:rsidR="00FC3217" w:rsidRDefault="00FC3217" w:rsidP="00FC3217">
      <w:pPr>
        <w:ind w:firstLineChars="200" w:firstLine="560"/>
        <w:rPr>
          <w:rFonts w:ascii="仿宋_GB2312" w:eastAsia="仿宋_GB2312" w:hAnsi="Times New Roman"/>
          <w:color w:val="000000"/>
          <w:sz w:val="28"/>
          <w:szCs w:val="28"/>
        </w:rPr>
      </w:pPr>
      <w:r>
        <w:rPr>
          <w:rFonts w:ascii="仿宋_GB2312" w:eastAsia="仿宋_GB2312" w:hAnsi="Times New Roman" w:hint="eastAsia"/>
          <w:sz w:val="28"/>
          <w:szCs w:val="28"/>
        </w:rPr>
        <w:t>以下为</w:t>
      </w:r>
      <w:r>
        <w:rPr>
          <w:rFonts w:ascii="仿宋_GB2312" w:eastAsia="仿宋_GB2312" w:hAnsi="Times New Roman" w:hint="eastAsia"/>
          <w:color w:val="000000"/>
          <w:sz w:val="28"/>
          <w:szCs w:val="28"/>
        </w:rPr>
        <w:t>协议行权策略举例，仅供参考，期货公司可以根据自身情况制定协议行权策略：</w:t>
      </w:r>
    </w:p>
    <w:p w:rsidR="00FC3217" w:rsidRDefault="00FC3217" w:rsidP="00FC3217">
      <w:pPr>
        <w:ind w:firstLineChars="200" w:firstLine="560"/>
        <w:rPr>
          <w:rFonts w:ascii="仿宋_GB2312" w:eastAsia="仿宋_GB2312" w:hAnsi="Times New Roman"/>
          <w:color w:val="000000"/>
          <w:sz w:val="28"/>
          <w:szCs w:val="28"/>
        </w:rPr>
      </w:pPr>
      <w:r>
        <w:rPr>
          <w:rFonts w:ascii="仿宋_GB2312" w:eastAsia="仿宋_GB2312" w:hAnsi="Times New Roman" w:hint="eastAsia"/>
          <w:color w:val="000000"/>
          <w:sz w:val="28"/>
          <w:szCs w:val="28"/>
        </w:rPr>
        <w:t>（一）实值x元即行权</w:t>
      </w:r>
    </w:p>
    <w:p w:rsidR="00FC3217" w:rsidRDefault="00FC3217" w:rsidP="00FC3217">
      <w:pPr>
        <w:ind w:firstLineChars="200" w:firstLine="560"/>
        <w:rPr>
          <w:rFonts w:ascii="仿宋_GB2312" w:eastAsia="仿宋_GB2312" w:hAnsi="Times New Roman"/>
          <w:color w:val="000000"/>
          <w:sz w:val="28"/>
          <w:szCs w:val="28"/>
        </w:rPr>
      </w:pPr>
      <w:r>
        <w:rPr>
          <w:rFonts w:ascii="仿宋_GB2312" w:eastAsia="仿宋_GB2312" w:hAnsi="Times New Roman" w:hint="eastAsia"/>
          <w:color w:val="000000"/>
          <w:sz w:val="28"/>
          <w:szCs w:val="28"/>
        </w:rPr>
        <w:t>认购期权：收盘价 - 行权价≥策略阀值</w:t>
      </w:r>
    </w:p>
    <w:p w:rsidR="00FC3217" w:rsidRDefault="00FC3217" w:rsidP="00FC3217">
      <w:pPr>
        <w:ind w:firstLineChars="200" w:firstLine="560"/>
        <w:rPr>
          <w:rFonts w:ascii="仿宋_GB2312" w:eastAsia="仿宋_GB2312" w:hAnsi="Times New Roman"/>
          <w:color w:val="000000"/>
          <w:sz w:val="28"/>
          <w:szCs w:val="28"/>
        </w:rPr>
      </w:pPr>
      <w:r>
        <w:rPr>
          <w:rFonts w:ascii="仿宋_GB2312" w:eastAsia="仿宋_GB2312" w:hAnsi="Times New Roman" w:hint="eastAsia"/>
          <w:color w:val="000000"/>
          <w:sz w:val="28"/>
          <w:szCs w:val="28"/>
        </w:rPr>
        <w:t>认沽期权：行权价 - 收盘价≥策略阀值</w:t>
      </w:r>
    </w:p>
    <w:p w:rsidR="00FC3217" w:rsidRDefault="00FC3217" w:rsidP="00FC3217">
      <w:pPr>
        <w:ind w:firstLineChars="200" w:firstLine="560"/>
        <w:rPr>
          <w:rFonts w:ascii="仿宋_GB2312" w:eastAsia="仿宋_GB2312" w:hAnsi="Times New Roman"/>
          <w:color w:val="000000"/>
          <w:sz w:val="28"/>
          <w:szCs w:val="28"/>
        </w:rPr>
      </w:pPr>
      <w:r>
        <w:rPr>
          <w:rFonts w:ascii="仿宋_GB2312" w:eastAsia="仿宋_GB2312" w:hAnsi="Times New Roman" w:hint="eastAsia"/>
          <w:color w:val="000000"/>
          <w:sz w:val="28"/>
          <w:szCs w:val="28"/>
        </w:rPr>
        <w:t>（二）盈利x元即行权</w:t>
      </w:r>
    </w:p>
    <w:p w:rsidR="00FC3217" w:rsidRDefault="00FC3217" w:rsidP="00FC3217">
      <w:pPr>
        <w:ind w:firstLineChars="200" w:firstLine="560"/>
        <w:rPr>
          <w:rFonts w:ascii="仿宋_GB2312" w:eastAsia="仿宋_GB2312" w:hAnsi="Times New Roman"/>
          <w:color w:val="000000"/>
          <w:sz w:val="28"/>
          <w:szCs w:val="28"/>
        </w:rPr>
      </w:pPr>
      <w:r>
        <w:rPr>
          <w:rFonts w:ascii="仿宋_GB2312" w:eastAsia="仿宋_GB2312" w:hAnsi="Times New Roman" w:hint="eastAsia"/>
          <w:color w:val="000000"/>
          <w:sz w:val="28"/>
          <w:szCs w:val="28"/>
        </w:rPr>
        <w:t>认购期权：收盘价 - 行权价 - 折算的单份费用≥策略阀值</w:t>
      </w:r>
    </w:p>
    <w:p w:rsidR="00FC3217" w:rsidRDefault="00FC3217" w:rsidP="00FC3217">
      <w:pPr>
        <w:ind w:firstLineChars="200" w:firstLine="560"/>
        <w:rPr>
          <w:rFonts w:ascii="仿宋_GB2312" w:eastAsia="仿宋_GB2312" w:hAnsi="Times New Roman"/>
          <w:color w:val="000000"/>
          <w:sz w:val="28"/>
          <w:szCs w:val="28"/>
        </w:rPr>
      </w:pPr>
      <w:r>
        <w:rPr>
          <w:rFonts w:ascii="仿宋_GB2312" w:eastAsia="仿宋_GB2312" w:hAnsi="Times New Roman" w:hint="eastAsia"/>
          <w:color w:val="000000"/>
          <w:sz w:val="28"/>
          <w:szCs w:val="28"/>
        </w:rPr>
        <w:t>认沽期权：行权价 - 收盘价 - 折算的单份费用≥策略阀值</w:t>
      </w:r>
    </w:p>
    <w:p w:rsidR="00FC3217" w:rsidRDefault="00FC3217" w:rsidP="00FC3217">
      <w:pPr>
        <w:ind w:firstLineChars="200" w:firstLine="560"/>
        <w:rPr>
          <w:rFonts w:ascii="仿宋_GB2312" w:eastAsia="仿宋_GB2312" w:hAnsi="Times New Roman"/>
          <w:color w:val="000000"/>
          <w:sz w:val="28"/>
          <w:szCs w:val="28"/>
        </w:rPr>
      </w:pPr>
      <w:r>
        <w:rPr>
          <w:rFonts w:ascii="仿宋_GB2312" w:eastAsia="仿宋_GB2312" w:hAnsi="Times New Roman" w:hint="eastAsia"/>
          <w:color w:val="000000"/>
          <w:sz w:val="28"/>
          <w:szCs w:val="28"/>
        </w:rPr>
        <w:t>（三）实值百分比即行权</w:t>
      </w:r>
    </w:p>
    <w:p w:rsidR="00FC3217" w:rsidRDefault="00FC3217" w:rsidP="00FC3217">
      <w:pPr>
        <w:ind w:firstLineChars="200" w:firstLine="560"/>
        <w:rPr>
          <w:rFonts w:ascii="仿宋_GB2312" w:eastAsia="仿宋_GB2312" w:hAnsi="Times New Roman"/>
          <w:color w:val="000000"/>
          <w:sz w:val="28"/>
          <w:szCs w:val="28"/>
        </w:rPr>
      </w:pPr>
      <w:r>
        <w:rPr>
          <w:rFonts w:ascii="仿宋_GB2312" w:eastAsia="仿宋_GB2312" w:hAnsi="Times New Roman" w:hint="eastAsia"/>
          <w:color w:val="000000"/>
          <w:sz w:val="28"/>
          <w:szCs w:val="28"/>
        </w:rPr>
        <w:t>认购期权：（收盘价 - 行权价）/行权价≥策略阀值</w:t>
      </w:r>
    </w:p>
    <w:p w:rsidR="00FC3217" w:rsidRDefault="00FC3217" w:rsidP="00FC3217">
      <w:pPr>
        <w:ind w:firstLineChars="200" w:firstLine="560"/>
        <w:rPr>
          <w:rFonts w:ascii="仿宋_GB2312" w:eastAsia="仿宋_GB2312" w:hAnsi="Times New Roman"/>
          <w:color w:val="000000"/>
          <w:sz w:val="28"/>
          <w:szCs w:val="28"/>
        </w:rPr>
      </w:pPr>
      <w:r>
        <w:rPr>
          <w:rFonts w:ascii="仿宋_GB2312" w:eastAsia="仿宋_GB2312" w:hAnsi="Times New Roman" w:hint="eastAsia"/>
          <w:color w:val="000000"/>
          <w:sz w:val="28"/>
          <w:szCs w:val="28"/>
        </w:rPr>
        <w:t>认沽期权：（行权价 - 收盘价）/行权价≥策略阀值</w:t>
      </w:r>
    </w:p>
    <w:p w:rsidR="00FC3217" w:rsidRDefault="00FC3217" w:rsidP="00FC3217">
      <w:pPr>
        <w:ind w:firstLineChars="200" w:firstLine="560"/>
        <w:rPr>
          <w:rFonts w:ascii="仿宋_GB2312" w:eastAsia="仿宋_GB2312" w:hAnsi="Times New Roman"/>
          <w:color w:val="000000"/>
          <w:sz w:val="28"/>
          <w:szCs w:val="28"/>
        </w:rPr>
      </w:pPr>
      <w:r>
        <w:rPr>
          <w:rFonts w:ascii="仿宋_GB2312" w:eastAsia="仿宋_GB2312" w:hAnsi="Times New Roman" w:hint="eastAsia"/>
          <w:color w:val="000000"/>
          <w:sz w:val="28"/>
          <w:szCs w:val="28"/>
        </w:rPr>
        <w:t>（四）盈利百分比即行权</w:t>
      </w:r>
    </w:p>
    <w:p w:rsidR="00FC3217" w:rsidRDefault="00FC3217" w:rsidP="00FC3217">
      <w:pPr>
        <w:ind w:firstLineChars="200" w:firstLine="560"/>
        <w:rPr>
          <w:rFonts w:ascii="仿宋_GB2312" w:eastAsia="仿宋_GB2312" w:hAnsi="Times New Roman"/>
          <w:color w:val="000000"/>
          <w:sz w:val="28"/>
          <w:szCs w:val="28"/>
        </w:rPr>
      </w:pPr>
      <w:r>
        <w:rPr>
          <w:rFonts w:ascii="仿宋_GB2312" w:eastAsia="仿宋_GB2312" w:hAnsi="Times New Roman" w:hint="eastAsia"/>
          <w:color w:val="000000"/>
          <w:sz w:val="28"/>
          <w:szCs w:val="28"/>
        </w:rPr>
        <w:t>认购期权：（收盘价 - 行权价- 折算的单份费用）/（行权价 + 折算的单份费用）≥策略阀值</w:t>
      </w:r>
    </w:p>
    <w:p w:rsidR="00FC3217" w:rsidRDefault="00FC3217" w:rsidP="00FC3217">
      <w:pPr>
        <w:ind w:firstLineChars="200" w:firstLine="560"/>
        <w:rPr>
          <w:rFonts w:ascii="仿宋_GB2312" w:eastAsia="仿宋_GB2312" w:hAnsi="Times New Roman"/>
          <w:color w:val="000000"/>
          <w:sz w:val="28"/>
          <w:szCs w:val="28"/>
        </w:rPr>
      </w:pPr>
      <w:r>
        <w:rPr>
          <w:rFonts w:ascii="仿宋_GB2312" w:eastAsia="仿宋_GB2312" w:hAnsi="Times New Roman" w:hint="eastAsia"/>
          <w:color w:val="000000"/>
          <w:sz w:val="28"/>
          <w:szCs w:val="28"/>
        </w:rPr>
        <w:t>认沽期权：（行权价 - 收盘价- 折算的单份费用）/（行权价 + 折</w:t>
      </w:r>
      <w:r>
        <w:rPr>
          <w:rFonts w:ascii="仿宋_GB2312" w:eastAsia="仿宋_GB2312" w:hAnsi="Times New Roman" w:hint="eastAsia"/>
          <w:color w:val="000000"/>
          <w:sz w:val="28"/>
          <w:szCs w:val="28"/>
        </w:rPr>
        <w:lastRenderedPageBreak/>
        <w:t>算的单份费用）≥策略阀值</w:t>
      </w:r>
    </w:p>
    <w:p w:rsidR="00FC3217" w:rsidRDefault="00FC3217" w:rsidP="00FC3217">
      <w:pPr>
        <w:pStyle w:val="2"/>
        <w:ind w:firstLine="562"/>
      </w:pPr>
      <w:bookmarkStart w:id="370" w:name="_Toc23947006"/>
      <w:r>
        <w:rPr>
          <w:rFonts w:hint="eastAsia"/>
        </w:rPr>
        <w:t>二、协议行权注意事项</w:t>
      </w:r>
      <w:bookmarkEnd w:id="370"/>
    </w:p>
    <w:p w:rsidR="00FC3217" w:rsidRDefault="00FC3217" w:rsidP="00FC3217">
      <w:pPr>
        <w:ind w:firstLineChars="200" w:firstLine="560"/>
        <w:rPr>
          <w:rFonts w:ascii="仿宋_GB2312" w:eastAsia="仿宋_GB2312" w:hAnsi="Times New Roman"/>
          <w:color w:val="000000"/>
          <w:sz w:val="28"/>
          <w:szCs w:val="28"/>
        </w:rPr>
      </w:pPr>
      <w:r>
        <w:rPr>
          <w:rFonts w:ascii="仿宋_GB2312" w:eastAsia="仿宋_GB2312" w:hAnsi="Times New Roman" w:hint="eastAsia"/>
          <w:color w:val="000000"/>
          <w:sz w:val="28"/>
          <w:szCs w:val="28"/>
        </w:rPr>
        <w:t>投资者可以在任意交易日的交易时间设置针对任意合约的协议行权策略，包括没有持仓的合约；也可以设置一条针对所有合约都适用的行权策略。</w:t>
      </w:r>
    </w:p>
    <w:p w:rsidR="00FC3217" w:rsidRDefault="00FC3217" w:rsidP="00FC3217">
      <w:pPr>
        <w:ind w:firstLineChars="200" w:firstLine="560"/>
        <w:rPr>
          <w:rFonts w:ascii="仿宋_GB2312" w:eastAsia="仿宋_GB2312" w:hAnsi="Times New Roman"/>
          <w:color w:val="000000"/>
          <w:sz w:val="28"/>
          <w:szCs w:val="28"/>
        </w:rPr>
      </w:pPr>
      <w:r>
        <w:rPr>
          <w:rFonts w:ascii="仿宋_GB2312" w:eastAsia="仿宋_GB2312" w:hAnsi="Times New Roman" w:hint="eastAsia"/>
          <w:color w:val="000000"/>
          <w:sz w:val="28"/>
          <w:szCs w:val="28"/>
        </w:rPr>
        <w:t>期货公司在经过客户认可后，可以为客户设置默认的协议行权策略，该策略的阀值由期货公司自行设定。</w:t>
      </w:r>
    </w:p>
    <w:p w:rsidR="00FC3217" w:rsidRDefault="00FC3217" w:rsidP="00FC3217">
      <w:pPr>
        <w:ind w:firstLineChars="200" w:firstLine="560"/>
        <w:rPr>
          <w:rFonts w:ascii="仿宋_GB2312" w:eastAsia="仿宋_GB2312" w:hAnsi="Times New Roman"/>
          <w:sz w:val="28"/>
          <w:szCs w:val="28"/>
        </w:rPr>
      </w:pPr>
      <w:r>
        <w:rPr>
          <w:rFonts w:ascii="仿宋_GB2312" w:eastAsia="仿宋_GB2312" w:hAnsi="Times New Roman" w:hint="eastAsia"/>
          <w:color w:val="000000"/>
          <w:sz w:val="28"/>
          <w:szCs w:val="28"/>
        </w:rPr>
        <w:t>客户</w:t>
      </w:r>
      <w:r>
        <w:rPr>
          <w:rFonts w:ascii="仿宋_GB2312" w:eastAsia="仿宋_GB2312" w:hAnsi="Times New Roman" w:hint="eastAsia"/>
          <w:sz w:val="28"/>
          <w:szCs w:val="28"/>
        </w:rPr>
        <w:t>自行设置的协议行权策略优先于期货公司为客户设置的默认协议行权策略。</w:t>
      </w:r>
    </w:p>
    <w:p w:rsidR="00FC3217" w:rsidRDefault="00FC3217" w:rsidP="00FC3217">
      <w:pPr>
        <w:ind w:firstLineChars="200" w:firstLine="560"/>
        <w:rPr>
          <w:rFonts w:ascii="仿宋_GB2312" w:eastAsia="仿宋_GB2312" w:hAnsi="Times New Roman"/>
          <w:color w:val="000000"/>
          <w:sz w:val="28"/>
          <w:szCs w:val="28"/>
        </w:rPr>
      </w:pPr>
      <w:r>
        <w:rPr>
          <w:rFonts w:ascii="仿宋_GB2312" w:eastAsia="仿宋_GB2312" w:hAnsi="Times New Roman" w:hint="eastAsia"/>
          <w:sz w:val="28"/>
          <w:szCs w:val="28"/>
        </w:rPr>
        <w:t>客户</w:t>
      </w:r>
      <w:r>
        <w:rPr>
          <w:rFonts w:ascii="仿宋_GB2312" w:eastAsia="仿宋_GB2312" w:hAnsi="Times New Roman" w:hint="eastAsia"/>
          <w:color w:val="000000"/>
          <w:sz w:val="28"/>
          <w:szCs w:val="28"/>
        </w:rPr>
        <w:t>在行权日发出的手动行权委托（即客户在行权日提交的行权委托）优先于</w:t>
      </w:r>
      <w:r>
        <w:rPr>
          <w:rFonts w:ascii="仿宋_GB2312" w:eastAsia="仿宋_GB2312" w:hAnsi="Times New Roman" w:hint="eastAsia"/>
          <w:sz w:val="28"/>
          <w:szCs w:val="28"/>
        </w:rPr>
        <w:t>协议行权</w:t>
      </w:r>
      <w:r>
        <w:rPr>
          <w:rFonts w:eastAsia="仿宋_GB2312" w:hint="eastAsia"/>
          <w:sz w:val="28"/>
          <w:szCs w:val="28"/>
        </w:rPr>
        <w:t>委托</w:t>
      </w:r>
      <w:r>
        <w:rPr>
          <w:rFonts w:ascii="仿宋_GB2312" w:eastAsia="仿宋_GB2312" w:hAnsi="Times New Roman" w:hint="eastAsia"/>
          <w:color w:val="000000"/>
          <w:sz w:val="28"/>
          <w:szCs w:val="28"/>
        </w:rPr>
        <w:t>。</w:t>
      </w:r>
    </w:p>
    <w:p w:rsidR="00FC3217" w:rsidRDefault="00FC3217" w:rsidP="00FC3217">
      <w:pPr>
        <w:jc w:val="center"/>
        <w:outlineLvl w:val="0"/>
        <w:rPr>
          <w:rFonts w:ascii="Times New Roman" w:eastAsia="黑体" w:hAnsi="Times New Roman"/>
          <w:b/>
          <w:bCs/>
          <w:sz w:val="30"/>
          <w:szCs w:val="24"/>
        </w:rPr>
      </w:pPr>
    </w:p>
    <w:p w:rsidR="00FC3217" w:rsidRDefault="00FC3217" w:rsidP="00FC3217">
      <w:pPr>
        <w:pStyle w:val="2"/>
        <w:ind w:firstLine="643"/>
        <w:jc w:val="center"/>
        <w:rPr>
          <w:rFonts w:ascii="黑体" w:eastAsia="黑体" w:hAnsi="黑体"/>
          <w:sz w:val="32"/>
        </w:rPr>
      </w:pPr>
      <w:bookmarkStart w:id="371" w:name="_Toc23947007"/>
      <w:r>
        <w:rPr>
          <w:rFonts w:ascii="黑体" w:eastAsia="黑体" w:hAnsi="黑体" w:hint="eastAsia"/>
          <w:sz w:val="32"/>
        </w:rPr>
        <w:t>第十一章 客户资金划转与结算</w:t>
      </w:r>
      <w:bookmarkEnd w:id="371"/>
    </w:p>
    <w:p w:rsidR="00FC3217" w:rsidRDefault="00FC3217" w:rsidP="00FC3217">
      <w:pPr>
        <w:pStyle w:val="2"/>
        <w:ind w:firstLine="562"/>
      </w:pPr>
      <w:bookmarkStart w:id="372" w:name="_Toc23947008"/>
      <w:r>
        <w:rPr>
          <w:rFonts w:hint="eastAsia"/>
        </w:rPr>
        <w:t>一、资金划转</w:t>
      </w:r>
      <w:bookmarkEnd w:id="372"/>
    </w:p>
    <w:p w:rsidR="00FC3217" w:rsidRDefault="00FC3217" w:rsidP="00FC3217">
      <w:pPr>
        <w:ind w:firstLineChars="200" w:firstLine="560"/>
        <w:rPr>
          <w:rFonts w:ascii="仿宋_GB2312" w:eastAsia="仿宋_GB2312"/>
          <w:color w:val="000000"/>
          <w:sz w:val="28"/>
          <w:szCs w:val="28"/>
        </w:rPr>
      </w:pPr>
      <w:r>
        <w:rPr>
          <w:rFonts w:ascii="仿宋_GB2312" w:eastAsia="仿宋_GB2312" w:hint="eastAsia"/>
          <w:color w:val="000000"/>
          <w:sz w:val="28"/>
          <w:szCs w:val="28"/>
        </w:rPr>
        <w:t>对于现货资金划转，参照证券公司的做法，期货公司客户入金时，直接从银行结算账户向其在期货公司开立的证券资金账户划转；期货公司入金时，直接从期货公司的结算资金专用存款账户向在中国结算开立的资金交收账户划转。</w:t>
      </w:r>
    </w:p>
    <w:p w:rsidR="00FC3217" w:rsidRDefault="00FC3217" w:rsidP="00FC3217">
      <w:pPr>
        <w:ind w:firstLineChars="200" w:firstLine="560"/>
        <w:rPr>
          <w:rFonts w:ascii="仿宋_GB2312" w:eastAsia="仿宋_GB2312"/>
          <w:color w:val="000000"/>
          <w:sz w:val="28"/>
          <w:szCs w:val="28"/>
        </w:rPr>
      </w:pPr>
      <w:r>
        <w:rPr>
          <w:rFonts w:ascii="仿宋_GB2312" w:eastAsia="仿宋_GB2312" w:hint="eastAsia"/>
          <w:color w:val="000000"/>
          <w:sz w:val="28"/>
          <w:szCs w:val="28"/>
        </w:rPr>
        <w:t>对于衍生品资金划转，期货公司客户入金时，直接从银行结算账户（可复用资金账户）向其在期货公司的衍生品资金账户（复用其期</w:t>
      </w:r>
      <w:r>
        <w:rPr>
          <w:rFonts w:ascii="仿宋_GB2312" w:eastAsia="仿宋_GB2312" w:hint="eastAsia"/>
          <w:color w:val="000000"/>
          <w:sz w:val="28"/>
          <w:szCs w:val="28"/>
        </w:rPr>
        <w:lastRenderedPageBreak/>
        <w:t>货保证金账户，该账户资金可用于交易封闭圈内指定金融产品，包括期货和期权）转账。期货公司入金时，直接从期货公司的期货保证金账户向其在中国结算开立的客户股票期权保证金账户转账。</w:t>
      </w:r>
    </w:p>
    <w:p w:rsidR="00FC3217" w:rsidRDefault="00FC3217" w:rsidP="00FC3217">
      <w:pPr>
        <w:ind w:firstLineChars="200" w:firstLine="560"/>
        <w:rPr>
          <w:rFonts w:ascii="仿宋_GB2312" w:eastAsia="仿宋_GB2312"/>
          <w:color w:val="000000"/>
          <w:sz w:val="28"/>
          <w:szCs w:val="28"/>
        </w:rPr>
      </w:pPr>
      <w:r>
        <w:rPr>
          <w:rFonts w:ascii="仿宋_GB2312" w:eastAsia="仿宋_GB2312" w:hint="eastAsia"/>
          <w:color w:val="000000"/>
          <w:sz w:val="28"/>
          <w:szCs w:val="28"/>
        </w:rPr>
        <w:t>出金的相关操作与入金相反。</w:t>
      </w:r>
    </w:p>
    <w:p w:rsidR="00FC3217" w:rsidRDefault="00FC3217" w:rsidP="00FC3217">
      <w:pPr>
        <w:pStyle w:val="2"/>
        <w:ind w:firstLine="562"/>
      </w:pPr>
      <w:bookmarkStart w:id="373" w:name="_Toc23947009"/>
      <w:r>
        <w:rPr>
          <w:rFonts w:hint="eastAsia"/>
        </w:rPr>
        <w:t>二、日常交易清算</w:t>
      </w:r>
      <w:bookmarkEnd w:id="373"/>
    </w:p>
    <w:p w:rsidR="00FC3217" w:rsidRDefault="00FC3217" w:rsidP="00FC3217">
      <w:pPr>
        <w:ind w:firstLineChars="200" w:firstLine="560"/>
        <w:rPr>
          <w:rFonts w:ascii="仿宋_GB2312" w:eastAsia="仿宋_GB2312"/>
          <w:color w:val="000000"/>
          <w:sz w:val="28"/>
          <w:szCs w:val="28"/>
        </w:rPr>
      </w:pPr>
      <w:r>
        <w:rPr>
          <w:rFonts w:ascii="仿宋_GB2312" w:eastAsia="仿宋_GB2312" w:hint="eastAsia"/>
          <w:color w:val="000000"/>
          <w:sz w:val="28"/>
          <w:szCs w:val="28"/>
        </w:rPr>
        <w:t>T日日终，期货公司根据中国结算发送的数据，对客户进行权利金和合约持仓变更的清算。当日单个客户全部股票期权交易资金清算结果以该客户股票期权保证金账户为单位进行轧差，形成该客户当日交易资金交收净应收/付净额（若T日前一交易日为行权交收日，资金净应收/付净额中包含过户费）。</w:t>
      </w:r>
    </w:p>
    <w:p w:rsidR="00FC3217" w:rsidRDefault="00FC3217" w:rsidP="00FC3217">
      <w:pPr>
        <w:ind w:firstLineChars="200" w:firstLine="560"/>
        <w:rPr>
          <w:rFonts w:ascii="仿宋_GB2312" w:eastAsia="仿宋_GB2312"/>
          <w:color w:val="000000"/>
          <w:sz w:val="28"/>
          <w:szCs w:val="28"/>
        </w:rPr>
      </w:pPr>
      <w:r>
        <w:rPr>
          <w:rFonts w:ascii="仿宋_GB2312" w:eastAsia="仿宋_GB2312" w:hint="eastAsia"/>
          <w:color w:val="000000"/>
          <w:sz w:val="28"/>
          <w:szCs w:val="28"/>
        </w:rPr>
        <w:t>对客户各交易类型清算处理如下：①买入开仓：增加权利仓头寸，计减权利金；②卖出平仓：减少权利仓头寸，计增权利金；③卖出开仓：增加义务仓头寸，计减保证金，计增权利金；④买入平仓：减少义务仓头寸，计增保证金，计减权利金；</w:t>
      </w:r>
      <w:r w:rsidR="00777240">
        <w:rPr>
          <w:rFonts w:ascii="仿宋_GB2312" w:eastAsia="仿宋_GB2312" w:hint="eastAsia"/>
          <w:color w:val="000000"/>
          <w:sz w:val="28"/>
          <w:szCs w:val="28"/>
        </w:rPr>
        <w:fldChar w:fldCharType="begin"/>
      </w:r>
      <w:r>
        <w:rPr>
          <w:rFonts w:ascii="仿宋_GB2312" w:eastAsia="仿宋_GB2312" w:hint="eastAsia"/>
          <w:color w:val="000000"/>
          <w:sz w:val="28"/>
          <w:szCs w:val="28"/>
        </w:rPr>
        <w:instrText xml:space="preserve"> = 5 \* GB3 </w:instrText>
      </w:r>
      <w:r w:rsidR="00777240">
        <w:rPr>
          <w:rFonts w:ascii="仿宋_GB2312" w:eastAsia="仿宋_GB2312" w:hint="eastAsia"/>
          <w:color w:val="000000"/>
          <w:sz w:val="28"/>
          <w:szCs w:val="28"/>
        </w:rPr>
        <w:fldChar w:fldCharType="separate"/>
      </w:r>
      <w:r>
        <w:rPr>
          <w:rFonts w:ascii="仿宋_GB2312" w:eastAsia="仿宋_GB2312" w:hint="eastAsia"/>
          <w:color w:val="000000"/>
          <w:sz w:val="28"/>
          <w:szCs w:val="28"/>
        </w:rPr>
        <w:t>⑤</w:t>
      </w:r>
      <w:r w:rsidR="00777240">
        <w:rPr>
          <w:rFonts w:ascii="仿宋_GB2312" w:eastAsia="仿宋_GB2312" w:hint="eastAsia"/>
          <w:color w:val="000000"/>
          <w:sz w:val="28"/>
          <w:szCs w:val="28"/>
        </w:rPr>
        <w:fldChar w:fldCharType="end"/>
      </w:r>
      <w:r>
        <w:rPr>
          <w:rFonts w:ascii="仿宋_GB2312" w:eastAsia="仿宋_GB2312" w:hint="eastAsia"/>
          <w:color w:val="000000"/>
          <w:sz w:val="28"/>
          <w:szCs w:val="28"/>
        </w:rPr>
        <w:t>备兑开仓：增加义务仓头寸，锁定标的证券，计增权利金；</w:t>
      </w:r>
      <w:r w:rsidR="00777240">
        <w:rPr>
          <w:rFonts w:ascii="仿宋_GB2312" w:eastAsia="仿宋_GB2312" w:hint="eastAsia"/>
          <w:color w:val="000000"/>
          <w:sz w:val="28"/>
          <w:szCs w:val="28"/>
        </w:rPr>
        <w:fldChar w:fldCharType="begin"/>
      </w:r>
      <w:r>
        <w:rPr>
          <w:rFonts w:ascii="仿宋_GB2312" w:eastAsia="仿宋_GB2312" w:hint="eastAsia"/>
          <w:color w:val="000000"/>
          <w:sz w:val="28"/>
          <w:szCs w:val="28"/>
        </w:rPr>
        <w:instrText xml:space="preserve"> = 6 \* GB3 </w:instrText>
      </w:r>
      <w:r w:rsidR="00777240">
        <w:rPr>
          <w:rFonts w:ascii="仿宋_GB2312" w:eastAsia="仿宋_GB2312" w:hint="eastAsia"/>
          <w:color w:val="000000"/>
          <w:sz w:val="28"/>
          <w:szCs w:val="28"/>
        </w:rPr>
        <w:fldChar w:fldCharType="separate"/>
      </w:r>
      <w:r>
        <w:rPr>
          <w:rFonts w:ascii="仿宋_GB2312" w:eastAsia="仿宋_GB2312" w:hint="eastAsia"/>
          <w:color w:val="000000"/>
          <w:sz w:val="28"/>
          <w:szCs w:val="28"/>
        </w:rPr>
        <w:t>⑥</w:t>
      </w:r>
      <w:r w:rsidR="00777240">
        <w:rPr>
          <w:rFonts w:ascii="仿宋_GB2312" w:eastAsia="仿宋_GB2312" w:hint="eastAsia"/>
          <w:color w:val="000000"/>
          <w:sz w:val="28"/>
          <w:szCs w:val="28"/>
        </w:rPr>
        <w:fldChar w:fldCharType="end"/>
      </w:r>
      <w:r>
        <w:rPr>
          <w:rFonts w:ascii="仿宋_GB2312" w:eastAsia="仿宋_GB2312" w:hint="eastAsia"/>
          <w:color w:val="000000"/>
          <w:sz w:val="28"/>
          <w:szCs w:val="28"/>
        </w:rPr>
        <w:t>备兑平仓：减少义务仓头寸，解锁标的证券，计减权利金。</w:t>
      </w:r>
    </w:p>
    <w:p w:rsidR="00FC3217" w:rsidRDefault="00FC3217" w:rsidP="00FC3217">
      <w:pPr>
        <w:ind w:firstLineChars="200" w:firstLine="560"/>
        <w:rPr>
          <w:rFonts w:ascii="仿宋_GB2312" w:eastAsia="仿宋_GB2312"/>
          <w:color w:val="000000"/>
          <w:sz w:val="28"/>
          <w:szCs w:val="28"/>
        </w:rPr>
      </w:pPr>
      <w:r>
        <w:rPr>
          <w:rFonts w:ascii="仿宋_GB2312" w:eastAsia="仿宋_GB2312" w:hint="eastAsia"/>
          <w:color w:val="000000"/>
          <w:sz w:val="28"/>
          <w:szCs w:val="28"/>
        </w:rPr>
        <w:t>在交易时段，期货公司客户可对同一期权合约进行双向持仓（可同时持有权利仓与义务仓）。日终清算时，期货公司应对客户的双向头寸自动进行对冲（取净头寸，优先对冲非备兑义务仓</w:t>
      </w:r>
      <w:r>
        <w:rPr>
          <w:rFonts w:ascii="仿宋_GB2312" w:eastAsia="仿宋_GB2312" w:hint="eastAsia"/>
          <w:sz w:val="28"/>
          <w:szCs w:val="28"/>
        </w:rPr>
        <w:t>，</w:t>
      </w:r>
      <w:r w:rsidRPr="00CB144A">
        <w:rPr>
          <w:rFonts w:ascii="仿宋_GB2312" w:eastAsia="仿宋_GB2312" w:hint="eastAsia"/>
          <w:sz w:val="28"/>
          <w:szCs w:val="28"/>
        </w:rPr>
        <w:t>组合策略持仓除外</w:t>
      </w:r>
      <w:r>
        <w:rPr>
          <w:rFonts w:ascii="仿宋_GB2312" w:eastAsia="仿宋_GB2312" w:hint="eastAsia"/>
          <w:color w:val="000000"/>
          <w:sz w:val="28"/>
          <w:szCs w:val="28"/>
        </w:rPr>
        <w:t>），并调整为单向持仓，并按单向持仓计收维持保证金。</w:t>
      </w:r>
    </w:p>
    <w:p w:rsidR="00FC3217" w:rsidRDefault="00FC3217" w:rsidP="00FC3217">
      <w:pPr>
        <w:pStyle w:val="2"/>
        <w:ind w:firstLine="562"/>
      </w:pPr>
      <w:bookmarkStart w:id="374" w:name="_Toc23947010"/>
      <w:r>
        <w:rPr>
          <w:rFonts w:hint="eastAsia"/>
        </w:rPr>
        <w:lastRenderedPageBreak/>
        <w:t>三、清算后数据对账</w:t>
      </w:r>
      <w:bookmarkEnd w:id="374"/>
    </w:p>
    <w:p w:rsidR="00FC3217" w:rsidRDefault="00FC3217" w:rsidP="00FC3217">
      <w:pPr>
        <w:ind w:firstLineChars="200" w:firstLine="562"/>
        <w:rPr>
          <w:rFonts w:ascii="仿宋_GB2312" w:eastAsia="仿宋_GB2312"/>
          <w:b/>
          <w:color w:val="000000"/>
          <w:sz w:val="28"/>
          <w:szCs w:val="28"/>
        </w:rPr>
      </w:pPr>
      <w:r>
        <w:rPr>
          <w:rFonts w:ascii="仿宋_GB2312" w:eastAsia="仿宋_GB2312" w:hint="eastAsia"/>
          <w:b/>
          <w:color w:val="000000"/>
          <w:sz w:val="28"/>
          <w:szCs w:val="28"/>
        </w:rPr>
        <w:t>（一）合约与证券对账</w:t>
      </w:r>
    </w:p>
    <w:p w:rsidR="00FC3217" w:rsidRDefault="00FC3217" w:rsidP="00FC3217">
      <w:pPr>
        <w:ind w:firstLineChars="200" w:firstLine="560"/>
        <w:rPr>
          <w:rFonts w:ascii="仿宋_GB2312" w:eastAsia="仿宋_GB2312"/>
          <w:color w:val="000000"/>
          <w:sz w:val="28"/>
          <w:szCs w:val="28"/>
        </w:rPr>
      </w:pPr>
      <w:r>
        <w:rPr>
          <w:rFonts w:ascii="仿宋_GB2312" w:eastAsia="仿宋_GB2312" w:hint="eastAsia"/>
          <w:color w:val="000000"/>
          <w:sz w:val="28"/>
          <w:szCs w:val="28"/>
        </w:rPr>
        <w:t>1.合约对账：期货公司期权柜台系统完成交收后，应将系统内客户合约持仓数据与根据本所交易记录生成的客户合约持仓数据进行对账</w:t>
      </w:r>
      <w:r>
        <w:rPr>
          <w:rFonts w:ascii="仿宋_GB2312" w:eastAsia="仿宋_GB2312" w:hAnsi="Times New Roman" w:hint="eastAsia"/>
          <w:sz w:val="28"/>
          <w:szCs w:val="28"/>
        </w:rPr>
        <w:t>，不平时需</w:t>
      </w:r>
      <w:r>
        <w:rPr>
          <w:rFonts w:ascii="仿宋_GB2312" w:eastAsia="仿宋_GB2312" w:hint="eastAsia"/>
          <w:color w:val="000000"/>
          <w:sz w:val="28"/>
          <w:szCs w:val="28"/>
        </w:rPr>
        <w:t>及时分析其原因，并做后续处理；</w:t>
      </w:r>
    </w:p>
    <w:p w:rsidR="00FC3217" w:rsidRDefault="00FC3217" w:rsidP="00FC3217">
      <w:pPr>
        <w:ind w:firstLineChars="200" w:firstLine="560"/>
        <w:rPr>
          <w:rFonts w:ascii="仿宋_GB2312" w:eastAsia="仿宋_GB2312"/>
          <w:color w:val="000000"/>
          <w:sz w:val="28"/>
          <w:szCs w:val="28"/>
        </w:rPr>
      </w:pPr>
      <w:r>
        <w:rPr>
          <w:rFonts w:ascii="仿宋_GB2312" w:eastAsia="仿宋_GB2312" w:hint="eastAsia"/>
          <w:color w:val="000000"/>
          <w:sz w:val="28"/>
          <w:szCs w:val="28"/>
        </w:rPr>
        <w:t>2.标的证券对账：期货公司的备兑证券由证券交易经纪业务柜台系统进行管理。该系统完成交收后，期货公司将该系统标的证券持仓数据与中国结算上海分公司发送的股份余额数据进行对账，不平时需及时分析其原因，并做后续处理。</w:t>
      </w:r>
    </w:p>
    <w:p w:rsidR="00FC3217" w:rsidRDefault="00FC3217" w:rsidP="00FC3217">
      <w:pPr>
        <w:ind w:firstLineChars="200" w:firstLine="562"/>
        <w:rPr>
          <w:rFonts w:ascii="仿宋_GB2312" w:eastAsia="仿宋_GB2312"/>
          <w:b/>
          <w:color w:val="000000"/>
          <w:sz w:val="28"/>
          <w:szCs w:val="28"/>
        </w:rPr>
      </w:pPr>
      <w:r>
        <w:rPr>
          <w:rFonts w:ascii="仿宋_GB2312" w:eastAsia="仿宋_GB2312" w:hint="eastAsia"/>
          <w:b/>
          <w:color w:val="000000"/>
          <w:sz w:val="28"/>
          <w:szCs w:val="28"/>
        </w:rPr>
        <w:t>（二）资金对账</w:t>
      </w:r>
    </w:p>
    <w:p w:rsidR="00FC3217" w:rsidRDefault="00FC3217" w:rsidP="00FC3217">
      <w:pPr>
        <w:ind w:firstLineChars="200" w:firstLine="560"/>
        <w:rPr>
          <w:rFonts w:ascii="仿宋_GB2312" w:eastAsia="仿宋_GB2312"/>
          <w:color w:val="000000"/>
          <w:sz w:val="28"/>
          <w:szCs w:val="28"/>
        </w:rPr>
      </w:pPr>
      <w:r>
        <w:rPr>
          <w:rFonts w:ascii="仿宋_GB2312" w:eastAsia="仿宋_GB2312" w:hint="eastAsia"/>
          <w:color w:val="000000"/>
          <w:sz w:val="28"/>
          <w:szCs w:val="28"/>
        </w:rPr>
        <w:t>1.银行头寸账实核对：每日清算完成后，期货公司应将法人结算系统的期权银行簿记余额与银行实头寸核对，不平时需及时分析其原因，并做后续处理。</w:t>
      </w:r>
    </w:p>
    <w:p w:rsidR="00FC3217" w:rsidRDefault="00FC3217" w:rsidP="00FC3217">
      <w:pPr>
        <w:ind w:firstLineChars="200" w:firstLine="560"/>
        <w:rPr>
          <w:rFonts w:ascii="仿宋_GB2312" w:eastAsia="仿宋_GB2312"/>
          <w:color w:val="000000"/>
          <w:sz w:val="28"/>
          <w:szCs w:val="28"/>
        </w:rPr>
      </w:pPr>
      <w:r>
        <w:rPr>
          <w:rFonts w:ascii="仿宋_GB2312" w:eastAsia="仿宋_GB2312" w:hint="eastAsia"/>
          <w:color w:val="000000"/>
          <w:sz w:val="28"/>
          <w:szCs w:val="28"/>
        </w:rPr>
        <w:t>2.中国结算保证金头寸账实核对：每日清算完成后，期货公司应将法人结算系统的中国结算上海分公司股票期权保证金簿记余额与中国结算上海分公司的股票期权保证金账户的实头寸核对，做到账实相符</w:t>
      </w:r>
      <w:r>
        <w:rPr>
          <w:rFonts w:ascii="仿宋_GB2312" w:eastAsia="仿宋_GB2312" w:hAnsi="Times New Roman" w:hint="eastAsia"/>
          <w:sz w:val="28"/>
          <w:szCs w:val="28"/>
        </w:rPr>
        <w:t>，不平时需及时分析其原因，并做后续处理</w:t>
      </w:r>
      <w:r>
        <w:rPr>
          <w:rFonts w:ascii="仿宋_GB2312" w:eastAsia="仿宋_GB2312" w:hint="eastAsia"/>
          <w:color w:val="000000"/>
          <w:sz w:val="28"/>
          <w:szCs w:val="28"/>
        </w:rPr>
        <w:t>。</w:t>
      </w:r>
    </w:p>
    <w:p w:rsidR="00FC3217" w:rsidRDefault="00FC3217" w:rsidP="00FC3217">
      <w:pPr>
        <w:pStyle w:val="2"/>
        <w:ind w:firstLine="562"/>
      </w:pPr>
      <w:bookmarkStart w:id="375" w:name="_Toc23947011"/>
      <w:r>
        <w:rPr>
          <w:rFonts w:hint="eastAsia"/>
        </w:rPr>
        <w:t>四、日常交易交收</w:t>
      </w:r>
      <w:bookmarkEnd w:id="375"/>
    </w:p>
    <w:p w:rsidR="00FC3217" w:rsidRDefault="00FC3217" w:rsidP="00FC3217">
      <w:pPr>
        <w:ind w:firstLineChars="200" w:firstLine="560"/>
        <w:rPr>
          <w:rFonts w:ascii="仿宋_GB2312" w:eastAsia="仿宋_GB2312"/>
          <w:color w:val="000000"/>
          <w:sz w:val="28"/>
          <w:szCs w:val="28"/>
        </w:rPr>
      </w:pPr>
      <w:r>
        <w:rPr>
          <w:rFonts w:ascii="仿宋_GB2312" w:eastAsia="仿宋_GB2312" w:hint="eastAsia"/>
          <w:color w:val="000000"/>
          <w:sz w:val="28"/>
          <w:szCs w:val="28"/>
        </w:rPr>
        <w:t>T日日终，期货公司根据柜台系统清算结果，首先释放每个客户股票期权保证金账户内未平仓合约的维持保证金,再以单个客户股票期权保证金账户为单位根据资金净应收/付金额完成股票期权交易的</w:t>
      </w:r>
      <w:r>
        <w:rPr>
          <w:rFonts w:ascii="仿宋_GB2312" w:eastAsia="仿宋_GB2312" w:hint="eastAsia"/>
          <w:color w:val="000000"/>
          <w:sz w:val="28"/>
          <w:szCs w:val="28"/>
        </w:rPr>
        <w:lastRenderedPageBreak/>
        <w:t>资金交收，相应增加或减少客户股票期权保证金账户的资金余额，相应增加或减少客户衍生品合约账户的合约持仓，相应冻结或解冻客户备兑开平仓对应的标的证券</w:t>
      </w:r>
      <w:r>
        <w:rPr>
          <w:rFonts w:ascii="仿宋_GB2312" w:eastAsia="仿宋_GB2312" w:hAnsi="Times New Roman" w:hint="eastAsia"/>
          <w:sz w:val="28"/>
          <w:szCs w:val="28"/>
        </w:rPr>
        <w:t>,再根据当日结算价重新冻结维持保证金</w:t>
      </w:r>
      <w:r>
        <w:rPr>
          <w:rFonts w:ascii="仿宋_GB2312" w:eastAsia="仿宋_GB2312" w:hint="eastAsia"/>
          <w:color w:val="000000"/>
          <w:sz w:val="28"/>
          <w:szCs w:val="28"/>
        </w:rPr>
        <w:t>。</w:t>
      </w:r>
    </w:p>
    <w:p w:rsidR="00FC3217" w:rsidRDefault="00FC3217" w:rsidP="00FC3217">
      <w:pPr>
        <w:ind w:firstLineChars="200" w:firstLine="560"/>
        <w:rPr>
          <w:rFonts w:ascii="仿宋_GB2312" w:eastAsia="仿宋_GB2312"/>
          <w:color w:val="000000"/>
          <w:sz w:val="28"/>
          <w:szCs w:val="28"/>
        </w:rPr>
      </w:pPr>
      <w:r>
        <w:rPr>
          <w:rFonts w:ascii="仿宋_GB2312" w:eastAsia="仿宋_GB2312" w:hint="eastAsia"/>
          <w:color w:val="000000"/>
          <w:sz w:val="28"/>
          <w:szCs w:val="28"/>
        </w:rPr>
        <w:t xml:space="preserve">结算的具体内容，详见中国结算发布的《中国证券登记结算有限责任公司关于上海证券交易所股票期权试点结算规则》。 </w:t>
      </w:r>
    </w:p>
    <w:p w:rsidR="00FC3217" w:rsidRDefault="00FC3217" w:rsidP="00021BE0">
      <w:pPr>
        <w:spacing w:beforeLines="50" w:afterLines="50" w:line="360" w:lineRule="auto"/>
        <w:jc w:val="center"/>
        <w:outlineLvl w:val="0"/>
        <w:rPr>
          <w:rFonts w:ascii="仿宋_GB2312" w:eastAsia="仿宋_GB2312" w:hAnsi="Times New Roman"/>
          <w:b/>
          <w:bCs/>
          <w:sz w:val="28"/>
          <w:szCs w:val="28"/>
        </w:rPr>
      </w:pPr>
    </w:p>
    <w:p w:rsidR="00173848" w:rsidRDefault="00FC3217" w:rsidP="00021BE0">
      <w:pPr>
        <w:pStyle w:val="2"/>
        <w:spacing w:beforeLines="50" w:afterLines="50"/>
        <w:ind w:firstLine="562"/>
        <w:jc w:val="center"/>
        <w:rPr>
          <w:rFonts w:ascii="黑体" w:eastAsia="黑体" w:hAnsi="黑体"/>
          <w:sz w:val="32"/>
        </w:rPr>
      </w:pPr>
      <w:r>
        <w:rPr>
          <w:rFonts w:ascii="仿宋_GB2312" w:hAnsi="Times New Roman" w:hint="eastAsia"/>
          <w:szCs w:val="28"/>
        </w:rPr>
        <w:br w:type="page"/>
      </w:r>
      <w:bookmarkStart w:id="376" w:name="_Toc408746754"/>
      <w:bookmarkStart w:id="377" w:name="_Toc9945"/>
      <w:bookmarkStart w:id="378" w:name="_Toc3426"/>
      <w:bookmarkStart w:id="379" w:name="_Toc15408"/>
      <w:bookmarkStart w:id="380" w:name="_Toc20220"/>
      <w:bookmarkStart w:id="381" w:name="_Toc23947012"/>
      <w:r>
        <w:rPr>
          <w:rFonts w:ascii="黑体" w:eastAsia="黑体" w:hAnsi="黑体" w:hint="eastAsia"/>
          <w:sz w:val="32"/>
        </w:rPr>
        <w:lastRenderedPageBreak/>
        <w:t>第十二章 投资者数据报备</w:t>
      </w:r>
      <w:bookmarkEnd w:id="376"/>
      <w:bookmarkEnd w:id="377"/>
      <w:bookmarkEnd w:id="378"/>
      <w:bookmarkEnd w:id="379"/>
      <w:bookmarkEnd w:id="380"/>
      <w:bookmarkEnd w:id="381"/>
    </w:p>
    <w:p w:rsidR="00FC3217" w:rsidRDefault="00FC3217" w:rsidP="00FC3217">
      <w:pPr>
        <w:ind w:firstLineChars="200" w:firstLine="560"/>
        <w:rPr>
          <w:rFonts w:ascii="仿宋_GB2312" w:eastAsia="仿宋_GB2312" w:hAnsi="Times New Roman"/>
          <w:kern w:val="0"/>
          <w:sz w:val="28"/>
          <w:szCs w:val="28"/>
          <w:lang w:val="zh-CN"/>
        </w:rPr>
      </w:pPr>
      <w:r>
        <w:rPr>
          <w:rFonts w:ascii="仿宋_GB2312" w:eastAsia="仿宋_GB2312" w:hAnsi="Times New Roman" w:hint="eastAsia"/>
          <w:kern w:val="0"/>
          <w:sz w:val="28"/>
          <w:szCs w:val="28"/>
          <w:lang w:val="zh-CN"/>
        </w:rPr>
        <w:t>期货公司应在每个交易日收盘之后至16:30之前向上交所报备所有客户相关信息，包括可买入额度、资金相关信息（主要用于</w:t>
      </w:r>
      <w:r>
        <w:rPr>
          <w:rFonts w:ascii="仿宋_GB2312" w:eastAsia="仿宋_GB2312" w:hAnsi="Times New Roman" w:hint="eastAsia"/>
          <w:sz w:val="28"/>
          <w:szCs w:val="28"/>
        </w:rPr>
        <w:t>上交所</w:t>
      </w:r>
      <w:r>
        <w:rPr>
          <w:rFonts w:ascii="仿宋_GB2312" w:eastAsia="仿宋_GB2312" w:hAnsi="Times New Roman" w:hint="eastAsia"/>
          <w:kern w:val="0"/>
          <w:sz w:val="28"/>
          <w:szCs w:val="28"/>
          <w:lang w:val="zh-CN"/>
        </w:rPr>
        <w:t xml:space="preserve">风险控制需要，包括风险压力测试等）等。 </w:t>
      </w:r>
    </w:p>
    <w:p w:rsidR="00FC3217" w:rsidRDefault="00FC3217" w:rsidP="00FC3217">
      <w:pPr>
        <w:ind w:firstLineChars="200" w:firstLine="560"/>
        <w:rPr>
          <w:rFonts w:ascii="仿宋_GB2312" w:eastAsia="仿宋_GB2312" w:hAnsi="Times New Roman"/>
          <w:kern w:val="0"/>
          <w:sz w:val="28"/>
          <w:szCs w:val="28"/>
          <w:lang w:val="zh-CN"/>
        </w:rPr>
      </w:pPr>
      <w:r>
        <w:rPr>
          <w:rFonts w:ascii="仿宋_GB2312" w:eastAsia="仿宋_GB2312" w:hAnsi="Times New Roman" w:hint="eastAsia"/>
          <w:kern w:val="0"/>
          <w:sz w:val="28"/>
          <w:szCs w:val="28"/>
          <w:lang w:val="zh-CN"/>
        </w:rPr>
        <w:t>数据报备内容：日期、期权经营机构代码、期权经营机构名称、业务交易单元号、营业部代码、合约账户、对应沪市证券账户、对应沪市E账户、当日衍生品资金账户保证金总额（结算前数据）、当日资金划入划出净额（日间转账数据）、上一交易日衍生品可用保证金余额、上一交易日沪市衍生品维持保证金金额（按期权经营机构保证金水平计算的）、上一交易日衍生品合约市值权益（含沪深）、上一交易日证券市值总额（不含港股通、B股外的所有证券市值，持有证券按收盘价计算）、上一交易日证券资金账户可用资金余额、当日分级级别（自然人账户需填写）、当日可买入额度。上一交易日是指结算后的相关数据。具体见技</w:t>
      </w:r>
      <w:bookmarkStart w:id="382" w:name="_Toc406418251"/>
      <w:r>
        <w:rPr>
          <w:rFonts w:ascii="仿宋_GB2312" w:eastAsia="仿宋_GB2312" w:hAnsi="Times New Roman" w:hint="eastAsia"/>
          <w:kern w:val="0"/>
          <w:sz w:val="28"/>
          <w:szCs w:val="28"/>
          <w:lang w:val="zh-CN"/>
        </w:rPr>
        <w:t>术接口说明书。</w:t>
      </w:r>
    </w:p>
    <w:p w:rsidR="00FC3217" w:rsidRDefault="00FC3217" w:rsidP="00FC3217">
      <w:pPr>
        <w:ind w:firstLineChars="200" w:firstLine="560"/>
        <w:rPr>
          <w:rFonts w:ascii="仿宋_GB2312" w:eastAsia="仿宋_GB2312" w:hAnsi="Times New Roman"/>
          <w:kern w:val="0"/>
          <w:sz w:val="28"/>
          <w:szCs w:val="28"/>
          <w:lang w:val="zh-CN"/>
        </w:rPr>
      </w:pPr>
      <w:r>
        <w:rPr>
          <w:rFonts w:ascii="仿宋_GB2312" w:eastAsia="仿宋_GB2312" w:hAnsi="Times New Roman" w:hint="eastAsia"/>
          <w:kern w:val="0"/>
          <w:sz w:val="28"/>
          <w:szCs w:val="28"/>
          <w:lang w:val="zh-CN"/>
        </w:rPr>
        <w:t>相关指标计算公式如下：</w:t>
      </w:r>
    </w:p>
    <w:bookmarkEnd w:id="382"/>
    <w:p w:rsidR="00FC3217" w:rsidRDefault="00FC3217" w:rsidP="00FC3217">
      <w:pPr>
        <w:ind w:firstLineChars="200" w:firstLine="560"/>
        <w:rPr>
          <w:rFonts w:ascii="仿宋_GB2312" w:eastAsia="仿宋_GB2312" w:hAnsi="Times New Roman"/>
          <w:kern w:val="0"/>
          <w:sz w:val="28"/>
          <w:szCs w:val="28"/>
          <w:lang w:val="zh-CN"/>
        </w:rPr>
      </w:pPr>
      <w:r>
        <w:rPr>
          <w:rFonts w:ascii="仿宋_GB2312" w:eastAsia="仿宋_GB2312" w:hAnsi="Times New Roman" w:hint="eastAsia"/>
          <w:kern w:val="0"/>
          <w:sz w:val="28"/>
          <w:szCs w:val="28"/>
          <w:lang w:val="zh-CN"/>
        </w:rPr>
        <w:t>1、当日资金划入划出净额=当日总资金划入金额-当日总资金划出金额。</w:t>
      </w:r>
    </w:p>
    <w:p w:rsidR="00FC3217" w:rsidRDefault="00FC3217" w:rsidP="00FC3217">
      <w:pPr>
        <w:ind w:firstLineChars="200" w:firstLine="560"/>
        <w:rPr>
          <w:rFonts w:ascii="仿宋_GB2312" w:eastAsia="仿宋_GB2312" w:hAnsi="Times New Roman"/>
          <w:kern w:val="0"/>
          <w:sz w:val="28"/>
          <w:szCs w:val="28"/>
          <w:lang w:val="zh-CN"/>
        </w:rPr>
      </w:pPr>
      <w:r>
        <w:rPr>
          <w:rFonts w:ascii="仿宋_GB2312" w:eastAsia="仿宋_GB2312" w:hAnsi="Times New Roman" w:hint="eastAsia"/>
          <w:kern w:val="0"/>
          <w:sz w:val="28"/>
          <w:szCs w:val="28"/>
          <w:lang w:val="zh-CN"/>
        </w:rPr>
        <w:t>涉及多家银行的应合并计算。</w:t>
      </w:r>
    </w:p>
    <w:p w:rsidR="00FC3217" w:rsidRDefault="00FC3217" w:rsidP="00FC3217">
      <w:pPr>
        <w:numPr>
          <w:ilvl w:val="0"/>
          <w:numId w:val="5"/>
        </w:numPr>
        <w:ind w:firstLineChars="200" w:firstLine="560"/>
        <w:rPr>
          <w:rFonts w:ascii="仿宋_GB2312" w:eastAsia="仿宋_GB2312" w:hAnsi="Times New Roman"/>
          <w:kern w:val="0"/>
          <w:sz w:val="28"/>
          <w:szCs w:val="28"/>
          <w:lang w:val="zh-CN"/>
        </w:rPr>
      </w:pPr>
      <w:r>
        <w:rPr>
          <w:rFonts w:ascii="仿宋_GB2312" w:eastAsia="仿宋_GB2312" w:hAnsi="Times New Roman" w:hint="eastAsia"/>
          <w:kern w:val="0"/>
          <w:sz w:val="28"/>
          <w:szCs w:val="28"/>
          <w:lang w:val="zh-CN"/>
        </w:rPr>
        <w:t>衍生品合约市值权益=∑（当日合约结算价*权利仓张数*合约单位）-∑（当日合约结算价*义务仓张数（含备兑）*合约单位）。按所持有合约汇总。单位：元，保留两位小数。</w:t>
      </w:r>
    </w:p>
    <w:p w:rsidR="00FC3217" w:rsidRDefault="00FC3217" w:rsidP="00FC3217">
      <w:pPr>
        <w:rPr>
          <w:rFonts w:ascii="仿宋_GB2312" w:eastAsia="仿宋_GB2312" w:hAnsi="Times New Roman" w:cs="仿宋_GB2312"/>
          <w:kern w:val="0"/>
          <w:sz w:val="28"/>
          <w:szCs w:val="28"/>
        </w:rPr>
      </w:pPr>
      <w:r>
        <w:rPr>
          <w:rFonts w:ascii="仿宋_GB2312" w:eastAsia="仿宋_GB2312" w:hAnsi="Times New Roman" w:hint="eastAsia"/>
          <w:kern w:val="0"/>
          <w:sz w:val="28"/>
          <w:szCs w:val="28"/>
        </w:rPr>
        <w:t xml:space="preserve">  </w:t>
      </w:r>
      <w:r>
        <w:rPr>
          <w:rFonts w:ascii="仿宋_GB2312" w:eastAsia="仿宋_GB2312" w:hAnsi="Times New Roman" w:cs="仿宋_GB2312" w:hint="eastAsia"/>
          <w:kern w:val="0"/>
          <w:sz w:val="28"/>
          <w:szCs w:val="28"/>
        </w:rPr>
        <w:t>期权经营机构务必保证报备的营业部代码与每日日终投资者数据</w:t>
      </w:r>
      <w:r>
        <w:rPr>
          <w:rFonts w:ascii="仿宋_GB2312" w:eastAsia="仿宋_GB2312" w:hAnsi="Times New Roman" w:cs="仿宋_GB2312" w:hint="eastAsia"/>
          <w:kern w:val="0"/>
          <w:sz w:val="28"/>
          <w:szCs w:val="28"/>
        </w:rPr>
        <w:lastRenderedPageBreak/>
        <w:t>报备文件中的营业部代码保持一致。如需要调整营业部代码，请通过邮箱重新报备（全量）数据至相关邮箱。</w:t>
      </w:r>
    </w:p>
    <w:p w:rsidR="00FC3217" w:rsidRDefault="00FC3217" w:rsidP="00FC3217">
      <w:pPr>
        <w:ind w:firstLineChars="200" w:firstLine="560"/>
        <w:rPr>
          <w:rFonts w:ascii="仿宋_GB2312" w:eastAsia="仿宋_GB2312" w:hAnsi="Times New Roman" w:cs="仿宋_GB2312"/>
          <w:kern w:val="0"/>
          <w:sz w:val="28"/>
          <w:szCs w:val="28"/>
        </w:rPr>
      </w:pPr>
      <w:r>
        <w:rPr>
          <w:rFonts w:ascii="仿宋_GB2312" w:eastAsia="仿宋_GB2312" w:hAnsi="Times New Roman" w:cs="仿宋_GB2312" w:hint="eastAsia"/>
          <w:kern w:val="0"/>
          <w:sz w:val="28"/>
          <w:szCs w:val="28"/>
        </w:rPr>
        <w:t xml:space="preserve">联系方式：021-68810582；联系邮箱： </w:t>
      </w:r>
      <w:hyperlink r:id="rId18" w:history="1">
        <w:r>
          <w:rPr>
            <w:rFonts w:hint="eastAsia"/>
            <w:sz w:val="28"/>
            <w:szCs w:val="28"/>
          </w:rPr>
          <w:t>Riskdispose01@sse.com.cn</w:t>
        </w:r>
      </w:hyperlink>
      <w:r>
        <w:rPr>
          <w:rFonts w:ascii="仿宋_GB2312" w:eastAsia="仿宋_GB2312" w:hAnsi="Times New Roman" w:cs="仿宋_GB2312" w:hint="eastAsia"/>
          <w:kern w:val="0"/>
          <w:sz w:val="28"/>
          <w:szCs w:val="28"/>
        </w:rPr>
        <w:t>。</w:t>
      </w:r>
    </w:p>
    <w:p w:rsidR="00FC3217" w:rsidRDefault="00FC3217" w:rsidP="00FC3217">
      <w:pPr>
        <w:ind w:firstLineChars="200" w:firstLine="560"/>
        <w:rPr>
          <w:rFonts w:ascii="仿宋_GB2312" w:eastAsia="仿宋_GB2312" w:hAnsi="Times New Roman" w:cs="仿宋_GB2312"/>
          <w:kern w:val="0"/>
          <w:sz w:val="28"/>
          <w:szCs w:val="28"/>
        </w:rPr>
      </w:pPr>
      <w:r>
        <w:rPr>
          <w:rFonts w:ascii="仿宋_GB2312" w:eastAsia="仿宋_GB2312" w:hAnsi="Times New Roman" w:cs="仿宋_GB2312" w:hint="eastAsia"/>
          <w:kern w:val="0"/>
          <w:sz w:val="28"/>
          <w:szCs w:val="28"/>
        </w:rPr>
        <w:t>期权经营机构需加强对每日日终投资者数据文件报送的管理，确保报送数据的及时性和准确性。本所将定期对报送文件进行核查，若发现有错报或漏报的情况，将视情况采取相关的监管措施。</w:t>
      </w:r>
    </w:p>
    <w:p w:rsidR="00FC3217" w:rsidRDefault="00FC3217" w:rsidP="00FC3217">
      <w:pPr>
        <w:rPr>
          <w:rFonts w:ascii="仿宋_GB2312" w:eastAsia="仿宋_GB2312"/>
          <w:sz w:val="28"/>
          <w:szCs w:val="28"/>
        </w:rPr>
      </w:pPr>
      <w:r>
        <w:rPr>
          <w:rFonts w:ascii="仿宋_GB2312" w:eastAsia="仿宋_GB2312" w:hint="eastAsia"/>
          <w:sz w:val="28"/>
          <w:szCs w:val="28"/>
        </w:rPr>
        <w:t xml:space="preserve">    此外，期货公司每周一17:00前通过股票期权交易参与人业务管理系统向本所报备持仓限额情况。联系方式：021-</w:t>
      </w:r>
      <w:r>
        <w:rPr>
          <w:rFonts w:ascii="仿宋_GB2312" w:eastAsia="仿宋_GB2312"/>
          <w:sz w:val="28"/>
          <w:szCs w:val="28"/>
        </w:rPr>
        <w:t>68811322</w:t>
      </w:r>
      <w:r>
        <w:rPr>
          <w:rFonts w:ascii="仿宋_GB2312" w:eastAsia="仿宋_GB2312" w:hint="eastAsia"/>
          <w:sz w:val="28"/>
          <w:szCs w:val="28"/>
        </w:rPr>
        <w:t>。</w:t>
      </w:r>
    </w:p>
    <w:p w:rsidR="00FC3217" w:rsidRDefault="00FC3217" w:rsidP="00FC3217">
      <w:pPr>
        <w:ind w:firstLineChars="200" w:firstLine="560"/>
        <w:rPr>
          <w:rFonts w:ascii="仿宋_GB2312" w:eastAsia="仿宋_GB2312" w:hAnsi="Times New Roman" w:cs="仿宋_GB2312"/>
          <w:kern w:val="0"/>
          <w:sz w:val="28"/>
          <w:szCs w:val="28"/>
        </w:rPr>
      </w:pPr>
    </w:p>
    <w:p w:rsidR="00FC3217" w:rsidRDefault="00FC3217" w:rsidP="00FC3217">
      <w:pPr>
        <w:rPr>
          <w:rFonts w:ascii="仿宋_GB2312" w:eastAsia="仿宋_GB2312"/>
          <w:bCs/>
          <w:sz w:val="28"/>
          <w:szCs w:val="28"/>
        </w:rPr>
      </w:pPr>
    </w:p>
    <w:p w:rsidR="00FC3217" w:rsidRDefault="00FC3217" w:rsidP="00FC3217">
      <w:pPr>
        <w:widowControl/>
        <w:jc w:val="left"/>
        <w:rPr>
          <w:rFonts w:ascii="仿宋_GB2312" w:eastAsia="仿宋_GB2312" w:hAnsi="Times New Roman"/>
          <w:kern w:val="0"/>
          <w:sz w:val="28"/>
          <w:szCs w:val="28"/>
          <w:lang w:val="zh-CN"/>
        </w:rPr>
      </w:pPr>
    </w:p>
    <w:p w:rsidR="00FC3217" w:rsidRDefault="00FC3217" w:rsidP="00021BE0">
      <w:pPr>
        <w:pStyle w:val="2"/>
        <w:spacing w:beforeLines="50" w:afterLines="50"/>
        <w:ind w:firstLine="643"/>
        <w:jc w:val="center"/>
        <w:rPr>
          <w:rFonts w:ascii="黑体" w:eastAsia="黑体" w:hAnsi="黑体"/>
          <w:sz w:val="32"/>
        </w:rPr>
      </w:pPr>
      <w:bookmarkStart w:id="383" w:name="_Toc12624"/>
      <w:bookmarkStart w:id="384" w:name="_Toc3646"/>
      <w:bookmarkStart w:id="385" w:name="_Toc15091"/>
      <w:bookmarkStart w:id="386" w:name="_Toc408746755"/>
      <w:bookmarkStart w:id="387" w:name="_Toc21596"/>
      <w:bookmarkStart w:id="388" w:name="_Toc23947013"/>
      <w:r>
        <w:rPr>
          <w:rFonts w:ascii="黑体" w:eastAsia="黑体" w:hAnsi="黑体" w:hint="eastAsia"/>
          <w:sz w:val="32"/>
        </w:rPr>
        <w:t>第十三章 程序交易报备</w:t>
      </w:r>
      <w:bookmarkEnd w:id="383"/>
      <w:bookmarkEnd w:id="384"/>
      <w:bookmarkEnd w:id="385"/>
      <w:bookmarkEnd w:id="386"/>
      <w:bookmarkEnd w:id="387"/>
      <w:bookmarkEnd w:id="388"/>
    </w:p>
    <w:p w:rsidR="00FC3217" w:rsidRDefault="00FC3217" w:rsidP="00FC3217">
      <w:pPr>
        <w:ind w:firstLineChars="200" w:firstLine="560"/>
        <w:rPr>
          <w:rFonts w:ascii="仿宋_GB2312" w:eastAsia="仿宋_GB2312" w:hAnsi="仿宋" w:cs="仿宋_GB2312"/>
          <w:b/>
          <w:sz w:val="30"/>
          <w:szCs w:val="30"/>
        </w:rPr>
      </w:pPr>
      <w:r>
        <w:rPr>
          <w:rFonts w:ascii="仿宋_GB2312" w:eastAsia="仿宋_GB2312" w:cs="仿宋_GB2312" w:hint="eastAsia"/>
          <w:kern w:val="0"/>
          <w:sz w:val="28"/>
          <w:szCs w:val="28"/>
          <w:lang w:val="zh-CN"/>
        </w:rPr>
        <w:t>上交所对程序交易账户实行报备制度，要求期货公司事先向上交所上报客户计划使用的程序交易软件及账户相关信息。期货公司单个、多个账户使用交易软件实现自动下单或者快速下单等功能，即非通过人工界面逐笔或逐个组合操作的，即被视为程序交易。</w:t>
      </w:r>
    </w:p>
    <w:p w:rsidR="00FC3217" w:rsidRDefault="00FC3217" w:rsidP="00FC3217">
      <w:pPr>
        <w:pStyle w:val="2"/>
        <w:ind w:firstLine="562"/>
      </w:pPr>
      <w:bookmarkStart w:id="389" w:name="_Toc215"/>
      <w:bookmarkStart w:id="390" w:name="_Toc23947014"/>
      <w:r>
        <w:rPr>
          <w:rFonts w:hint="eastAsia"/>
        </w:rPr>
        <w:t>一、程序交易接入管理要求</w:t>
      </w:r>
      <w:bookmarkEnd w:id="389"/>
      <w:bookmarkEnd w:id="390"/>
    </w:p>
    <w:p w:rsidR="00FC3217" w:rsidRDefault="00FC3217" w:rsidP="00FC3217">
      <w:pPr>
        <w:spacing w:before="120" w:after="120"/>
        <w:ind w:firstLineChars="200" w:firstLine="560"/>
        <w:rPr>
          <w:rFonts w:ascii="仿宋_GB2312" w:eastAsia="仿宋_GB2312" w:hAnsi="Times New Roman" w:cs="仿宋_GB2312"/>
          <w:kern w:val="0"/>
          <w:sz w:val="28"/>
          <w:szCs w:val="28"/>
        </w:rPr>
      </w:pPr>
      <w:r>
        <w:rPr>
          <w:rFonts w:ascii="仿宋_GB2312" w:eastAsia="仿宋_GB2312" w:hAnsi="Times New Roman" w:cs="仿宋_GB2312" w:hint="eastAsia"/>
          <w:kern w:val="0"/>
          <w:sz w:val="28"/>
          <w:szCs w:val="28"/>
        </w:rPr>
        <w:t>期货公司应当建立程序交易接入管理制度，明确客户进行程序交易的相关要求和管理机制，对客户进行程序交易实行严格的接入和认证管理。期权经营机构应当根据程序交易管理制度，对客户使用自有、第三方提供或者期权经营机构提供的交易软件或者接口进行程序交</w:t>
      </w:r>
      <w:r>
        <w:rPr>
          <w:rFonts w:ascii="仿宋_GB2312" w:eastAsia="仿宋_GB2312" w:hAnsi="Times New Roman" w:cs="仿宋_GB2312" w:hint="eastAsia"/>
          <w:kern w:val="0"/>
          <w:sz w:val="28"/>
          <w:szCs w:val="28"/>
        </w:rPr>
        <w:lastRenderedPageBreak/>
        <w:t>易的申请，进行审核、测试及认证，对符合条件的客户开通程序交易权限，并与客户签署程序交易业务协议，明确各自的权利、义务。客户未提出程序交易申请或者未通过认证的，期货公司不得为其开通程序交易权限。客户未开通程序交易权限即自行开展程序交易的，期货公司发现后应当及时予以制止，并向本所报告。</w:t>
      </w:r>
    </w:p>
    <w:p w:rsidR="00FC3217" w:rsidRDefault="00FC3217" w:rsidP="00FC3217">
      <w:pPr>
        <w:spacing w:before="120" w:after="120"/>
        <w:ind w:firstLineChars="200" w:firstLine="560"/>
        <w:rPr>
          <w:rFonts w:ascii="仿宋_GB2312" w:eastAsia="仿宋_GB2312" w:hAnsi="Times New Roman" w:cs="仿宋_GB2312"/>
          <w:kern w:val="0"/>
          <w:sz w:val="28"/>
          <w:szCs w:val="28"/>
        </w:rPr>
      </w:pPr>
      <w:r>
        <w:rPr>
          <w:rFonts w:ascii="仿宋_GB2312" w:eastAsia="仿宋_GB2312" w:hAnsi="Times New Roman" w:cs="仿宋_GB2312" w:hint="eastAsia"/>
          <w:kern w:val="0"/>
          <w:sz w:val="28"/>
          <w:szCs w:val="28"/>
        </w:rPr>
        <w:t>期货公司应当为已开通程序交易权限的客户设置专门的接入柜台系统的委托通道，并和未开通程序交易权限的客户接入柜台系统的委托通道实行隔离管理。</w:t>
      </w:r>
    </w:p>
    <w:p w:rsidR="00FC3217" w:rsidRDefault="00FC3217" w:rsidP="00FC3217">
      <w:pPr>
        <w:pStyle w:val="2"/>
        <w:ind w:firstLine="562"/>
      </w:pPr>
      <w:bookmarkStart w:id="391" w:name="_Toc25733"/>
      <w:bookmarkStart w:id="392" w:name="_Toc23947015"/>
      <w:r>
        <w:rPr>
          <w:rFonts w:hint="eastAsia"/>
        </w:rPr>
        <w:t>二、程序交易报备管理要求</w:t>
      </w:r>
      <w:bookmarkEnd w:id="391"/>
      <w:bookmarkEnd w:id="392"/>
    </w:p>
    <w:p w:rsidR="00FC3217" w:rsidRDefault="00FC3217" w:rsidP="00FC3217">
      <w:pPr>
        <w:spacing w:before="120" w:after="120"/>
        <w:ind w:firstLineChars="200" w:firstLine="560"/>
        <w:rPr>
          <w:rFonts w:ascii="仿宋_GB2312" w:eastAsia="仿宋_GB2312"/>
          <w:kern w:val="0"/>
          <w:sz w:val="28"/>
          <w:szCs w:val="28"/>
        </w:rPr>
      </w:pPr>
      <w:r>
        <w:rPr>
          <w:rFonts w:ascii="仿宋_GB2312" w:eastAsia="仿宋_GB2312" w:hAnsi="Times New Roman" w:cs="仿宋_GB2312" w:hint="eastAsia"/>
          <w:kern w:val="0"/>
          <w:sz w:val="28"/>
          <w:szCs w:val="28"/>
        </w:rPr>
        <w:t>客户申请使用自有、第三方或者期权经营机构提供的交易软件或者接口进行程序交易，期货公司经审核、认证后拟为其开通程序交易权限的，应当严格落实程序交易的备案要求，提前五个交易日向本所进行</w:t>
      </w:r>
      <w:r>
        <w:rPr>
          <w:rFonts w:ascii="仿宋_GB2312" w:eastAsia="仿宋_GB2312" w:hint="eastAsia"/>
          <w:kern w:val="0"/>
          <w:sz w:val="28"/>
          <w:szCs w:val="28"/>
          <w:lang w:val="zh-CN"/>
        </w:rPr>
        <w:t>报备，</w:t>
      </w:r>
      <w:r>
        <w:rPr>
          <w:rFonts w:ascii="仿宋_GB2312" w:eastAsia="仿宋_GB2312" w:hAnsi="Times New Roman" w:cs="仿宋_GB2312" w:hint="eastAsia"/>
          <w:kern w:val="0"/>
          <w:sz w:val="28"/>
          <w:szCs w:val="28"/>
        </w:rPr>
        <w:t>提交《</w:t>
      </w:r>
      <w:r>
        <w:rPr>
          <w:rFonts w:ascii="仿宋_GB2312" w:eastAsia="仿宋_GB2312" w:cs="宋体" w:hint="eastAsia"/>
          <w:kern w:val="0"/>
          <w:sz w:val="28"/>
          <w:szCs w:val="28"/>
        </w:rPr>
        <w:t>股票期权业务程序交易报备表</w:t>
      </w:r>
      <w:r>
        <w:rPr>
          <w:rFonts w:ascii="仿宋_GB2312" w:eastAsia="仿宋_GB2312" w:hAnsi="Times New Roman" w:cs="仿宋_GB2312" w:hint="eastAsia"/>
          <w:kern w:val="0"/>
          <w:sz w:val="28"/>
          <w:szCs w:val="28"/>
        </w:rPr>
        <w:t>》</w:t>
      </w:r>
      <w:r>
        <w:rPr>
          <w:rFonts w:ascii="仿宋_GB2312" w:eastAsia="仿宋_GB2312" w:cs="宋体" w:hint="eastAsia"/>
          <w:kern w:val="0"/>
          <w:sz w:val="28"/>
          <w:szCs w:val="28"/>
        </w:rPr>
        <w:t>（详见附件四）。</w:t>
      </w:r>
      <w:r w:rsidRPr="003D5D3D">
        <w:rPr>
          <w:rFonts w:ascii="仿宋_GB2312" w:eastAsia="仿宋_GB2312" w:hint="eastAsia"/>
          <w:color w:val="000000"/>
          <w:sz w:val="28"/>
          <w:szCs w:val="28"/>
        </w:rPr>
        <w:t>证券公司</w:t>
      </w:r>
      <w:r>
        <w:rPr>
          <w:rFonts w:ascii="仿宋_GB2312" w:eastAsia="仿宋_GB2312" w:hint="eastAsia"/>
          <w:kern w:val="0"/>
          <w:sz w:val="28"/>
          <w:szCs w:val="28"/>
          <w:lang w:val="zh-CN"/>
        </w:rPr>
        <w:t>可在每个交易日15:00至17:00进行程序交易报备。</w:t>
      </w:r>
    </w:p>
    <w:p w:rsidR="00FC3217" w:rsidRDefault="00FC3217" w:rsidP="00021BE0">
      <w:pPr>
        <w:spacing w:beforeLines="50" w:afterLines="50"/>
        <w:ind w:firstLineChars="180" w:firstLine="504"/>
        <w:rPr>
          <w:rFonts w:ascii="仿宋_GB2312" w:eastAsia="仿宋_GB2312" w:cs="仿宋_GB2312"/>
          <w:b/>
          <w:sz w:val="28"/>
          <w:szCs w:val="28"/>
        </w:rPr>
      </w:pPr>
      <w:bookmarkStart w:id="393" w:name="_Toc408665057"/>
      <w:r>
        <w:rPr>
          <w:rFonts w:ascii="仿宋_GB2312" w:eastAsia="仿宋_GB2312" w:hAnsi="Times New Roman" w:cs="仿宋_GB2312" w:hint="eastAsia"/>
          <w:kern w:val="0"/>
          <w:sz w:val="28"/>
          <w:szCs w:val="28"/>
        </w:rPr>
        <w:t>对于期货公司存在不报、漏报、未及时报备程序交易等情况的，上交所可根据情节轻重，采取书面警示、监管谈话等监管措施或者纪律处分措施。</w:t>
      </w:r>
    </w:p>
    <w:p w:rsidR="00FC3217" w:rsidRDefault="00FC3217" w:rsidP="00FC3217">
      <w:pPr>
        <w:pStyle w:val="2"/>
        <w:ind w:firstLine="562"/>
      </w:pPr>
      <w:bookmarkStart w:id="394" w:name="_Toc20773"/>
      <w:bookmarkStart w:id="395" w:name="_Toc24908"/>
      <w:bookmarkStart w:id="396" w:name="_Toc15700"/>
      <w:bookmarkStart w:id="397" w:name="_Toc3364"/>
      <w:bookmarkStart w:id="398" w:name="_Toc23947016"/>
      <w:r>
        <w:rPr>
          <w:rFonts w:hint="eastAsia"/>
        </w:rPr>
        <w:t>三、变更报备</w:t>
      </w:r>
      <w:bookmarkEnd w:id="393"/>
      <w:bookmarkEnd w:id="394"/>
      <w:bookmarkEnd w:id="395"/>
      <w:bookmarkEnd w:id="396"/>
      <w:bookmarkEnd w:id="397"/>
      <w:bookmarkEnd w:id="398"/>
    </w:p>
    <w:p w:rsidR="00FC3217" w:rsidRDefault="00FC3217" w:rsidP="00021BE0">
      <w:pPr>
        <w:spacing w:beforeLines="50" w:afterLines="50"/>
        <w:ind w:firstLineChars="180" w:firstLine="504"/>
        <w:rPr>
          <w:rFonts w:ascii="仿宋_GB2312" w:eastAsia="仿宋_GB2312"/>
          <w:bCs/>
          <w:kern w:val="0"/>
          <w:sz w:val="28"/>
          <w:szCs w:val="28"/>
        </w:rPr>
      </w:pPr>
      <w:r>
        <w:rPr>
          <w:rFonts w:ascii="仿宋_GB2312" w:eastAsia="仿宋_GB2312" w:hint="eastAsia"/>
          <w:bCs/>
          <w:kern w:val="0"/>
          <w:sz w:val="28"/>
          <w:szCs w:val="28"/>
        </w:rPr>
        <w:t>已报备的程序交易账户发生以下信息变更时，期货公司应当提前5个交易日向本所进行信息变更报备：</w:t>
      </w:r>
      <w:r>
        <w:rPr>
          <w:rFonts w:ascii="仿宋_GB2312" w:eastAsia="仿宋_GB2312"/>
          <w:bCs/>
          <w:kern w:val="0"/>
          <w:sz w:val="28"/>
          <w:szCs w:val="28"/>
        </w:rPr>
        <w:t xml:space="preserve"> </w:t>
      </w:r>
    </w:p>
    <w:p w:rsidR="00FC3217" w:rsidRDefault="00FC3217" w:rsidP="00021BE0">
      <w:pPr>
        <w:spacing w:beforeLines="50" w:afterLines="50"/>
        <w:ind w:firstLineChars="180" w:firstLine="504"/>
        <w:rPr>
          <w:rFonts w:ascii="仿宋_GB2312" w:eastAsia="仿宋_GB2312"/>
          <w:bCs/>
          <w:kern w:val="0"/>
          <w:sz w:val="28"/>
          <w:szCs w:val="28"/>
        </w:rPr>
      </w:pPr>
      <w:r>
        <w:rPr>
          <w:rFonts w:ascii="仿宋_GB2312" w:eastAsia="仿宋_GB2312" w:hint="eastAsia"/>
          <w:bCs/>
          <w:kern w:val="0"/>
          <w:sz w:val="28"/>
          <w:szCs w:val="28"/>
        </w:rPr>
        <w:lastRenderedPageBreak/>
        <w:t>（一）机构账户资金来源发生变更；</w:t>
      </w:r>
    </w:p>
    <w:p w:rsidR="00173848" w:rsidRDefault="00FC3217" w:rsidP="00021BE0">
      <w:pPr>
        <w:spacing w:beforeLines="50" w:afterLines="50"/>
        <w:ind w:firstLineChars="180" w:firstLine="504"/>
        <w:rPr>
          <w:rFonts w:ascii="仿宋_GB2312" w:eastAsia="仿宋_GB2312"/>
          <w:bCs/>
          <w:kern w:val="0"/>
          <w:sz w:val="28"/>
          <w:szCs w:val="28"/>
        </w:rPr>
      </w:pPr>
      <w:r>
        <w:rPr>
          <w:rFonts w:ascii="仿宋_GB2312" w:eastAsia="仿宋_GB2312" w:hint="eastAsia"/>
          <w:bCs/>
          <w:kern w:val="0"/>
          <w:sz w:val="28"/>
          <w:szCs w:val="28"/>
        </w:rPr>
        <w:t>（二）机构账户实际控制人发生变更；</w:t>
      </w:r>
    </w:p>
    <w:p w:rsidR="00173848" w:rsidRDefault="00FC3217" w:rsidP="00021BE0">
      <w:pPr>
        <w:spacing w:beforeLines="50" w:afterLines="50"/>
        <w:ind w:firstLineChars="180" w:firstLine="504"/>
        <w:rPr>
          <w:rFonts w:ascii="仿宋_GB2312" w:eastAsia="仿宋_GB2312"/>
          <w:bCs/>
          <w:kern w:val="0"/>
          <w:sz w:val="28"/>
          <w:szCs w:val="28"/>
        </w:rPr>
      </w:pPr>
      <w:r>
        <w:rPr>
          <w:rFonts w:ascii="仿宋_GB2312" w:eastAsia="仿宋_GB2312" w:hint="eastAsia"/>
          <w:bCs/>
          <w:kern w:val="0"/>
          <w:sz w:val="28"/>
          <w:szCs w:val="28"/>
        </w:rPr>
        <w:t>（三）机构账户主要交易员信息发生变更；</w:t>
      </w:r>
    </w:p>
    <w:p w:rsidR="00173848" w:rsidRDefault="00FC3217" w:rsidP="00021BE0">
      <w:pPr>
        <w:spacing w:beforeLines="50" w:afterLines="50"/>
        <w:ind w:firstLineChars="180" w:firstLine="504"/>
        <w:rPr>
          <w:rFonts w:ascii="仿宋_GB2312" w:eastAsia="仿宋_GB2312"/>
          <w:bCs/>
          <w:kern w:val="0"/>
          <w:sz w:val="28"/>
          <w:szCs w:val="28"/>
        </w:rPr>
      </w:pPr>
      <w:r>
        <w:rPr>
          <w:rFonts w:ascii="仿宋_GB2312" w:eastAsia="仿宋_GB2312" w:hint="eastAsia"/>
          <w:bCs/>
          <w:kern w:val="0"/>
          <w:sz w:val="28"/>
          <w:szCs w:val="28"/>
        </w:rPr>
        <w:t>（四）交易系统或下单系统服务器所在城市发生变更；</w:t>
      </w:r>
    </w:p>
    <w:p w:rsidR="00173848" w:rsidRDefault="00FC3217" w:rsidP="00021BE0">
      <w:pPr>
        <w:spacing w:beforeLines="50" w:afterLines="50"/>
        <w:ind w:firstLineChars="180" w:firstLine="504"/>
        <w:rPr>
          <w:rFonts w:ascii="仿宋_GB2312" w:eastAsia="仿宋_GB2312"/>
          <w:bCs/>
          <w:kern w:val="0"/>
          <w:sz w:val="28"/>
          <w:szCs w:val="28"/>
        </w:rPr>
      </w:pPr>
      <w:r>
        <w:rPr>
          <w:rFonts w:ascii="仿宋_GB2312" w:eastAsia="仿宋_GB2312" w:hint="eastAsia"/>
          <w:bCs/>
          <w:kern w:val="0"/>
          <w:sz w:val="28"/>
          <w:szCs w:val="28"/>
        </w:rPr>
        <w:t>（五）程序交易软件信息发生重大变更；</w:t>
      </w:r>
    </w:p>
    <w:p w:rsidR="00173848" w:rsidRDefault="00FC3217" w:rsidP="00021BE0">
      <w:pPr>
        <w:spacing w:beforeLines="50" w:afterLines="50"/>
        <w:ind w:firstLineChars="180" w:firstLine="504"/>
        <w:rPr>
          <w:rFonts w:ascii="仿宋_GB2312" w:eastAsia="仿宋_GB2312" w:cs="仿宋_GB2312"/>
          <w:kern w:val="0"/>
          <w:sz w:val="28"/>
          <w:szCs w:val="28"/>
        </w:rPr>
      </w:pPr>
      <w:r>
        <w:rPr>
          <w:rFonts w:ascii="仿宋_GB2312" w:eastAsia="仿宋_GB2312" w:hint="eastAsia"/>
          <w:bCs/>
          <w:kern w:val="0"/>
          <w:sz w:val="28"/>
          <w:szCs w:val="28"/>
        </w:rPr>
        <w:t>（六）其他重大信息变更。</w:t>
      </w:r>
    </w:p>
    <w:p w:rsidR="00FC3217" w:rsidRDefault="00FC3217" w:rsidP="00FC3217">
      <w:pPr>
        <w:pStyle w:val="2"/>
        <w:ind w:firstLine="562"/>
        <w:rPr>
          <w:lang w:val="zh-CN"/>
        </w:rPr>
      </w:pPr>
      <w:bookmarkStart w:id="399" w:name="_Toc2544"/>
      <w:bookmarkStart w:id="400" w:name="_Toc23947017"/>
      <w:r>
        <w:rPr>
          <w:rFonts w:hint="eastAsia"/>
          <w:lang w:val="zh-CN"/>
        </w:rPr>
        <w:t>四、程序交易的监管</w:t>
      </w:r>
      <w:bookmarkEnd w:id="399"/>
      <w:bookmarkEnd w:id="400"/>
    </w:p>
    <w:p w:rsidR="00FC3217" w:rsidRDefault="00FC3217" w:rsidP="00FC3217">
      <w:pPr>
        <w:autoSpaceDE w:val="0"/>
        <w:autoSpaceDN w:val="0"/>
        <w:adjustRightInd w:val="0"/>
        <w:spacing w:line="360" w:lineRule="auto"/>
        <w:ind w:firstLineChars="200" w:firstLine="560"/>
        <w:rPr>
          <w:rFonts w:ascii="仿宋_GB2312" w:eastAsia="仿宋_GB2312" w:cs="仿宋_GB2312"/>
          <w:bCs/>
          <w:sz w:val="28"/>
          <w:szCs w:val="44"/>
        </w:rPr>
      </w:pPr>
      <w:r>
        <w:rPr>
          <w:rFonts w:ascii="仿宋_GB2312" w:eastAsia="仿宋_GB2312" w:cs="仿宋_GB2312" w:hint="eastAsia"/>
          <w:bCs/>
          <w:sz w:val="28"/>
          <w:szCs w:val="44"/>
        </w:rPr>
        <w:t>本所对期货公司提交的报备材料进行核查，发现信息不全或存有疑义的，将在收到报备材料的5个交易日内向期货公司进行反馈，要求补充材料或进行相关解释。期货公司在5个交易日内未收到本所反馈的，报备账户可于报送之日起5个交易日后进行股票期权程序交易。</w:t>
      </w:r>
    </w:p>
    <w:p w:rsidR="00FC3217" w:rsidRDefault="00FC3217" w:rsidP="00FC3217">
      <w:pPr>
        <w:autoSpaceDE w:val="0"/>
        <w:autoSpaceDN w:val="0"/>
        <w:adjustRightInd w:val="0"/>
        <w:spacing w:line="360" w:lineRule="auto"/>
        <w:ind w:firstLineChars="200" w:firstLine="560"/>
        <w:rPr>
          <w:rFonts w:ascii="仿宋_GB2312" w:eastAsia="仿宋_GB2312" w:cs="仿宋_GB2312"/>
          <w:bCs/>
          <w:sz w:val="28"/>
          <w:szCs w:val="44"/>
        </w:rPr>
      </w:pPr>
      <w:r>
        <w:rPr>
          <w:rFonts w:ascii="仿宋_GB2312" w:eastAsia="仿宋_GB2312" w:cs="仿宋_GB2312" w:hint="eastAsia"/>
          <w:bCs/>
          <w:sz w:val="28"/>
          <w:szCs w:val="44"/>
        </w:rPr>
        <w:t>投资者可以通过期货公司向本所申请撤销程序交易账户报备，撤销报备后的账户在再次报备前不得进行程序交易。</w:t>
      </w:r>
    </w:p>
    <w:p w:rsidR="00FC3217" w:rsidRDefault="00FC3217" w:rsidP="00FC3217">
      <w:pPr>
        <w:spacing w:before="120" w:after="120"/>
        <w:ind w:firstLineChars="200" w:firstLine="560"/>
        <w:rPr>
          <w:rFonts w:ascii="仿宋_GB2312" w:eastAsia="仿宋_GB2312" w:hAnsi="Times New Roman" w:cs="仿宋_GB2312"/>
          <w:kern w:val="0"/>
          <w:sz w:val="28"/>
          <w:szCs w:val="28"/>
        </w:rPr>
      </w:pPr>
      <w:r>
        <w:rPr>
          <w:rFonts w:ascii="仿宋_GB2312" w:eastAsia="仿宋_GB2312" w:hAnsi="Times New Roman" w:cs="仿宋_GB2312" w:hint="eastAsia"/>
          <w:kern w:val="0"/>
          <w:sz w:val="28"/>
          <w:szCs w:val="28"/>
        </w:rPr>
        <w:t>期货公司应当加强对程序交易的运行监控，并针对客户程序交易可能发生的异常情况，建立预防、发现与处置机制，自觉维护期权交易的正常秩序。</w:t>
      </w:r>
    </w:p>
    <w:p w:rsidR="00FC3217" w:rsidRDefault="00FC3217" w:rsidP="00FC3217">
      <w:pPr>
        <w:spacing w:before="120" w:after="120"/>
        <w:ind w:firstLineChars="200" w:firstLine="560"/>
        <w:rPr>
          <w:rFonts w:ascii="仿宋_GB2312" w:eastAsia="仿宋_GB2312" w:hAnsi="Times New Roman" w:cs="仿宋_GB2312"/>
          <w:kern w:val="0"/>
          <w:sz w:val="28"/>
          <w:szCs w:val="28"/>
        </w:rPr>
      </w:pPr>
      <w:r>
        <w:rPr>
          <w:rFonts w:ascii="仿宋_GB2312" w:eastAsia="仿宋_GB2312" w:hAnsi="Times New Roman" w:cs="仿宋_GB2312" w:hint="eastAsia"/>
          <w:kern w:val="0"/>
          <w:sz w:val="28"/>
          <w:szCs w:val="28"/>
        </w:rPr>
        <w:t>客户进行程序交易出现或者可能出现异常的，期货公司应当按照与客户的约定，及时采取应急处置措施，包括但不限于限制客户交易权限、为客户提供紧急撤单服务等，并立即向本所报告。</w:t>
      </w:r>
    </w:p>
    <w:p w:rsidR="00FC3217" w:rsidRDefault="00FC3217" w:rsidP="00021BE0">
      <w:pPr>
        <w:spacing w:beforeLines="50" w:afterLines="50"/>
        <w:ind w:firstLineChars="180" w:firstLine="504"/>
        <w:rPr>
          <w:rFonts w:ascii="仿宋_GB2312" w:eastAsia="仿宋_GB2312" w:cs="仿宋_GB2312"/>
          <w:kern w:val="0"/>
          <w:sz w:val="28"/>
          <w:szCs w:val="28"/>
        </w:rPr>
      </w:pPr>
    </w:p>
    <w:p w:rsidR="00FC3217" w:rsidRDefault="00FC3217" w:rsidP="00FC3217">
      <w:pPr>
        <w:widowControl/>
        <w:jc w:val="left"/>
        <w:rPr>
          <w:rFonts w:ascii="仿宋_GB2312" w:eastAsia="仿宋_GB2312" w:hAnsi="Times New Roman"/>
          <w:b/>
          <w:bCs/>
          <w:sz w:val="28"/>
          <w:szCs w:val="28"/>
        </w:rPr>
      </w:pPr>
    </w:p>
    <w:p w:rsidR="00FC3217" w:rsidRDefault="00FC3217" w:rsidP="00021BE0">
      <w:pPr>
        <w:pStyle w:val="2"/>
        <w:spacing w:beforeLines="50" w:afterLines="50"/>
        <w:ind w:firstLine="643"/>
        <w:jc w:val="center"/>
        <w:rPr>
          <w:rFonts w:ascii="黑体" w:eastAsia="黑体" w:hAnsi="黑体"/>
          <w:sz w:val="32"/>
        </w:rPr>
      </w:pPr>
      <w:bookmarkStart w:id="401" w:name="_Toc408746760"/>
      <w:bookmarkStart w:id="402" w:name="_Toc12795"/>
      <w:bookmarkStart w:id="403" w:name="_Toc1591"/>
      <w:bookmarkStart w:id="404" w:name="_Toc31564"/>
      <w:bookmarkStart w:id="405" w:name="_Toc12239"/>
      <w:bookmarkStart w:id="406" w:name="_Toc23947018"/>
      <w:r>
        <w:rPr>
          <w:rFonts w:ascii="黑体" w:eastAsia="黑体" w:hAnsi="黑体" w:hint="eastAsia"/>
          <w:sz w:val="32"/>
        </w:rPr>
        <w:t>第十四章  大户报告</w:t>
      </w:r>
      <w:bookmarkEnd w:id="401"/>
      <w:bookmarkEnd w:id="402"/>
      <w:bookmarkEnd w:id="403"/>
      <w:bookmarkEnd w:id="404"/>
      <w:bookmarkEnd w:id="405"/>
      <w:bookmarkEnd w:id="406"/>
    </w:p>
    <w:p w:rsidR="00FC3217" w:rsidRDefault="00FC3217" w:rsidP="00FC3217">
      <w:pPr>
        <w:ind w:firstLineChars="200" w:firstLine="560"/>
        <w:rPr>
          <w:rFonts w:ascii="仿宋_GB2312" w:eastAsia="仿宋_GB2312" w:cs="仿宋_GB2312"/>
          <w:sz w:val="28"/>
          <w:szCs w:val="28"/>
        </w:rPr>
      </w:pPr>
      <w:r>
        <w:rPr>
          <w:rFonts w:ascii="仿宋_GB2312" w:eastAsia="仿宋_GB2312" w:cs="仿宋_GB2312" w:hint="eastAsia"/>
          <w:sz w:val="28"/>
          <w:szCs w:val="28"/>
        </w:rPr>
        <w:t>期权交易实行大户持仓报告制度。上交所可根据市场风险状况要求期权经营机构或投资者进行报告。</w:t>
      </w:r>
    </w:p>
    <w:p w:rsidR="00FC3217" w:rsidRDefault="00FC3217" w:rsidP="00FC3217">
      <w:pPr>
        <w:ind w:firstLineChars="200" w:firstLine="560"/>
        <w:rPr>
          <w:rFonts w:ascii="仿宋_GB2312" w:eastAsia="仿宋_GB2312" w:cs="仿宋_GB2312"/>
          <w:sz w:val="28"/>
          <w:szCs w:val="28"/>
        </w:rPr>
      </w:pPr>
      <w:r>
        <w:rPr>
          <w:rFonts w:ascii="仿宋_GB2312" w:eastAsia="仿宋_GB2312" w:cs="仿宋_GB2312" w:hint="eastAsia"/>
          <w:sz w:val="28"/>
          <w:szCs w:val="28"/>
        </w:rPr>
        <w:t>（一）报告要求和报告材料</w:t>
      </w:r>
    </w:p>
    <w:p w:rsidR="00FC3217" w:rsidRDefault="00FC3217" w:rsidP="00FC3217">
      <w:pPr>
        <w:ind w:firstLineChars="202" w:firstLine="566"/>
        <w:rPr>
          <w:rFonts w:ascii="仿宋_GB2312" w:eastAsia="仿宋_GB2312" w:cs="仿宋_GB2312"/>
          <w:sz w:val="28"/>
          <w:szCs w:val="28"/>
        </w:rPr>
      </w:pPr>
      <w:r>
        <w:rPr>
          <w:rFonts w:ascii="仿宋_GB2312" w:eastAsia="仿宋_GB2312" w:cs="仿宋_GB2312" w:hint="eastAsia"/>
          <w:sz w:val="28"/>
          <w:szCs w:val="28"/>
        </w:rPr>
        <w:t>上交所认为有必要时，可以要求期货公司的客户向上交所报告其资金情况、头寸情况、交易用途等，提供以下材料：</w:t>
      </w:r>
    </w:p>
    <w:p w:rsidR="00FC3217" w:rsidRDefault="00FC3217" w:rsidP="00FC3217">
      <w:pPr>
        <w:ind w:firstLineChars="202" w:firstLine="566"/>
        <w:rPr>
          <w:rFonts w:ascii="仿宋_GB2312" w:eastAsia="仿宋_GB2312" w:cs="仿宋_GB2312"/>
          <w:sz w:val="28"/>
          <w:szCs w:val="28"/>
        </w:rPr>
      </w:pPr>
      <w:r>
        <w:rPr>
          <w:rFonts w:ascii="仿宋_GB2312" w:eastAsia="仿宋_GB2312" w:cs="仿宋_GB2312" w:hint="eastAsia"/>
          <w:sz w:val="28"/>
          <w:szCs w:val="28"/>
        </w:rPr>
        <w:t>1、《大户持仓报告表》（详见附件四），内容包括：期货公司名称、投资者名称和投资者合约账户、持仓量最大的三个合约持仓信息（合约编码、持仓量等）、维持保证金、可动用资金等；</w:t>
      </w:r>
    </w:p>
    <w:p w:rsidR="00FC3217" w:rsidRDefault="00FC3217" w:rsidP="00FC3217">
      <w:pPr>
        <w:ind w:firstLineChars="200" w:firstLine="560"/>
        <w:rPr>
          <w:rFonts w:ascii="仿宋_GB2312" w:eastAsia="仿宋_GB2312" w:cs="仿宋_GB2312"/>
          <w:sz w:val="28"/>
          <w:szCs w:val="28"/>
        </w:rPr>
      </w:pPr>
      <w:r>
        <w:rPr>
          <w:rFonts w:ascii="仿宋_GB2312" w:eastAsia="仿宋_GB2312" w:cs="仿宋_GB2312" w:hint="eastAsia"/>
          <w:sz w:val="28"/>
          <w:szCs w:val="28"/>
        </w:rPr>
        <w:t>2、资金来源说明；</w:t>
      </w:r>
    </w:p>
    <w:p w:rsidR="00FC3217" w:rsidRDefault="00FC3217" w:rsidP="00FC3217">
      <w:pPr>
        <w:ind w:firstLineChars="200" w:firstLine="560"/>
        <w:rPr>
          <w:rFonts w:ascii="仿宋_GB2312" w:eastAsia="仿宋_GB2312" w:cs="仿宋_GB2312"/>
          <w:sz w:val="28"/>
          <w:szCs w:val="28"/>
        </w:rPr>
      </w:pPr>
      <w:r>
        <w:rPr>
          <w:rFonts w:ascii="仿宋_GB2312" w:eastAsia="仿宋_GB2312" w:cs="仿宋_GB2312" w:hint="eastAsia"/>
          <w:sz w:val="28"/>
          <w:szCs w:val="28"/>
        </w:rPr>
        <w:t>3、法人投资者的实际控制人资料；</w:t>
      </w:r>
    </w:p>
    <w:p w:rsidR="00FC3217" w:rsidRDefault="00FC3217" w:rsidP="00FC3217">
      <w:pPr>
        <w:ind w:firstLineChars="200" w:firstLine="560"/>
        <w:rPr>
          <w:rFonts w:ascii="仿宋_GB2312" w:eastAsia="仿宋_GB2312" w:cs="仿宋_GB2312"/>
          <w:sz w:val="28"/>
          <w:szCs w:val="28"/>
        </w:rPr>
      </w:pPr>
      <w:r>
        <w:rPr>
          <w:rFonts w:ascii="仿宋_GB2312" w:eastAsia="仿宋_GB2312" w:cs="仿宋_GB2312" w:hint="eastAsia"/>
          <w:sz w:val="28"/>
          <w:szCs w:val="28"/>
        </w:rPr>
        <w:t>4、开户资料及当日结算单据；</w:t>
      </w:r>
    </w:p>
    <w:p w:rsidR="00FC3217" w:rsidRDefault="00FC3217" w:rsidP="00FC3217">
      <w:pPr>
        <w:ind w:firstLineChars="200" w:firstLine="560"/>
        <w:rPr>
          <w:rFonts w:ascii="仿宋_GB2312" w:eastAsia="仿宋_GB2312" w:cs="仿宋_GB2312"/>
          <w:sz w:val="28"/>
          <w:szCs w:val="28"/>
        </w:rPr>
      </w:pPr>
      <w:r>
        <w:rPr>
          <w:rFonts w:ascii="仿宋_GB2312" w:eastAsia="仿宋_GB2312" w:cs="仿宋_GB2312" w:hint="eastAsia"/>
          <w:sz w:val="28"/>
          <w:szCs w:val="28"/>
        </w:rPr>
        <w:t>5、持仓意向，包括行权意愿与可能被行权准备情况说明；</w:t>
      </w:r>
    </w:p>
    <w:p w:rsidR="00FC3217" w:rsidRDefault="00FC3217" w:rsidP="00FC3217">
      <w:pPr>
        <w:ind w:firstLineChars="200" w:firstLine="560"/>
        <w:rPr>
          <w:rFonts w:ascii="仿宋_GB2312" w:eastAsia="仿宋_GB2312" w:cs="仿宋_GB2312"/>
          <w:sz w:val="28"/>
          <w:szCs w:val="28"/>
        </w:rPr>
      </w:pPr>
      <w:r>
        <w:rPr>
          <w:rFonts w:ascii="仿宋_GB2312" w:eastAsia="仿宋_GB2312" w:cs="仿宋_GB2312" w:hint="eastAsia"/>
          <w:sz w:val="28"/>
          <w:szCs w:val="28"/>
        </w:rPr>
        <w:t>6、交易所要求提供的其他资料。</w:t>
      </w:r>
    </w:p>
    <w:p w:rsidR="00FC3217" w:rsidRDefault="00FC3217" w:rsidP="00FC3217">
      <w:pPr>
        <w:ind w:firstLineChars="200" w:firstLine="560"/>
        <w:rPr>
          <w:rFonts w:ascii="仿宋_GB2312" w:eastAsia="仿宋_GB2312" w:cs="仿宋_GB2312"/>
          <w:sz w:val="28"/>
          <w:szCs w:val="28"/>
        </w:rPr>
      </w:pPr>
      <w:r>
        <w:rPr>
          <w:rFonts w:ascii="仿宋_GB2312" w:eastAsia="仿宋_GB2312" w:cs="仿宋_GB2312" w:hint="eastAsia"/>
          <w:sz w:val="28"/>
          <w:szCs w:val="28"/>
        </w:rPr>
        <w:t>（二）报告注意事项</w:t>
      </w:r>
    </w:p>
    <w:p w:rsidR="00FC3217" w:rsidRDefault="00FC3217" w:rsidP="00FC3217">
      <w:pPr>
        <w:ind w:firstLineChars="200" w:firstLine="560"/>
        <w:rPr>
          <w:rFonts w:ascii="仿宋_GB2312" w:eastAsia="仿宋_GB2312" w:cs="仿宋_GB2312"/>
          <w:sz w:val="28"/>
          <w:szCs w:val="28"/>
        </w:rPr>
      </w:pPr>
      <w:r>
        <w:rPr>
          <w:rFonts w:ascii="仿宋_GB2312" w:eastAsia="仿宋_GB2312" w:cs="仿宋_GB2312" w:hint="eastAsia"/>
          <w:sz w:val="28"/>
          <w:szCs w:val="28"/>
        </w:rPr>
        <w:t>1、计算大户持仓报告标准时，对同一个投资者、期货公司持有的一个或多个合约账户中的所有持仓进行合并计算。</w:t>
      </w:r>
    </w:p>
    <w:p w:rsidR="00FC3217" w:rsidRDefault="00FC3217" w:rsidP="00FC3217">
      <w:pPr>
        <w:ind w:firstLineChars="200" w:firstLine="560"/>
        <w:rPr>
          <w:rFonts w:ascii="仿宋_GB2312" w:eastAsia="仿宋_GB2312" w:cs="仿宋_GB2312"/>
          <w:sz w:val="28"/>
          <w:szCs w:val="28"/>
        </w:rPr>
      </w:pPr>
      <w:r>
        <w:rPr>
          <w:rFonts w:ascii="仿宋_GB2312" w:eastAsia="仿宋_GB2312" w:cs="仿宋_GB2312" w:hint="eastAsia"/>
          <w:sz w:val="28"/>
          <w:szCs w:val="28"/>
        </w:rPr>
        <w:t>2、投资者被交易所要求报告的，交易所将大户报告表发送至期货公司或特殊客户（如基金等）。若报告主体是投资者的，由期货公</w:t>
      </w:r>
      <w:r>
        <w:rPr>
          <w:rFonts w:ascii="仿宋_GB2312" w:eastAsia="仿宋_GB2312" w:cs="仿宋_GB2312" w:hint="eastAsia"/>
          <w:sz w:val="28"/>
          <w:szCs w:val="28"/>
        </w:rPr>
        <w:lastRenderedPageBreak/>
        <w:t>司发送至客户（对同一投资者在多家期权经营机构开立合约账户的，上交所根据投资者持仓大小选择期权经营机构）。投资者、期货公司应当于下一交易日15:00前及时向交易所报告。</w:t>
      </w:r>
    </w:p>
    <w:p w:rsidR="00FC3217" w:rsidRDefault="00FC3217" w:rsidP="00FC3217">
      <w:pPr>
        <w:ind w:firstLineChars="200" w:firstLine="560"/>
        <w:rPr>
          <w:rFonts w:ascii="仿宋_GB2312" w:eastAsia="仿宋_GB2312" w:cs="仿宋_GB2312"/>
          <w:sz w:val="28"/>
          <w:szCs w:val="28"/>
        </w:rPr>
      </w:pPr>
      <w:r>
        <w:rPr>
          <w:rFonts w:ascii="仿宋_GB2312" w:eastAsia="仿宋_GB2312" w:cs="仿宋_GB2312" w:hint="eastAsia"/>
          <w:sz w:val="28"/>
          <w:szCs w:val="28"/>
        </w:rPr>
        <w:t>3、特殊客户（如基金等）可直接向交易所报告，其他客户由期货公司代为向交易所报告，期货公司应对客户提供的资料进行审核，并保证客户所提供资料的真实性和准确性。客户未按要求报告的，期货公司应当向交易所报告该客户持仓情况。</w:t>
      </w:r>
    </w:p>
    <w:p w:rsidR="00FC3217" w:rsidRDefault="00FC3217" w:rsidP="00FC3217">
      <w:pPr>
        <w:ind w:firstLineChars="200" w:firstLine="560"/>
        <w:rPr>
          <w:rFonts w:ascii="仿宋_GB2312" w:eastAsia="仿宋_GB2312" w:cs="仿宋_GB2312"/>
          <w:sz w:val="28"/>
          <w:szCs w:val="28"/>
        </w:rPr>
      </w:pPr>
      <w:r>
        <w:rPr>
          <w:rFonts w:ascii="仿宋_GB2312" w:eastAsia="仿宋_GB2312" w:cs="仿宋_GB2312" w:hint="eastAsia"/>
          <w:sz w:val="28"/>
          <w:szCs w:val="28"/>
        </w:rPr>
        <w:t>4、交易所对期货公司或者投资者提供的资料进行核查后，将视情况通知期货公司或客户再次报告或者补充报告。</w:t>
      </w:r>
    </w:p>
    <w:p w:rsidR="00FC3217" w:rsidRDefault="00FC3217" w:rsidP="00021BE0">
      <w:pPr>
        <w:spacing w:beforeLines="50" w:afterLines="50" w:line="360" w:lineRule="auto"/>
        <w:outlineLvl w:val="0"/>
        <w:rPr>
          <w:rFonts w:ascii="黑体" w:eastAsia="黑体" w:hAnsi="黑体"/>
          <w:b/>
          <w:bCs/>
          <w:sz w:val="32"/>
          <w:szCs w:val="32"/>
        </w:rPr>
      </w:pPr>
    </w:p>
    <w:p w:rsidR="00173848" w:rsidRDefault="00173848" w:rsidP="00021BE0">
      <w:pPr>
        <w:spacing w:beforeLines="50" w:afterLines="50" w:line="360" w:lineRule="auto"/>
        <w:outlineLvl w:val="0"/>
        <w:rPr>
          <w:rFonts w:ascii="黑体" w:eastAsia="黑体" w:hAnsi="黑体"/>
          <w:b/>
          <w:bCs/>
          <w:sz w:val="32"/>
          <w:szCs w:val="32"/>
        </w:rPr>
      </w:pPr>
    </w:p>
    <w:p w:rsidR="00173848" w:rsidRDefault="00FC3217" w:rsidP="00021BE0">
      <w:pPr>
        <w:pStyle w:val="2"/>
        <w:spacing w:beforeLines="50" w:afterLines="50"/>
        <w:ind w:firstLine="602"/>
        <w:jc w:val="center"/>
        <w:rPr>
          <w:rFonts w:ascii="黑体" w:eastAsia="黑体" w:hAnsi="黑体"/>
          <w:sz w:val="30"/>
          <w:szCs w:val="30"/>
        </w:rPr>
      </w:pPr>
      <w:bookmarkStart w:id="407" w:name="_Toc2574"/>
      <w:bookmarkStart w:id="408" w:name="_Toc408746763"/>
      <w:bookmarkStart w:id="409" w:name="_Toc10436"/>
      <w:bookmarkStart w:id="410" w:name="_Toc2844"/>
      <w:bookmarkStart w:id="411" w:name="_Toc31007"/>
      <w:bookmarkStart w:id="412" w:name="_Toc23947019"/>
      <w:r>
        <w:rPr>
          <w:rFonts w:ascii="黑体" w:eastAsia="黑体" w:hAnsi="黑体" w:hint="eastAsia"/>
          <w:sz w:val="30"/>
          <w:szCs w:val="30"/>
        </w:rPr>
        <w:t>第十五章 应急预案</w:t>
      </w:r>
      <w:bookmarkEnd w:id="407"/>
      <w:bookmarkEnd w:id="408"/>
      <w:bookmarkEnd w:id="409"/>
      <w:bookmarkEnd w:id="410"/>
      <w:bookmarkEnd w:id="411"/>
      <w:bookmarkEnd w:id="412"/>
    </w:p>
    <w:p w:rsidR="00173848" w:rsidRDefault="00FC3217" w:rsidP="00021BE0">
      <w:pPr>
        <w:spacing w:beforeLines="50" w:afterLines="50" w:line="360" w:lineRule="auto"/>
        <w:ind w:firstLineChars="200" w:firstLine="560"/>
        <w:rPr>
          <w:rFonts w:ascii="仿宋_GB2312" w:eastAsia="仿宋_GB2312" w:hAnsi="Times New Roman"/>
          <w:sz w:val="28"/>
          <w:szCs w:val="28"/>
        </w:rPr>
      </w:pPr>
      <w:r>
        <w:rPr>
          <w:rFonts w:ascii="仿宋_GB2312" w:eastAsia="仿宋_GB2312" w:hAnsi="Times New Roman" w:hint="eastAsia"/>
          <w:sz w:val="28"/>
          <w:szCs w:val="28"/>
        </w:rPr>
        <w:t>为了维护期货公司和客户利益，保证公司期权业务持续、稳定和健康发展，期货公司应制定《期权业务突发事件应急预案》。期货公司应急工作必须做到统一指挥、密切协作、责任明晰、预防为主、信息共享等，必须保证及时性与有效性。期货公司处置应急事件应及时通知到客户，力争做到损失及影响最小化。</w:t>
      </w:r>
    </w:p>
    <w:p w:rsidR="00173848" w:rsidRDefault="00FC3217" w:rsidP="00021BE0">
      <w:pPr>
        <w:spacing w:beforeLines="50" w:afterLines="50" w:line="360" w:lineRule="auto"/>
        <w:ind w:firstLineChars="200" w:firstLine="560"/>
        <w:rPr>
          <w:rFonts w:ascii="仿宋_GB2312" w:eastAsia="仿宋_GB2312" w:hAnsi="Times New Roman"/>
          <w:sz w:val="28"/>
          <w:szCs w:val="28"/>
        </w:rPr>
      </w:pPr>
      <w:r>
        <w:rPr>
          <w:rFonts w:ascii="仿宋_GB2312" w:eastAsia="仿宋_GB2312" w:hAnsi="Times New Roman" w:hint="eastAsia"/>
          <w:sz w:val="28"/>
          <w:szCs w:val="28"/>
        </w:rPr>
        <w:t>期货公司根据应急需要，应成立应急工作办公室。根据应急事件发生后的不同情况，需通过公司网站、电话等方式，做好相关客户的沟通与安抚工作，并正确引导舆论。期货公司还应做好应急事件后期处置工作，包括原因调查、责任追究、损失评估和改进措施等。期货</w:t>
      </w:r>
      <w:r>
        <w:rPr>
          <w:rFonts w:ascii="仿宋_GB2312" w:eastAsia="仿宋_GB2312" w:hAnsi="Times New Roman" w:hint="eastAsia"/>
          <w:sz w:val="28"/>
          <w:szCs w:val="28"/>
        </w:rPr>
        <w:lastRenderedPageBreak/>
        <w:t>公司需对以下应急事件制定相应的应急预案：</w:t>
      </w:r>
    </w:p>
    <w:p w:rsidR="00FC3217" w:rsidRDefault="00FC3217" w:rsidP="00FC3217">
      <w:pPr>
        <w:pStyle w:val="2"/>
        <w:ind w:firstLine="562"/>
      </w:pPr>
      <w:bookmarkStart w:id="413" w:name="_Toc24667"/>
      <w:bookmarkStart w:id="414" w:name="_Toc408746764"/>
      <w:bookmarkStart w:id="415" w:name="_Toc9942"/>
      <w:bookmarkStart w:id="416" w:name="_Toc30655"/>
      <w:bookmarkStart w:id="417" w:name="_Toc31703"/>
      <w:bookmarkStart w:id="418" w:name="_Toc23947020"/>
      <w:r>
        <w:rPr>
          <w:rFonts w:hint="eastAsia"/>
        </w:rPr>
        <w:t>一、业务人员操作应急事件</w:t>
      </w:r>
      <w:bookmarkEnd w:id="413"/>
      <w:bookmarkEnd w:id="414"/>
      <w:bookmarkEnd w:id="415"/>
      <w:bookmarkEnd w:id="416"/>
      <w:bookmarkEnd w:id="417"/>
      <w:bookmarkEnd w:id="418"/>
    </w:p>
    <w:p w:rsidR="00FC3217" w:rsidRDefault="00FC3217" w:rsidP="00021BE0">
      <w:pPr>
        <w:spacing w:beforeLines="50" w:afterLines="50" w:line="360" w:lineRule="auto"/>
        <w:ind w:firstLineChars="200" w:firstLine="560"/>
        <w:rPr>
          <w:rFonts w:ascii="仿宋_GB2312" w:eastAsia="仿宋_GB2312" w:hAnsi="Times New Roman"/>
          <w:sz w:val="28"/>
          <w:szCs w:val="28"/>
        </w:rPr>
      </w:pPr>
      <w:r>
        <w:rPr>
          <w:rFonts w:ascii="仿宋_GB2312" w:eastAsia="仿宋_GB2312" w:hAnsi="Times New Roman" w:hint="eastAsia"/>
          <w:sz w:val="28"/>
          <w:szCs w:val="28"/>
        </w:rPr>
        <w:t>业务人员操作应急事件包括但不限于：</w:t>
      </w:r>
    </w:p>
    <w:p w:rsidR="00173848" w:rsidRDefault="00FC3217" w:rsidP="00021BE0">
      <w:pPr>
        <w:spacing w:beforeLines="50" w:afterLines="50" w:line="360" w:lineRule="auto"/>
        <w:ind w:firstLineChars="200" w:firstLine="560"/>
        <w:rPr>
          <w:rFonts w:ascii="仿宋_GB2312" w:eastAsia="仿宋_GB2312" w:hAnsi="Times New Roman"/>
          <w:sz w:val="28"/>
          <w:szCs w:val="28"/>
        </w:rPr>
      </w:pPr>
      <w:r>
        <w:rPr>
          <w:rFonts w:ascii="仿宋_GB2312" w:eastAsia="仿宋_GB2312" w:hAnsi="Times New Roman" w:hint="eastAsia"/>
          <w:sz w:val="28"/>
          <w:szCs w:val="28"/>
        </w:rPr>
        <w:t>（一）业务人员出现向上交所报送数据迟报、漏报、错报等情况，比如期权业务人员在操作中将客户账户指定关系指定错误等。</w:t>
      </w:r>
    </w:p>
    <w:p w:rsidR="00173848" w:rsidRDefault="00FC3217" w:rsidP="00021BE0">
      <w:pPr>
        <w:spacing w:beforeLines="50" w:afterLines="50" w:line="360" w:lineRule="auto"/>
        <w:ind w:firstLineChars="200" w:firstLine="560"/>
        <w:rPr>
          <w:rFonts w:ascii="仿宋_GB2312" w:eastAsia="仿宋_GB2312" w:hAnsi="Times New Roman"/>
          <w:sz w:val="28"/>
          <w:szCs w:val="28"/>
        </w:rPr>
      </w:pPr>
      <w:r>
        <w:rPr>
          <w:rFonts w:ascii="仿宋_GB2312" w:eastAsia="仿宋_GB2312" w:hAnsi="Times New Roman" w:hint="eastAsia"/>
          <w:sz w:val="28"/>
          <w:szCs w:val="28"/>
        </w:rPr>
        <w:t>（二）期权交易管理系统的交易监控参数等业务参数设置错误、协议行权、清算交收、利息结算等出现差错等；</w:t>
      </w:r>
    </w:p>
    <w:p w:rsidR="00173848" w:rsidRDefault="00FC3217" w:rsidP="00021BE0">
      <w:pPr>
        <w:spacing w:beforeLines="50" w:afterLines="50" w:line="360" w:lineRule="auto"/>
        <w:ind w:firstLineChars="200" w:firstLine="560"/>
        <w:rPr>
          <w:rFonts w:ascii="仿宋_GB2312" w:eastAsia="仿宋_GB2312" w:hAnsi="Times New Roman"/>
          <w:sz w:val="28"/>
          <w:szCs w:val="28"/>
        </w:rPr>
      </w:pPr>
      <w:r>
        <w:rPr>
          <w:rFonts w:ascii="仿宋_GB2312" w:eastAsia="仿宋_GB2312" w:hAnsi="Times New Roman" w:hint="eastAsia"/>
          <w:sz w:val="28"/>
          <w:szCs w:val="28"/>
        </w:rPr>
        <w:t>（三）其他业务操作不当造成的风险。</w:t>
      </w:r>
    </w:p>
    <w:p w:rsidR="00FC3217" w:rsidRDefault="00FC3217" w:rsidP="00FC3217">
      <w:pPr>
        <w:pStyle w:val="2"/>
        <w:ind w:firstLine="562"/>
      </w:pPr>
      <w:bookmarkStart w:id="419" w:name="_Toc7376"/>
      <w:bookmarkStart w:id="420" w:name="_Toc15166"/>
      <w:bookmarkStart w:id="421" w:name="_Toc27552"/>
      <w:bookmarkStart w:id="422" w:name="_Toc408746765"/>
      <w:bookmarkStart w:id="423" w:name="_Toc31993"/>
      <w:bookmarkStart w:id="424" w:name="_Toc23947021"/>
      <w:r>
        <w:rPr>
          <w:rFonts w:hint="eastAsia"/>
        </w:rPr>
        <w:t>二、系统技术应急事件</w:t>
      </w:r>
      <w:bookmarkEnd w:id="419"/>
      <w:bookmarkEnd w:id="420"/>
      <w:bookmarkEnd w:id="421"/>
      <w:bookmarkEnd w:id="422"/>
      <w:bookmarkEnd w:id="423"/>
      <w:bookmarkEnd w:id="424"/>
    </w:p>
    <w:p w:rsidR="00FC3217" w:rsidRDefault="00FC3217" w:rsidP="00021BE0">
      <w:pPr>
        <w:spacing w:beforeLines="50" w:afterLines="50" w:line="360" w:lineRule="auto"/>
        <w:ind w:firstLineChars="200" w:firstLine="560"/>
        <w:rPr>
          <w:rFonts w:ascii="仿宋_GB2312" w:eastAsia="仿宋_GB2312" w:hAnsi="Times New Roman"/>
          <w:sz w:val="28"/>
          <w:szCs w:val="28"/>
        </w:rPr>
      </w:pPr>
      <w:r>
        <w:rPr>
          <w:rFonts w:ascii="仿宋_GB2312" w:eastAsia="仿宋_GB2312" w:hAnsi="Times New Roman" w:hint="eastAsia"/>
          <w:sz w:val="28"/>
          <w:szCs w:val="28"/>
        </w:rPr>
        <w:t>系统技术应急事件包括但不限于：</w:t>
      </w:r>
    </w:p>
    <w:p w:rsidR="00173848" w:rsidRDefault="00FC3217" w:rsidP="00021BE0">
      <w:pPr>
        <w:spacing w:beforeLines="50" w:afterLines="50" w:line="360" w:lineRule="auto"/>
        <w:ind w:firstLineChars="200" w:firstLine="560"/>
        <w:rPr>
          <w:rFonts w:ascii="仿宋_GB2312" w:eastAsia="仿宋_GB2312" w:hAnsi="Times New Roman"/>
          <w:sz w:val="28"/>
          <w:szCs w:val="28"/>
        </w:rPr>
      </w:pPr>
      <w:r>
        <w:rPr>
          <w:rFonts w:ascii="仿宋_GB2312" w:eastAsia="仿宋_GB2312" w:hAnsi="Times New Roman" w:hint="eastAsia"/>
          <w:sz w:val="28"/>
          <w:szCs w:val="28"/>
        </w:rPr>
        <w:t>（一）交易系统等技术系统等发生软、硬件故障，影响系统正常运行、无常正常开展交易与结算业务等；</w:t>
      </w:r>
    </w:p>
    <w:p w:rsidR="00173848" w:rsidRDefault="00FC3217" w:rsidP="00021BE0">
      <w:pPr>
        <w:spacing w:beforeLines="50" w:afterLines="50" w:line="360" w:lineRule="auto"/>
        <w:ind w:firstLineChars="200" w:firstLine="560"/>
        <w:rPr>
          <w:rFonts w:ascii="仿宋_GB2312" w:eastAsia="仿宋_GB2312" w:hAnsi="Times New Roman"/>
          <w:sz w:val="28"/>
          <w:szCs w:val="28"/>
        </w:rPr>
      </w:pPr>
      <w:r>
        <w:rPr>
          <w:rFonts w:ascii="仿宋_GB2312" w:eastAsia="仿宋_GB2312" w:hAnsi="Times New Roman" w:hint="eastAsia"/>
          <w:sz w:val="28"/>
          <w:szCs w:val="28"/>
        </w:rPr>
        <w:t>（二）报盘系统发生故障等；</w:t>
      </w:r>
    </w:p>
    <w:p w:rsidR="00173848" w:rsidRDefault="00FC3217" w:rsidP="00021BE0">
      <w:pPr>
        <w:spacing w:beforeLines="50" w:afterLines="50" w:line="360" w:lineRule="auto"/>
        <w:ind w:firstLineChars="200" w:firstLine="560"/>
        <w:rPr>
          <w:rFonts w:ascii="仿宋_GB2312" w:eastAsia="仿宋_GB2312" w:hAnsi="Times New Roman"/>
          <w:sz w:val="28"/>
          <w:szCs w:val="28"/>
        </w:rPr>
      </w:pPr>
      <w:r>
        <w:rPr>
          <w:rFonts w:ascii="仿宋_GB2312" w:eastAsia="仿宋_GB2312" w:hAnsi="Times New Roman" w:hint="eastAsia"/>
          <w:sz w:val="28"/>
          <w:szCs w:val="28"/>
        </w:rPr>
        <w:t>（三）行情系统发生故障等；</w:t>
      </w:r>
    </w:p>
    <w:p w:rsidR="00173848" w:rsidRDefault="00FC3217" w:rsidP="00021BE0">
      <w:pPr>
        <w:spacing w:beforeLines="50" w:afterLines="50" w:line="360" w:lineRule="auto"/>
        <w:ind w:firstLineChars="200" w:firstLine="560"/>
        <w:rPr>
          <w:rFonts w:ascii="仿宋_GB2312" w:eastAsia="仿宋_GB2312" w:hAnsi="Times New Roman"/>
          <w:sz w:val="28"/>
          <w:szCs w:val="28"/>
        </w:rPr>
      </w:pPr>
      <w:r>
        <w:rPr>
          <w:rFonts w:ascii="仿宋_GB2312" w:eastAsia="仿宋_GB2312" w:hAnsi="Times New Roman" w:hint="eastAsia"/>
          <w:sz w:val="28"/>
          <w:szCs w:val="28"/>
        </w:rPr>
        <w:t>（四）网上交易系统故障，导致和行情主站连不上、行情数据未更新、无法发送行情给网上交易行情服务器、应用程序提示的各种错误、客户端无法连接委托主站、无法连接目的主机等；</w:t>
      </w:r>
    </w:p>
    <w:p w:rsidR="00173848" w:rsidRDefault="00FC3217" w:rsidP="00021BE0">
      <w:pPr>
        <w:spacing w:beforeLines="50" w:afterLines="50" w:line="360" w:lineRule="auto"/>
        <w:ind w:firstLineChars="200" w:firstLine="560"/>
        <w:rPr>
          <w:rFonts w:ascii="仿宋_GB2312" w:eastAsia="仿宋_GB2312" w:hAnsi="Times New Roman"/>
          <w:sz w:val="28"/>
          <w:szCs w:val="28"/>
        </w:rPr>
      </w:pPr>
      <w:r>
        <w:rPr>
          <w:rFonts w:ascii="仿宋_GB2312" w:eastAsia="仿宋_GB2312" w:hAnsi="Times New Roman" w:hint="eastAsia"/>
          <w:sz w:val="28"/>
          <w:szCs w:val="28"/>
        </w:rPr>
        <w:t>（五）通信系统发生故障导致信息交流中断；</w:t>
      </w:r>
    </w:p>
    <w:p w:rsidR="00173848" w:rsidRDefault="00FC3217" w:rsidP="00021BE0">
      <w:pPr>
        <w:spacing w:beforeLines="50" w:afterLines="50" w:line="360" w:lineRule="auto"/>
        <w:ind w:firstLineChars="200" w:firstLine="560"/>
        <w:rPr>
          <w:rFonts w:ascii="仿宋_GB2312" w:eastAsia="仿宋_GB2312" w:hAnsi="Times New Roman"/>
          <w:sz w:val="28"/>
          <w:szCs w:val="28"/>
        </w:rPr>
      </w:pPr>
      <w:r>
        <w:rPr>
          <w:rFonts w:ascii="仿宋_GB2312" w:eastAsia="仿宋_GB2312" w:hAnsi="Times New Roman" w:hint="eastAsia"/>
          <w:sz w:val="28"/>
          <w:szCs w:val="28"/>
        </w:rPr>
        <w:lastRenderedPageBreak/>
        <w:t>（六）电力系统供应中断影响正常交易；</w:t>
      </w:r>
    </w:p>
    <w:p w:rsidR="00173848" w:rsidRDefault="00FC3217" w:rsidP="00021BE0">
      <w:pPr>
        <w:spacing w:beforeLines="50" w:afterLines="50" w:line="360" w:lineRule="auto"/>
        <w:ind w:firstLineChars="200" w:firstLine="560"/>
        <w:rPr>
          <w:rFonts w:ascii="仿宋_GB2312" w:eastAsia="仿宋_GB2312" w:hAnsi="Times New Roman"/>
          <w:sz w:val="28"/>
          <w:szCs w:val="28"/>
        </w:rPr>
      </w:pPr>
      <w:r>
        <w:rPr>
          <w:rFonts w:ascii="仿宋_GB2312" w:eastAsia="仿宋_GB2312" w:hAnsi="Times New Roman" w:hint="eastAsia"/>
          <w:sz w:val="28"/>
          <w:szCs w:val="28"/>
        </w:rPr>
        <w:t>（七）发生不可抗力，导致主机房发生灾难事件等。</w:t>
      </w:r>
    </w:p>
    <w:p w:rsidR="00FC3217" w:rsidRDefault="00FC3217" w:rsidP="00FC3217">
      <w:pPr>
        <w:pStyle w:val="2"/>
        <w:ind w:firstLine="562"/>
      </w:pPr>
      <w:bookmarkStart w:id="425" w:name="_Toc5603"/>
      <w:bookmarkStart w:id="426" w:name="_Toc12784"/>
      <w:bookmarkStart w:id="427" w:name="_Toc10085"/>
      <w:bookmarkStart w:id="428" w:name="_Toc408746766"/>
      <w:bookmarkStart w:id="429" w:name="_Toc25255"/>
      <w:bookmarkStart w:id="430" w:name="_Toc23947022"/>
      <w:r>
        <w:rPr>
          <w:rFonts w:hint="eastAsia"/>
        </w:rPr>
        <w:t>三、交易异常事件</w:t>
      </w:r>
      <w:bookmarkEnd w:id="425"/>
      <w:bookmarkEnd w:id="426"/>
      <w:bookmarkEnd w:id="427"/>
      <w:bookmarkEnd w:id="428"/>
      <w:bookmarkEnd w:id="429"/>
      <w:bookmarkEnd w:id="430"/>
    </w:p>
    <w:p w:rsidR="00FC3217" w:rsidRDefault="00FC3217" w:rsidP="00021BE0">
      <w:pPr>
        <w:spacing w:beforeLines="50" w:afterLines="50" w:line="360" w:lineRule="auto"/>
        <w:ind w:firstLineChars="200" w:firstLine="560"/>
        <w:rPr>
          <w:rFonts w:ascii="仿宋_GB2312" w:eastAsia="仿宋_GB2312" w:hAnsi="Times New Roman"/>
          <w:sz w:val="28"/>
          <w:szCs w:val="28"/>
        </w:rPr>
      </w:pPr>
      <w:r>
        <w:rPr>
          <w:rFonts w:ascii="仿宋_GB2312" w:eastAsia="仿宋_GB2312" w:hAnsi="Times New Roman" w:hint="eastAsia"/>
          <w:sz w:val="28"/>
          <w:szCs w:val="28"/>
        </w:rPr>
        <w:t>针对《交易规则》中规定的上交所或中国结算采取的风险控制措施可能需要公司作出的配合、衔接以及对公司产生的影响，制定相应的应急处置管理制度。</w:t>
      </w:r>
    </w:p>
    <w:p w:rsidR="00FC3217" w:rsidRDefault="00FC3217" w:rsidP="00FC3217">
      <w:pPr>
        <w:pStyle w:val="2"/>
        <w:ind w:firstLine="562"/>
      </w:pPr>
      <w:bookmarkStart w:id="431" w:name="_Toc5526"/>
      <w:bookmarkStart w:id="432" w:name="_Toc16456"/>
      <w:bookmarkStart w:id="433" w:name="_Toc408746767"/>
      <w:bookmarkStart w:id="434" w:name="_Toc10123"/>
      <w:bookmarkStart w:id="435" w:name="_Toc13896"/>
      <w:bookmarkStart w:id="436" w:name="_Toc23947023"/>
      <w:r>
        <w:rPr>
          <w:rFonts w:hint="eastAsia"/>
        </w:rPr>
        <w:t>四、结算异常事件</w:t>
      </w:r>
      <w:bookmarkEnd w:id="431"/>
      <w:bookmarkEnd w:id="432"/>
      <w:bookmarkEnd w:id="433"/>
      <w:bookmarkEnd w:id="434"/>
      <w:bookmarkEnd w:id="435"/>
      <w:bookmarkEnd w:id="436"/>
    </w:p>
    <w:p w:rsidR="00FC3217" w:rsidRDefault="00FC3217" w:rsidP="00021BE0">
      <w:pPr>
        <w:spacing w:beforeLines="50" w:afterLines="50" w:line="360" w:lineRule="auto"/>
        <w:ind w:firstLineChars="200" w:firstLine="560"/>
        <w:rPr>
          <w:rFonts w:ascii="仿宋_GB2312" w:eastAsia="仿宋_GB2312" w:hAnsi="Times New Roman"/>
          <w:sz w:val="28"/>
          <w:szCs w:val="28"/>
        </w:rPr>
      </w:pPr>
      <w:r>
        <w:rPr>
          <w:rFonts w:ascii="仿宋_GB2312" w:eastAsia="仿宋_GB2312" w:hAnsi="Times New Roman" w:hint="eastAsia"/>
          <w:sz w:val="28"/>
          <w:szCs w:val="28"/>
        </w:rPr>
        <w:t>因上交所或中国结算数据及其他原因造成期权结算延迟时，期货公司应启动相关的风险处置流程，保障期货公司夜盘或其他业务的开展。</w:t>
      </w:r>
    </w:p>
    <w:p w:rsidR="00FC3217" w:rsidRDefault="00FC3217" w:rsidP="00FC3217">
      <w:pPr>
        <w:pStyle w:val="2"/>
        <w:ind w:firstLine="562"/>
        <w:jc w:val="center"/>
        <w:rPr>
          <w:rFonts w:ascii="黑体" w:eastAsia="黑体" w:hAnsi="黑体"/>
          <w:sz w:val="32"/>
        </w:rPr>
      </w:pPr>
      <w:r>
        <w:rPr>
          <w:rFonts w:ascii="仿宋_GB2312" w:hint="eastAsia"/>
          <w:szCs w:val="28"/>
        </w:rPr>
        <w:br w:type="page"/>
      </w:r>
      <w:bookmarkStart w:id="437" w:name="_Toc406436503"/>
      <w:bookmarkStart w:id="438" w:name="_Toc406438912"/>
      <w:bookmarkStart w:id="439" w:name="_Toc406438952"/>
      <w:bookmarkStart w:id="440" w:name="_Toc406439137"/>
      <w:bookmarkStart w:id="441" w:name="_Toc408300999"/>
      <w:bookmarkStart w:id="442" w:name="_Toc408749925"/>
      <w:bookmarkStart w:id="443" w:name="_Toc23947024"/>
      <w:bookmarkStart w:id="444" w:name="_Toc23943"/>
      <w:bookmarkStart w:id="445" w:name="_Toc9440"/>
      <w:bookmarkStart w:id="446" w:name="_Toc17931"/>
      <w:bookmarkStart w:id="447" w:name="_Toc26449"/>
      <w:bookmarkEnd w:id="241"/>
      <w:bookmarkEnd w:id="242"/>
      <w:bookmarkEnd w:id="243"/>
      <w:bookmarkEnd w:id="244"/>
      <w:r>
        <w:rPr>
          <w:rFonts w:ascii="黑体" w:eastAsia="黑体" w:hAnsi="黑体" w:hint="eastAsia"/>
          <w:sz w:val="32"/>
        </w:rPr>
        <w:lastRenderedPageBreak/>
        <w:t>第十六章 交易信息及提醒</w:t>
      </w:r>
      <w:bookmarkEnd w:id="437"/>
      <w:bookmarkEnd w:id="438"/>
      <w:bookmarkEnd w:id="439"/>
      <w:bookmarkEnd w:id="440"/>
      <w:bookmarkEnd w:id="441"/>
      <w:bookmarkEnd w:id="442"/>
      <w:r>
        <w:rPr>
          <w:rFonts w:ascii="黑体" w:eastAsia="黑体" w:hAnsi="黑体" w:hint="eastAsia"/>
          <w:sz w:val="32"/>
        </w:rPr>
        <w:t>及期权基础信息接口文件</w:t>
      </w:r>
      <w:bookmarkEnd w:id="443"/>
    </w:p>
    <w:p w:rsidR="00FC3217" w:rsidRDefault="00FC3217" w:rsidP="00FC3217">
      <w:pPr>
        <w:pStyle w:val="2"/>
        <w:ind w:firstLine="643"/>
        <w:jc w:val="center"/>
        <w:rPr>
          <w:rFonts w:ascii="黑体" w:eastAsia="黑体" w:hAnsi="黑体"/>
          <w:sz w:val="32"/>
        </w:rPr>
      </w:pPr>
      <w:bookmarkStart w:id="448" w:name="_Toc23947025"/>
      <w:r>
        <w:rPr>
          <w:rFonts w:ascii="黑体" w:eastAsia="黑体" w:hAnsi="黑体" w:hint="eastAsia"/>
          <w:sz w:val="32"/>
        </w:rPr>
        <w:t>说明</w:t>
      </w:r>
      <w:bookmarkEnd w:id="444"/>
      <w:bookmarkEnd w:id="445"/>
      <w:bookmarkEnd w:id="446"/>
      <w:bookmarkEnd w:id="447"/>
      <w:bookmarkEnd w:id="448"/>
    </w:p>
    <w:p w:rsidR="00FC3217" w:rsidRDefault="00FC3217" w:rsidP="00FC3217">
      <w:pPr>
        <w:pStyle w:val="2"/>
        <w:ind w:firstLine="562"/>
      </w:pPr>
      <w:bookmarkStart w:id="449" w:name="_Toc406100171"/>
      <w:bookmarkStart w:id="450" w:name="_Toc406438913"/>
      <w:bookmarkStart w:id="451" w:name="_Toc408301000"/>
      <w:bookmarkStart w:id="452" w:name="_Toc408749926"/>
      <w:bookmarkStart w:id="453" w:name="_Toc12966"/>
      <w:bookmarkStart w:id="454" w:name="_Toc30122"/>
      <w:bookmarkStart w:id="455" w:name="_Toc32286"/>
      <w:bookmarkStart w:id="456" w:name="_Toc5692"/>
      <w:bookmarkStart w:id="457" w:name="_Toc23947026"/>
      <w:r>
        <w:rPr>
          <w:rFonts w:hint="eastAsia"/>
        </w:rPr>
        <w:t>一、交易信息内容</w:t>
      </w:r>
      <w:bookmarkEnd w:id="449"/>
      <w:bookmarkEnd w:id="450"/>
      <w:bookmarkEnd w:id="451"/>
      <w:bookmarkEnd w:id="452"/>
      <w:bookmarkEnd w:id="453"/>
      <w:bookmarkEnd w:id="454"/>
      <w:bookmarkEnd w:id="455"/>
      <w:bookmarkEnd w:id="456"/>
      <w:bookmarkEnd w:id="457"/>
    </w:p>
    <w:p w:rsidR="00FC3217" w:rsidRDefault="00FC3217" w:rsidP="00FC3217">
      <w:pPr>
        <w:ind w:firstLineChars="200" w:firstLine="560"/>
        <w:rPr>
          <w:rFonts w:ascii="仿宋_GB2312" w:eastAsia="仿宋_GB2312"/>
          <w:color w:val="000000"/>
          <w:sz w:val="28"/>
          <w:szCs w:val="28"/>
        </w:rPr>
      </w:pPr>
      <w:r>
        <w:rPr>
          <w:rFonts w:ascii="仿宋_GB2312" w:eastAsia="仿宋_GB2312" w:hint="eastAsia"/>
          <w:color w:val="000000"/>
          <w:sz w:val="28"/>
          <w:szCs w:val="28"/>
        </w:rPr>
        <w:t>本所每个交易日发布衍生品合约相关交易信息，包括交易前信息、即时行情、盘后信息、行权信息等。期货公司应及时接收本所向其发送的相关交易信息，并通过行情交易终端、公司门户网站</w:t>
      </w:r>
      <w:r>
        <w:rPr>
          <w:rFonts w:ascii="仿宋_GB2312" w:eastAsia="仿宋_GB2312" w:hint="eastAsia"/>
          <w:sz w:val="28"/>
          <w:szCs w:val="28"/>
        </w:rPr>
        <w:t>或经纪合同约定的方式</w:t>
      </w:r>
      <w:r>
        <w:rPr>
          <w:rFonts w:ascii="仿宋_GB2312" w:eastAsia="仿宋_GB2312" w:hint="eastAsia"/>
          <w:color w:val="000000"/>
          <w:sz w:val="28"/>
          <w:szCs w:val="28"/>
        </w:rPr>
        <w:t>等形式向投资者转发。</w:t>
      </w:r>
    </w:p>
    <w:p w:rsidR="00FC3217" w:rsidRDefault="00FC3217" w:rsidP="00FC3217">
      <w:pPr>
        <w:ind w:firstLineChars="200" w:firstLine="560"/>
        <w:rPr>
          <w:rFonts w:ascii="仿宋_GB2312" w:eastAsia="仿宋_GB2312"/>
          <w:color w:val="000000"/>
          <w:sz w:val="28"/>
          <w:szCs w:val="28"/>
        </w:rPr>
      </w:pPr>
      <w:r>
        <w:rPr>
          <w:rFonts w:ascii="仿宋_GB2312" w:eastAsia="仿宋_GB2312" w:hint="eastAsia"/>
          <w:color w:val="000000"/>
          <w:sz w:val="28"/>
          <w:szCs w:val="28"/>
        </w:rPr>
        <w:t>期货公司可结合本所公开发布的相关衍生品合约交易信息，向投资者提供诸如期权计算器、期权杠杆比率、期权希腊字母值等个性化交易信息。期货公司应当对个性化信息的真实性、准确性负责。</w:t>
      </w:r>
    </w:p>
    <w:p w:rsidR="00FC3217" w:rsidRDefault="00FC3217" w:rsidP="00FC3217">
      <w:pPr>
        <w:pStyle w:val="2"/>
        <w:ind w:firstLine="562"/>
      </w:pPr>
      <w:bookmarkStart w:id="458" w:name="_Toc406100172"/>
      <w:bookmarkStart w:id="459" w:name="_Toc406438914"/>
      <w:bookmarkStart w:id="460" w:name="_Toc408301001"/>
      <w:bookmarkStart w:id="461" w:name="_Toc408749927"/>
      <w:bookmarkStart w:id="462" w:name="_Toc3350"/>
      <w:bookmarkStart w:id="463" w:name="_Toc30602"/>
      <w:bookmarkStart w:id="464" w:name="_Toc9168"/>
      <w:bookmarkStart w:id="465" w:name="_Toc26224"/>
      <w:bookmarkStart w:id="466" w:name="_Toc23947027"/>
      <w:r>
        <w:rPr>
          <w:rFonts w:hint="eastAsia"/>
        </w:rPr>
        <w:t>二、信息公告与提醒</w:t>
      </w:r>
      <w:bookmarkEnd w:id="458"/>
      <w:bookmarkEnd w:id="459"/>
      <w:bookmarkEnd w:id="460"/>
      <w:bookmarkEnd w:id="461"/>
      <w:bookmarkEnd w:id="462"/>
      <w:bookmarkEnd w:id="463"/>
      <w:bookmarkEnd w:id="464"/>
      <w:bookmarkEnd w:id="465"/>
      <w:bookmarkEnd w:id="466"/>
    </w:p>
    <w:p w:rsidR="00FC3217" w:rsidRDefault="00FC3217" w:rsidP="00FC3217">
      <w:pPr>
        <w:ind w:firstLineChars="200" w:firstLine="562"/>
        <w:rPr>
          <w:rFonts w:ascii="仿宋_GB2312" w:eastAsia="仿宋_GB2312"/>
          <w:b/>
          <w:sz w:val="28"/>
          <w:szCs w:val="28"/>
        </w:rPr>
      </w:pPr>
      <w:r>
        <w:rPr>
          <w:rFonts w:ascii="仿宋_GB2312" w:eastAsia="仿宋_GB2312" w:hint="eastAsia"/>
          <w:b/>
          <w:sz w:val="28"/>
          <w:szCs w:val="28"/>
        </w:rPr>
        <w:t>（一）信息公告</w:t>
      </w:r>
    </w:p>
    <w:p w:rsidR="00FC3217" w:rsidRDefault="00FC3217" w:rsidP="00FC3217">
      <w:pPr>
        <w:ind w:firstLineChars="200" w:firstLine="560"/>
        <w:rPr>
          <w:rFonts w:ascii="仿宋_GB2312" w:eastAsia="仿宋_GB2312"/>
          <w:sz w:val="28"/>
          <w:szCs w:val="28"/>
        </w:rPr>
      </w:pPr>
      <w:r>
        <w:rPr>
          <w:rFonts w:ascii="仿宋_GB2312" w:eastAsia="仿宋_GB2312" w:hint="eastAsia"/>
          <w:sz w:val="28"/>
          <w:szCs w:val="28"/>
        </w:rPr>
        <w:t>期货公司应当及时接收本所通过通讯系统、本所网站等渠道发布的股票期权相关信息通知公告（包括但不限于股票期权合约运作管理相关公告、股票期权风险控制相关公告等），并向投资者转发，转发、推送形式可以为公司网站公示、客户交易终端提示、邮件或经纪合同约定的方式等。</w:t>
      </w:r>
    </w:p>
    <w:p w:rsidR="00FC3217" w:rsidRDefault="00FC3217" w:rsidP="00FC3217">
      <w:pPr>
        <w:ind w:firstLineChars="200" w:firstLine="560"/>
        <w:rPr>
          <w:rFonts w:ascii="仿宋_GB2312" w:eastAsia="仿宋_GB2312"/>
          <w:sz w:val="28"/>
          <w:szCs w:val="28"/>
        </w:rPr>
      </w:pPr>
      <w:r>
        <w:rPr>
          <w:rFonts w:ascii="仿宋_GB2312" w:eastAsia="仿宋_GB2312" w:hint="eastAsia"/>
          <w:sz w:val="28"/>
          <w:szCs w:val="28"/>
        </w:rPr>
        <w:t>期货公司应发布与其自身期权业务相关的公告信息，如期货公司保证金调整、期权交易手续费调整等。公告形式可以为期货公司的公司网站公示、客户交易终端提示、发送邮件或经纪合同约定的方式等。</w:t>
      </w:r>
    </w:p>
    <w:p w:rsidR="00FC3217" w:rsidRDefault="00FC3217" w:rsidP="00FC3217">
      <w:pPr>
        <w:ind w:firstLineChars="200" w:firstLine="562"/>
        <w:rPr>
          <w:rFonts w:ascii="仿宋_GB2312" w:eastAsia="仿宋_GB2312"/>
          <w:b/>
          <w:sz w:val="28"/>
          <w:szCs w:val="28"/>
        </w:rPr>
      </w:pPr>
      <w:r>
        <w:rPr>
          <w:rFonts w:ascii="仿宋_GB2312" w:eastAsia="仿宋_GB2312" w:hint="eastAsia"/>
          <w:b/>
          <w:sz w:val="28"/>
          <w:szCs w:val="28"/>
        </w:rPr>
        <w:lastRenderedPageBreak/>
        <w:t>（二）信息提醒</w:t>
      </w:r>
    </w:p>
    <w:p w:rsidR="00FC3217" w:rsidRDefault="00FC3217" w:rsidP="00FC3217">
      <w:pPr>
        <w:ind w:firstLineChars="200" w:firstLine="560"/>
        <w:rPr>
          <w:rFonts w:ascii="仿宋_GB2312" w:eastAsia="仿宋_GB2312"/>
          <w:color w:val="000000"/>
          <w:sz w:val="28"/>
          <w:szCs w:val="28"/>
        </w:rPr>
      </w:pPr>
      <w:r>
        <w:rPr>
          <w:rFonts w:ascii="仿宋_GB2312" w:eastAsia="仿宋_GB2312" w:hint="eastAsia"/>
          <w:color w:val="000000"/>
          <w:sz w:val="28"/>
          <w:szCs w:val="28"/>
        </w:rPr>
        <w:t>1.期货公司应对客户参与期权交易有关事项进行提醒，内容包括但不限于：距离到期日不足3个交易日的期权合约信息；合约运作管理；近期进行合约调整的期权合约信息（持续到调整后5个交易日或摘牌）；保证金参数水平调整；期权手续费调整；重点监控期权合约交易风险；其他本所或期货公司认为有必要向投资者进行提醒的事项。</w:t>
      </w:r>
    </w:p>
    <w:p w:rsidR="00FC3217" w:rsidRDefault="00FC3217" w:rsidP="00FC3217">
      <w:pPr>
        <w:ind w:firstLineChars="200" w:firstLine="560"/>
        <w:rPr>
          <w:rFonts w:ascii="仿宋_GB2312" w:eastAsia="仿宋_GB2312"/>
          <w:color w:val="000000"/>
          <w:sz w:val="28"/>
          <w:szCs w:val="28"/>
        </w:rPr>
      </w:pPr>
      <w:r>
        <w:rPr>
          <w:rFonts w:ascii="仿宋_GB2312" w:eastAsia="仿宋_GB2312" w:hint="eastAsia"/>
          <w:color w:val="000000"/>
          <w:sz w:val="28"/>
          <w:szCs w:val="28"/>
        </w:rPr>
        <w:t>2.期货公司应对相关持仓客户进行如下提醒（提醒方式可以为客户交易终端提醒、电子邮件、短信、电话等）：备兑持仓标的证券不足提醒；持有快到期或到期合约的临近行权提醒；持有快到期合约的被行权可能提醒；被指派行权提醒；证券交收日，交收证券不足提醒（电话提醒并督促其补足应交标的证券数量；其他本所或期货公司认为有必要向投资者进行持仓的提醒事项。</w:t>
      </w:r>
    </w:p>
    <w:p w:rsidR="00FC3217" w:rsidRDefault="00FC3217" w:rsidP="00FC3217">
      <w:pPr>
        <w:ind w:firstLineChars="200" w:firstLine="560"/>
        <w:rPr>
          <w:rFonts w:ascii="仿宋_GB2312" w:eastAsia="仿宋_GB2312"/>
          <w:color w:val="000000"/>
          <w:sz w:val="28"/>
          <w:szCs w:val="28"/>
        </w:rPr>
      </w:pPr>
      <w:r>
        <w:rPr>
          <w:rFonts w:ascii="仿宋_GB2312" w:eastAsia="仿宋_GB2312" w:hint="eastAsia"/>
          <w:color w:val="000000"/>
          <w:sz w:val="28"/>
          <w:szCs w:val="28"/>
        </w:rPr>
        <w:t>3.交易委托提醒</w:t>
      </w:r>
    </w:p>
    <w:p w:rsidR="00FC3217" w:rsidRDefault="00FC3217" w:rsidP="00FC3217">
      <w:pPr>
        <w:ind w:firstLineChars="200" w:firstLine="560"/>
        <w:rPr>
          <w:rFonts w:ascii="仿宋_GB2312" w:eastAsia="仿宋_GB2312"/>
          <w:color w:val="000000"/>
          <w:sz w:val="28"/>
          <w:szCs w:val="28"/>
        </w:rPr>
      </w:pPr>
      <w:r>
        <w:rPr>
          <w:rFonts w:ascii="仿宋_GB2312" w:eastAsia="仿宋_GB2312" w:hint="eastAsia"/>
          <w:color w:val="000000"/>
          <w:sz w:val="28"/>
          <w:szCs w:val="28"/>
        </w:rPr>
        <w:t>期货公司的客户交易终端应支持在客户提交包括但不限于以下交易委托时，弹出窗口（对同一合约交易可设置只提醒一次）进行提醒：严重虚值期权买入开仓委托；临近到期期权买入开仓委托；合约调整过的期权买入开仓委托；合约为虚值的行权委托；备兑开仓委托时标的证券不足；其他本所或期货公司认为有必要向投资者进行提醒的事项。</w:t>
      </w:r>
    </w:p>
    <w:p w:rsidR="00FC3217" w:rsidRDefault="00FC3217" w:rsidP="00FC3217">
      <w:pPr>
        <w:ind w:firstLineChars="200" w:firstLine="560"/>
        <w:rPr>
          <w:rFonts w:ascii="仿宋_GB2312" w:eastAsia="仿宋_GB2312"/>
          <w:color w:val="000000"/>
          <w:sz w:val="28"/>
          <w:szCs w:val="28"/>
        </w:rPr>
      </w:pPr>
      <w:r>
        <w:rPr>
          <w:rFonts w:ascii="仿宋_GB2312" w:eastAsia="仿宋_GB2312" w:hint="eastAsia"/>
          <w:color w:val="000000"/>
          <w:sz w:val="28"/>
          <w:szCs w:val="28"/>
        </w:rPr>
        <w:t>4.期货公司应当根据投资者的资金状况、交易活跃程度、异常交易结算行为发生频率、收到本所警示次数以及是否为本所重点监控账户等情况，对投资者进行分类管理，在市场出现期权价格大幅波动时，</w:t>
      </w:r>
      <w:r>
        <w:rPr>
          <w:rFonts w:ascii="仿宋_GB2312" w:eastAsia="仿宋_GB2312" w:hint="eastAsia"/>
          <w:color w:val="000000"/>
          <w:sz w:val="28"/>
          <w:szCs w:val="28"/>
        </w:rPr>
        <w:lastRenderedPageBreak/>
        <w:t>及时向投资者提示投资风险。</w:t>
      </w:r>
    </w:p>
    <w:p w:rsidR="00FC3217" w:rsidRDefault="00FC3217" w:rsidP="00FC3217">
      <w:pPr>
        <w:ind w:firstLineChars="200" w:firstLine="560"/>
        <w:rPr>
          <w:rFonts w:ascii="仿宋_GB2312" w:eastAsia="仿宋_GB2312"/>
          <w:color w:val="000000"/>
          <w:sz w:val="28"/>
          <w:szCs w:val="28"/>
        </w:rPr>
      </w:pPr>
      <w:r>
        <w:rPr>
          <w:rFonts w:ascii="仿宋_GB2312" w:eastAsia="仿宋_GB2312" w:hint="eastAsia"/>
          <w:color w:val="000000"/>
          <w:sz w:val="28"/>
          <w:szCs w:val="28"/>
        </w:rPr>
        <w:t>5.建议期货公司在相关信息技术系统突发事件应急处置方案中制定股票期权合约信息相关突发故障的处理措施，确保投资者在突发事件时能够及时知晓股票期权相关交易与提醒信息。</w:t>
      </w:r>
    </w:p>
    <w:p w:rsidR="00FC3217" w:rsidRDefault="00FC3217" w:rsidP="00FC3217">
      <w:pPr>
        <w:pStyle w:val="2"/>
        <w:ind w:firstLine="562"/>
      </w:pPr>
      <w:bookmarkStart w:id="467" w:name="_Toc20070"/>
      <w:bookmarkStart w:id="468" w:name="_Toc23947028"/>
      <w:r>
        <w:t>三、期权基础信息接口文件</w:t>
      </w:r>
      <w:bookmarkEnd w:id="467"/>
      <w:bookmarkEnd w:id="468"/>
    </w:p>
    <w:p w:rsidR="00FC3217" w:rsidRPr="00AE4248" w:rsidRDefault="00FC3217" w:rsidP="00FC3217">
      <w:pPr>
        <w:ind w:firstLineChars="200" w:firstLine="560"/>
        <w:rPr>
          <w:rFonts w:ascii="仿宋_GB2312" w:eastAsia="仿宋_GB2312"/>
          <w:color w:val="000000"/>
          <w:sz w:val="28"/>
          <w:szCs w:val="28"/>
        </w:rPr>
      </w:pPr>
      <w:r w:rsidRPr="00AE4248">
        <w:rPr>
          <w:rFonts w:ascii="仿宋_GB2312" w:eastAsia="仿宋_GB2312" w:hint="eastAsia"/>
          <w:color w:val="000000"/>
          <w:sz w:val="28"/>
          <w:szCs w:val="28"/>
        </w:rPr>
        <w:t>上交所每日向期货公司发送期权基础信息接口文件（文件名称：reff03MMDD.txt，以下简称：reff03文件）。reff03文件包含34个字段，现说明如下：</w:t>
      </w:r>
    </w:p>
    <w:p w:rsidR="00FC3217" w:rsidRDefault="00FC3217" w:rsidP="00FC3217">
      <w:pPr>
        <w:ind w:firstLineChars="202" w:firstLine="566"/>
        <w:rPr>
          <w:rFonts w:ascii="仿宋_GB2312" w:eastAsia="仿宋_GB2312" w:cs="仿宋_GB2312"/>
          <w:sz w:val="28"/>
          <w:szCs w:val="28"/>
        </w:rPr>
      </w:pPr>
      <w:r>
        <w:rPr>
          <w:rFonts w:ascii="仿宋_GB2312" w:eastAsia="仿宋_GB2312" w:hAnsi="Times New Roman" w:cs="仿宋_GB2312" w:hint="eastAsia"/>
          <w:sz w:val="28"/>
          <w:szCs w:val="28"/>
        </w:rPr>
        <w:t>（一）合约品种通用类字段。合约品种通用类字段内容适用同一期权合约品种，包括：欧式美式、保证金计算比例参数一、保证金计算比例参数二、整手数、单笔限价申报下限、单笔限价申报上限、单笔市价申报下限、单笔市价申报上限、最小报价单位，共9个。</w:t>
      </w:r>
    </w:p>
    <w:p w:rsidR="00FC3217" w:rsidRDefault="00FC3217" w:rsidP="00FC3217">
      <w:pPr>
        <w:ind w:firstLineChars="202" w:firstLine="566"/>
        <w:rPr>
          <w:rFonts w:ascii="仿宋_GB2312" w:eastAsia="仿宋_GB2312" w:cs="仿宋_GB2312"/>
          <w:sz w:val="28"/>
          <w:szCs w:val="28"/>
        </w:rPr>
      </w:pPr>
      <w:r>
        <w:rPr>
          <w:rFonts w:ascii="仿宋_GB2312" w:eastAsia="仿宋_GB2312" w:hAnsi="Times New Roman" w:cs="仿宋_GB2312" w:hint="eastAsia"/>
          <w:sz w:val="28"/>
          <w:szCs w:val="28"/>
        </w:rPr>
        <w:t>该类字段均根据本所现行业务规则或通知设置。若业务规则未发生变化，该类字段内容保持不变；该类字段内容发生调整时，本所将向市场发布公告，并及时告知期权经营机构。期权经营机构应能够在期权系统中对字段内容进行实时统一调整。</w:t>
      </w:r>
      <w:r>
        <w:rPr>
          <w:rFonts w:ascii="仿宋_GB2312" w:eastAsia="仿宋_GB2312" w:hAnsi="Times New Roman" w:cs="仿宋_GB2312" w:hint="eastAsia"/>
          <w:sz w:val="28"/>
          <w:szCs w:val="28"/>
        </w:rPr>
        <w:br/>
      </w:r>
      <w:r>
        <w:rPr>
          <w:rFonts w:ascii="仿宋_GB2312" w:eastAsia="仿宋_GB2312" w:hAnsi="Times New Roman"/>
          <w:sz w:val="28"/>
          <w:szCs w:val="28"/>
        </w:rPr>
        <w:t> </w:t>
      </w:r>
      <w:r>
        <w:rPr>
          <w:rFonts w:ascii="仿宋_GB2312" w:eastAsia="仿宋_GB2312" w:hAnsi="Times New Roman" w:cs="仿宋_GB2312" w:hint="eastAsia"/>
          <w:sz w:val="28"/>
          <w:szCs w:val="28"/>
        </w:rPr>
        <w:t xml:space="preserve">   （二）合约个性类字段。合约个性类字段内容根据期权合约个性化产生，包括：合约编码、合约交易代码、期权合约简称、认购认沽、合约单位、期权行权价、首个交易日、最后交易日、期权行权日、行权交割日、期权到期日、合约版本号、当前未平仓合约数、合约前收盘价、合约前结算价、涨幅上限价格、跌幅下限价格、单位保证金，</w:t>
      </w:r>
      <w:r>
        <w:rPr>
          <w:rFonts w:ascii="仿宋_GB2312" w:eastAsia="仿宋_GB2312" w:hAnsi="Times New Roman" w:cs="仿宋_GB2312" w:hint="eastAsia"/>
          <w:sz w:val="28"/>
          <w:szCs w:val="28"/>
        </w:rPr>
        <w:lastRenderedPageBreak/>
        <w:t>共18个。</w:t>
      </w:r>
    </w:p>
    <w:p w:rsidR="00FC3217" w:rsidRDefault="00FC3217" w:rsidP="00FC3217">
      <w:pPr>
        <w:ind w:firstLineChars="200" w:firstLine="560"/>
        <w:rPr>
          <w:rFonts w:ascii="仿宋_GB2312" w:eastAsia="仿宋_GB2312" w:cs="仿宋_GB2312"/>
          <w:sz w:val="28"/>
          <w:szCs w:val="28"/>
        </w:rPr>
      </w:pPr>
      <w:r>
        <w:rPr>
          <w:rFonts w:ascii="仿宋_GB2312" w:eastAsia="仿宋_GB2312" w:hAnsi="Times New Roman" w:cs="仿宋_GB2312" w:hint="eastAsia"/>
          <w:sz w:val="28"/>
          <w:szCs w:val="28"/>
        </w:rPr>
        <w:t xml:space="preserve"> 期权经营机构可以通过本所发送的reff03文件获取该类字段内容，但应能够在期权系统中根据期权合约对该类字段内容进行实时个性化调整。</w:t>
      </w:r>
    </w:p>
    <w:p w:rsidR="00FC3217" w:rsidRDefault="00FC3217" w:rsidP="00FC3217">
      <w:pPr>
        <w:ind w:firstLineChars="200" w:firstLine="560"/>
        <w:rPr>
          <w:rFonts w:ascii="仿宋_GB2312" w:eastAsia="仿宋_GB2312" w:cs="仿宋_GB2312"/>
          <w:sz w:val="28"/>
          <w:szCs w:val="28"/>
        </w:rPr>
      </w:pPr>
      <w:r>
        <w:rPr>
          <w:rFonts w:ascii="仿宋_GB2312" w:eastAsia="仿宋_GB2312" w:hAnsi="Times New Roman" w:cs="仿宋_GB2312" w:hint="eastAsia"/>
          <w:sz w:val="28"/>
          <w:szCs w:val="28"/>
        </w:rPr>
        <w:t xml:space="preserve"> 其中，对于“单位保证金”、“涨幅上限价格”、“跌幅下限价格”字段，期权经营机构可根据本所发布的业务规则计算并设置。当本所对发送的reff03文件数据进行调整时，将及时告知期权经营机构。</w:t>
      </w:r>
    </w:p>
    <w:p w:rsidR="00FC3217" w:rsidRDefault="00FC3217" w:rsidP="00FC3217">
      <w:pPr>
        <w:ind w:firstLineChars="200" w:firstLine="560"/>
        <w:rPr>
          <w:rFonts w:ascii="仿宋_GB2312" w:eastAsia="仿宋_GB2312" w:cs="仿宋_GB2312"/>
          <w:sz w:val="28"/>
          <w:szCs w:val="28"/>
        </w:rPr>
      </w:pPr>
      <w:r>
        <w:rPr>
          <w:rFonts w:ascii="仿宋_GB2312" w:eastAsia="仿宋_GB2312" w:hAnsi="Times New Roman" w:cs="仿宋_GB2312" w:hint="eastAsia"/>
          <w:sz w:val="28"/>
          <w:szCs w:val="28"/>
        </w:rPr>
        <w:t xml:space="preserve"> 对于“认购认沽”、“期权行权价”字段，期权经营机构可以通过“合约交易代码”或“期权合约简称”字段获取前述字段内容。</w:t>
      </w:r>
    </w:p>
    <w:p w:rsidR="00FC3217" w:rsidRDefault="00FC3217" w:rsidP="00FC3217">
      <w:pPr>
        <w:ind w:firstLineChars="200" w:firstLine="560"/>
        <w:rPr>
          <w:rFonts w:ascii="仿宋_GB2312" w:eastAsia="仿宋_GB2312" w:cs="仿宋_GB2312"/>
          <w:sz w:val="28"/>
          <w:szCs w:val="28"/>
        </w:rPr>
      </w:pPr>
      <w:r>
        <w:rPr>
          <w:rFonts w:ascii="仿宋_GB2312" w:eastAsia="仿宋_GB2312" w:hAnsi="Times New Roman" w:cs="仿宋_GB2312" w:hint="eastAsia"/>
          <w:sz w:val="28"/>
          <w:szCs w:val="28"/>
        </w:rPr>
        <w:t xml:space="preserve"> 对于“首个交易日”、“合约版本号”、“合约前收盘价”字段，其内容仅提供期权合约的辅助信息，不影响期权经营机构期权系统的正常运行。</w:t>
      </w:r>
    </w:p>
    <w:p w:rsidR="00FC3217" w:rsidRDefault="00FC3217" w:rsidP="00FC3217">
      <w:pPr>
        <w:ind w:firstLineChars="200" w:firstLine="560"/>
        <w:rPr>
          <w:rFonts w:ascii="仿宋_GB2312" w:eastAsia="仿宋_GB2312" w:cs="仿宋_GB2312"/>
          <w:sz w:val="28"/>
          <w:szCs w:val="28"/>
        </w:rPr>
      </w:pPr>
      <w:r>
        <w:rPr>
          <w:rFonts w:ascii="仿宋_GB2312" w:eastAsia="仿宋_GB2312" w:hAnsi="Times New Roman" w:cs="仿宋_GB2312" w:hint="eastAsia"/>
          <w:sz w:val="28"/>
          <w:szCs w:val="28"/>
        </w:rPr>
        <w:t>（三）标的类字段。标的类字段提供合约标的信息，包括：标的证券代码、基础证券名称、标的证券类型、标的证券前收盘，共4个。期权经营机构可以从现货行情获取该类字段内容，并应能够在期权系统中对该类字段内容进行实时调整。</w:t>
      </w:r>
    </w:p>
    <w:p w:rsidR="00FC3217" w:rsidRDefault="00FC3217" w:rsidP="00FC3217">
      <w:pPr>
        <w:ind w:firstLineChars="200" w:firstLine="560"/>
        <w:rPr>
          <w:rFonts w:ascii="仿宋_GB2312" w:eastAsia="仿宋_GB2312" w:cs="仿宋_GB2312"/>
          <w:sz w:val="28"/>
          <w:szCs w:val="28"/>
        </w:rPr>
      </w:pPr>
      <w:r>
        <w:rPr>
          <w:rFonts w:ascii="仿宋_GB2312" w:eastAsia="仿宋_GB2312" w:hAnsi="Times New Roman" w:cs="仿宋_GB2312" w:hint="eastAsia"/>
          <w:sz w:val="28"/>
          <w:szCs w:val="28"/>
        </w:rPr>
        <w:t>（四）其他类字段。其他类字段内容为辅助信息，包括：涨跌幅限制类型、参考数据类型、期权合约状态信息标签，共3个。该类字段不影响经营机构期权系统的正常运行。</w:t>
      </w:r>
    </w:p>
    <w:p w:rsidR="00FC3217" w:rsidRDefault="00FC3217" w:rsidP="00FC3217">
      <w:pPr>
        <w:ind w:firstLineChars="200" w:firstLine="560"/>
        <w:rPr>
          <w:rFonts w:ascii="仿宋_GB2312" w:eastAsia="仿宋_GB2312"/>
          <w:color w:val="000000"/>
          <w:sz w:val="28"/>
          <w:szCs w:val="28"/>
        </w:rPr>
      </w:pPr>
    </w:p>
    <w:p w:rsidR="00FC3217" w:rsidRDefault="00FC3217" w:rsidP="00FC3217">
      <w:pPr>
        <w:jc w:val="center"/>
        <w:outlineLvl w:val="0"/>
        <w:rPr>
          <w:rFonts w:ascii="Times New Roman" w:eastAsia="黑体" w:hAnsi="Times New Roman"/>
          <w:b/>
          <w:bCs/>
          <w:sz w:val="30"/>
          <w:szCs w:val="24"/>
        </w:rPr>
      </w:pPr>
      <w:bookmarkStart w:id="469" w:name="_Toc406100173"/>
      <w:bookmarkStart w:id="470" w:name="_Toc406436504"/>
      <w:bookmarkStart w:id="471" w:name="_Toc406438915"/>
      <w:bookmarkStart w:id="472" w:name="_Toc406438953"/>
      <w:bookmarkStart w:id="473" w:name="_Toc406439138"/>
    </w:p>
    <w:p w:rsidR="00FC3217" w:rsidRDefault="00FC3217" w:rsidP="00FC3217">
      <w:pPr>
        <w:jc w:val="center"/>
        <w:outlineLvl w:val="0"/>
        <w:rPr>
          <w:rFonts w:ascii="Times New Roman" w:eastAsia="黑体" w:hAnsi="Times New Roman"/>
          <w:b/>
          <w:bCs/>
          <w:sz w:val="30"/>
          <w:szCs w:val="24"/>
        </w:rPr>
      </w:pPr>
      <w:bookmarkStart w:id="474" w:name="_Toc406438923"/>
      <w:bookmarkStart w:id="475" w:name="_Toc406438955"/>
      <w:bookmarkStart w:id="476" w:name="_Toc406439140"/>
      <w:bookmarkStart w:id="477" w:name="_Toc406436506"/>
      <w:bookmarkEnd w:id="469"/>
      <w:bookmarkEnd w:id="470"/>
      <w:bookmarkEnd w:id="471"/>
      <w:bookmarkEnd w:id="472"/>
      <w:bookmarkEnd w:id="473"/>
    </w:p>
    <w:p w:rsidR="00FC3217" w:rsidRDefault="00FC3217" w:rsidP="00FC3217">
      <w:pPr>
        <w:pStyle w:val="2"/>
        <w:ind w:firstLine="643"/>
        <w:jc w:val="center"/>
        <w:rPr>
          <w:rFonts w:ascii="黑体" w:eastAsia="黑体" w:hAnsi="黑体"/>
          <w:sz w:val="32"/>
        </w:rPr>
      </w:pPr>
      <w:bookmarkStart w:id="478" w:name="_Toc408749936"/>
      <w:bookmarkStart w:id="479" w:name="_Toc12309"/>
      <w:bookmarkStart w:id="480" w:name="_Toc31518"/>
      <w:bookmarkStart w:id="481" w:name="_Toc23689"/>
      <w:bookmarkStart w:id="482" w:name="_Toc22309"/>
      <w:bookmarkStart w:id="483" w:name="_Toc408301004"/>
      <w:bookmarkStart w:id="484" w:name="_Toc23947029"/>
      <w:r>
        <w:rPr>
          <w:rFonts w:ascii="黑体" w:eastAsia="黑体" w:hAnsi="黑体" w:hint="eastAsia"/>
          <w:sz w:val="32"/>
        </w:rPr>
        <w:lastRenderedPageBreak/>
        <w:t>第十七章</w:t>
      </w:r>
      <w:r>
        <w:rPr>
          <w:rFonts w:ascii="黑体" w:eastAsia="黑体" w:hAnsi="黑体"/>
          <w:sz w:val="32"/>
        </w:rPr>
        <w:t xml:space="preserve"> </w:t>
      </w:r>
      <w:r>
        <w:rPr>
          <w:rFonts w:ascii="黑体" w:eastAsia="黑体" w:hAnsi="黑体" w:hint="eastAsia"/>
          <w:sz w:val="32"/>
        </w:rPr>
        <w:t>标的证券监管与保证金监控</w:t>
      </w:r>
      <w:bookmarkEnd w:id="478"/>
      <w:bookmarkEnd w:id="479"/>
      <w:bookmarkEnd w:id="480"/>
      <w:bookmarkEnd w:id="481"/>
      <w:bookmarkEnd w:id="482"/>
      <w:bookmarkEnd w:id="483"/>
      <w:bookmarkEnd w:id="484"/>
    </w:p>
    <w:p w:rsidR="00FC3217" w:rsidRDefault="00FC3217" w:rsidP="00FC3217">
      <w:pPr>
        <w:pStyle w:val="2"/>
        <w:ind w:firstLine="562"/>
      </w:pPr>
      <w:bookmarkStart w:id="485" w:name="_Toc26593"/>
      <w:bookmarkStart w:id="486" w:name="_Toc23698"/>
      <w:bookmarkStart w:id="487" w:name="_Toc17343"/>
      <w:bookmarkStart w:id="488" w:name="_Toc22706"/>
      <w:bookmarkStart w:id="489" w:name="_Toc408749937"/>
      <w:bookmarkStart w:id="490" w:name="_Toc23947030"/>
      <w:r>
        <w:rPr>
          <w:rFonts w:hint="eastAsia"/>
        </w:rPr>
        <w:t>一、标的证券监管</w:t>
      </w:r>
      <w:bookmarkEnd w:id="485"/>
      <w:bookmarkEnd w:id="486"/>
      <w:bookmarkEnd w:id="487"/>
      <w:bookmarkEnd w:id="488"/>
      <w:bookmarkEnd w:id="489"/>
      <w:bookmarkEnd w:id="490"/>
    </w:p>
    <w:p w:rsidR="00FC3217" w:rsidRDefault="00FC3217" w:rsidP="00FC3217">
      <w:pPr>
        <w:ind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期货公司从事股票期权及其标的证券业务，应满足证监会和本所的有关监管及风控要求。</w:t>
      </w:r>
    </w:p>
    <w:p w:rsidR="00FC3217" w:rsidRDefault="00FC3217" w:rsidP="00FC3217">
      <w:pPr>
        <w:ind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期货公司必须通过前端控制，确保其股票期权客户只能从事与股票期权备兑开仓以及行权相关的标的证券业务。本所将通过风险监控、抽查等，加强对期货公司开展的证券现货业务的监管。一旦发现期货公司客户现货交易超出上述范围，经查实后，按相关规定进行处理。</w:t>
      </w:r>
    </w:p>
    <w:p w:rsidR="00FC3217" w:rsidRDefault="00FC3217" w:rsidP="00FC3217">
      <w:pPr>
        <w:pStyle w:val="2"/>
        <w:ind w:firstLine="562"/>
      </w:pPr>
      <w:bookmarkStart w:id="491" w:name="_Toc408749938"/>
      <w:bookmarkStart w:id="492" w:name="_Toc27602"/>
      <w:bookmarkStart w:id="493" w:name="_Toc3435"/>
      <w:bookmarkStart w:id="494" w:name="_Toc7024"/>
      <w:bookmarkStart w:id="495" w:name="_Toc28610"/>
      <w:bookmarkStart w:id="496" w:name="_Toc23947031"/>
      <w:r>
        <w:rPr>
          <w:rFonts w:hint="eastAsia"/>
        </w:rPr>
        <w:t>二、保证金监控</w:t>
      </w:r>
      <w:bookmarkEnd w:id="491"/>
      <w:bookmarkEnd w:id="492"/>
      <w:bookmarkEnd w:id="493"/>
      <w:bookmarkEnd w:id="494"/>
      <w:bookmarkEnd w:id="495"/>
      <w:bookmarkEnd w:id="496"/>
    </w:p>
    <w:p w:rsidR="00FC3217" w:rsidRDefault="00FC3217" w:rsidP="00FC3217">
      <w:pPr>
        <w:ind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期货保证金监控中心负责对期货公司开展股票期权经纪业务涉及的客户保证金以及相应的证券交易结算资金的安全进行监控。期货公司应当根据期货保证金监控中心的要求报送客户保证金安全存管相关信息。</w:t>
      </w:r>
    </w:p>
    <w:p w:rsidR="00FC3217" w:rsidRDefault="00FC3217" w:rsidP="00FC3217">
      <w:pPr>
        <w:jc w:val="center"/>
        <w:outlineLvl w:val="0"/>
        <w:rPr>
          <w:rFonts w:ascii="Times New Roman" w:eastAsia="黑体" w:hAnsi="Times New Roman"/>
          <w:b/>
          <w:bCs/>
          <w:sz w:val="30"/>
          <w:szCs w:val="24"/>
        </w:rPr>
      </w:pPr>
    </w:p>
    <w:p w:rsidR="00FC3217" w:rsidRDefault="00FC3217" w:rsidP="00FC3217">
      <w:pPr>
        <w:pStyle w:val="2"/>
        <w:ind w:firstLine="643"/>
        <w:jc w:val="center"/>
        <w:rPr>
          <w:rFonts w:ascii="黑体" w:eastAsia="黑体" w:hAnsi="黑体"/>
          <w:sz w:val="32"/>
        </w:rPr>
      </w:pPr>
      <w:bookmarkStart w:id="497" w:name="_Toc408301005"/>
      <w:bookmarkStart w:id="498" w:name="_Toc408749939"/>
      <w:bookmarkStart w:id="499" w:name="_Toc23661"/>
      <w:bookmarkStart w:id="500" w:name="_Toc17900"/>
      <w:bookmarkStart w:id="501" w:name="_Toc11486"/>
      <w:bookmarkStart w:id="502" w:name="_Toc10329"/>
      <w:bookmarkStart w:id="503" w:name="_Toc23947032"/>
      <w:r>
        <w:rPr>
          <w:rFonts w:ascii="黑体" w:eastAsia="黑体" w:hAnsi="黑体" w:hint="eastAsia"/>
          <w:sz w:val="32"/>
        </w:rPr>
        <w:t>第十八章</w:t>
      </w:r>
      <w:r>
        <w:rPr>
          <w:rFonts w:ascii="黑体" w:eastAsia="黑体" w:hAnsi="黑体"/>
          <w:sz w:val="32"/>
        </w:rPr>
        <w:t xml:space="preserve"> </w:t>
      </w:r>
      <w:r>
        <w:rPr>
          <w:rFonts w:ascii="黑体" w:eastAsia="黑体" w:hAnsi="黑体" w:hint="eastAsia"/>
          <w:sz w:val="32"/>
        </w:rPr>
        <w:t>投资者教育与客户投诉处理</w:t>
      </w:r>
      <w:bookmarkEnd w:id="474"/>
      <w:bookmarkEnd w:id="475"/>
      <w:bookmarkEnd w:id="476"/>
      <w:bookmarkEnd w:id="477"/>
      <w:bookmarkEnd w:id="497"/>
      <w:bookmarkEnd w:id="498"/>
      <w:bookmarkEnd w:id="499"/>
      <w:bookmarkEnd w:id="500"/>
      <w:bookmarkEnd w:id="501"/>
      <w:bookmarkEnd w:id="502"/>
      <w:bookmarkEnd w:id="503"/>
    </w:p>
    <w:p w:rsidR="00FC3217" w:rsidRDefault="00FC3217" w:rsidP="00FC3217">
      <w:pPr>
        <w:pStyle w:val="2"/>
        <w:ind w:firstLine="562"/>
      </w:pPr>
      <w:bookmarkStart w:id="504" w:name="_Toc406438924"/>
      <w:bookmarkStart w:id="505" w:name="_Toc408749940"/>
      <w:bookmarkStart w:id="506" w:name="_Toc17404"/>
      <w:bookmarkStart w:id="507" w:name="_Toc24970"/>
      <w:bookmarkStart w:id="508" w:name="_Toc11860"/>
      <w:bookmarkStart w:id="509" w:name="_Toc8590"/>
      <w:bookmarkStart w:id="510" w:name="_Toc23947033"/>
      <w:r>
        <w:rPr>
          <w:rFonts w:hint="eastAsia"/>
        </w:rPr>
        <w:t>一、投资者教育</w:t>
      </w:r>
      <w:bookmarkEnd w:id="504"/>
      <w:bookmarkEnd w:id="505"/>
      <w:bookmarkEnd w:id="506"/>
      <w:bookmarkEnd w:id="507"/>
      <w:bookmarkEnd w:id="508"/>
      <w:bookmarkEnd w:id="509"/>
      <w:bookmarkEnd w:id="510"/>
    </w:p>
    <w:p w:rsidR="00FC3217" w:rsidRDefault="00FC3217" w:rsidP="00FC3217">
      <w:pPr>
        <w:ind w:firstLineChars="200" w:firstLine="560"/>
        <w:rPr>
          <w:rFonts w:ascii="仿宋_GB2312" w:eastAsia="仿宋_GB2312"/>
          <w:color w:val="000000"/>
          <w:sz w:val="28"/>
          <w:szCs w:val="28"/>
        </w:rPr>
      </w:pPr>
      <w:r>
        <w:rPr>
          <w:rFonts w:ascii="仿宋_GB2312" w:eastAsia="仿宋_GB2312" w:hint="eastAsia"/>
          <w:color w:val="000000"/>
          <w:sz w:val="28"/>
          <w:szCs w:val="28"/>
        </w:rPr>
        <w:t>股票期权业务投资者教育工作的目的是使客户掌握股票期权业务知识、交易规则，了解股票期权业务风险，树立正确的投资理念，理性参与期权交易，增强风险防范意识，依法维护自身权益，自觉维</w:t>
      </w:r>
      <w:r>
        <w:rPr>
          <w:rFonts w:ascii="仿宋_GB2312" w:eastAsia="仿宋_GB2312" w:hint="eastAsia"/>
          <w:color w:val="000000"/>
          <w:sz w:val="28"/>
          <w:szCs w:val="28"/>
        </w:rPr>
        <w:lastRenderedPageBreak/>
        <w:t>护市场秩序，促进股票期权市场的规范发展。</w:t>
      </w:r>
    </w:p>
    <w:p w:rsidR="00FC3217" w:rsidRDefault="00FC3217" w:rsidP="00FC3217">
      <w:pPr>
        <w:ind w:firstLineChars="200" w:firstLine="562"/>
        <w:rPr>
          <w:rFonts w:ascii="仿宋_GB2312" w:eastAsia="仿宋_GB2312"/>
          <w:b/>
          <w:color w:val="000000"/>
          <w:sz w:val="28"/>
          <w:szCs w:val="28"/>
        </w:rPr>
      </w:pPr>
      <w:bookmarkStart w:id="511" w:name="_Toc406438925"/>
      <w:r>
        <w:rPr>
          <w:rFonts w:ascii="仿宋_GB2312" w:eastAsia="仿宋_GB2312" w:hint="eastAsia"/>
          <w:b/>
          <w:color w:val="000000"/>
          <w:sz w:val="28"/>
          <w:szCs w:val="28"/>
        </w:rPr>
        <w:t>（一）投资者教育工作内容</w:t>
      </w:r>
      <w:bookmarkEnd w:id="511"/>
    </w:p>
    <w:p w:rsidR="00FC3217" w:rsidRDefault="00FC3217" w:rsidP="00FC3217">
      <w:pPr>
        <w:ind w:firstLineChars="200" w:firstLine="560"/>
        <w:rPr>
          <w:rFonts w:ascii="仿宋_GB2312" w:eastAsia="仿宋_GB2312"/>
          <w:color w:val="000000"/>
          <w:sz w:val="28"/>
          <w:szCs w:val="28"/>
        </w:rPr>
      </w:pPr>
      <w:r>
        <w:rPr>
          <w:rFonts w:ascii="仿宋_GB2312" w:eastAsia="仿宋_GB2312" w:hint="eastAsia"/>
          <w:color w:val="000000"/>
          <w:sz w:val="28"/>
          <w:szCs w:val="28"/>
        </w:rPr>
        <w:t>股票期权业务投资者教育的主要内容包括股票期权业务基础知识、证券现货基础知识、相关法律法规、期权业务规则、期权业务风险、投资者适当性管理标准、股票期权经纪合同的主要条款、股票期权开户流程等。</w:t>
      </w:r>
    </w:p>
    <w:p w:rsidR="00FC3217" w:rsidRDefault="00FC3217" w:rsidP="00FC3217">
      <w:pPr>
        <w:ind w:firstLineChars="200" w:firstLine="562"/>
        <w:rPr>
          <w:rFonts w:ascii="仿宋_GB2312" w:eastAsia="仿宋_GB2312"/>
          <w:b/>
          <w:color w:val="000000"/>
          <w:sz w:val="28"/>
          <w:szCs w:val="28"/>
        </w:rPr>
      </w:pPr>
      <w:bookmarkStart w:id="512" w:name="_Toc406438926"/>
      <w:r>
        <w:rPr>
          <w:rFonts w:ascii="仿宋_GB2312" w:eastAsia="仿宋_GB2312" w:hint="eastAsia"/>
          <w:b/>
          <w:color w:val="000000"/>
          <w:sz w:val="28"/>
          <w:szCs w:val="28"/>
        </w:rPr>
        <w:t>（二）投资者教育工作要求及工作形式</w:t>
      </w:r>
      <w:bookmarkEnd w:id="512"/>
    </w:p>
    <w:p w:rsidR="00FC3217" w:rsidRDefault="00FC3217" w:rsidP="00FC3217">
      <w:pPr>
        <w:ind w:firstLineChars="200" w:firstLine="560"/>
        <w:rPr>
          <w:rFonts w:ascii="仿宋_GB2312" w:eastAsia="仿宋_GB2312"/>
          <w:color w:val="000000"/>
          <w:sz w:val="28"/>
          <w:szCs w:val="28"/>
        </w:rPr>
      </w:pPr>
      <w:r>
        <w:rPr>
          <w:rFonts w:ascii="仿宋_GB2312" w:eastAsia="仿宋_GB2312" w:hint="eastAsia"/>
          <w:color w:val="000000"/>
          <w:sz w:val="28"/>
          <w:szCs w:val="28"/>
        </w:rPr>
        <w:t>1.股票期权经纪业务部门应制定本公司股票期权投资者教育工作制度，统筹组织全公司投资者教育工作。期权经纪业务部门可以采取如下形式开展投资者教育活动：集中授课、制作和发放投资者教育相关材料、设置公司网站投资者教育专栏、利用行情交易系统等揭示股票期权交易风险、组织开展股票期权仿真交易、与证券监管部门及宣传机构等合作开展投资者教育活动等。</w:t>
      </w:r>
    </w:p>
    <w:p w:rsidR="00FC3217" w:rsidRDefault="00FC3217" w:rsidP="00FC3217">
      <w:pPr>
        <w:ind w:firstLineChars="200" w:firstLine="560"/>
        <w:rPr>
          <w:rFonts w:ascii="仿宋_GB2312" w:eastAsia="仿宋_GB2312"/>
          <w:color w:val="000000"/>
          <w:sz w:val="28"/>
          <w:szCs w:val="28"/>
        </w:rPr>
      </w:pPr>
      <w:r>
        <w:rPr>
          <w:rFonts w:ascii="仿宋_GB2312" w:eastAsia="仿宋_GB2312" w:hint="eastAsia"/>
          <w:color w:val="000000"/>
          <w:sz w:val="28"/>
          <w:szCs w:val="28"/>
        </w:rPr>
        <w:t>期货公司应当在公司网站建立与本所投资者教育网站期权投教专区(http://edu.sse.com.cn/option)的链接，并根据需要或本所要求，及时向客户发布本所提供的有关期权投资者教育的相关资料。建议期货公司有效利用微信、微博等新媒体开展期权投教工作，比如设立微信公众号、服务号等，也可组织客户或相关人员关注“上交所期权之家”微信公众号（微信号：optiondaily）。</w:t>
      </w:r>
    </w:p>
    <w:p w:rsidR="00FC3217" w:rsidRDefault="00FC3217" w:rsidP="00FC3217">
      <w:pPr>
        <w:ind w:firstLineChars="200" w:firstLine="560"/>
        <w:rPr>
          <w:rFonts w:ascii="仿宋_GB2312" w:eastAsia="仿宋_GB2312"/>
          <w:color w:val="000000"/>
          <w:sz w:val="28"/>
          <w:szCs w:val="28"/>
        </w:rPr>
      </w:pPr>
      <w:r>
        <w:rPr>
          <w:rFonts w:ascii="仿宋_GB2312" w:eastAsia="仿宋_GB2312" w:hint="eastAsia"/>
          <w:color w:val="000000"/>
          <w:sz w:val="28"/>
          <w:szCs w:val="28"/>
        </w:rPr>
        <w:t>2.分支机构在总部统一部署下开展股票期权投资者教育工作，也可根据自身实际情况，适时开展投资者教育工作，形式包括集中授课、分发股票期权业务投资者教育资料、设立股票期权业务投资者教育园</w:t>
      </w:r>
      <w:r>
        <w:rPr>
          <w:rFonts w:ascii="仿宋_GB2312" w:eastAsia="仿宋_GB2312" w:hint="eastAsia"/>
          <w:color w:val="000000"/>
          <w:sz w:val="28"/>
          <w:szCs w:val="28"/>
        </w:rPr>
        <w:lastRenderedPageBreak/>
        <w:t>地专栏、组织客户参加股票期权模拟交易等。</w:t>
      </w:r>
    </w:p>
    <w:p w:rsidR="00FC3217" w:rsidRDefault="00FC3217" w:rsidP="00FC3217">
      <w:pPr>
        <w:ind w:firstLineChars="200" w:firstLine="560"/>
        <w:rPr>
          <w:rFonts w:ascii="仿宋_GB2312" w:eastAsia="仿宋_GB2312"/>
          <w:color w:val="000000"/>
          <w:sz w:val="28"/>
          <w:szCs w:val="28"/>
        </w:rPr>
      </w:pPr>
      <w:r>
        <w:rPr>
          <w:rFonts w:ascii="仿宋_GB2312" w:eastAsia="仿宋_GB2312" w:hint="eastAsia"/>
          <w:color w:val="000000"/>
          <w:sz w:val="28"/>
          <w:szCs w:val="28"/>
        </w:rPr>
        <w:t>开展期权业务的分支机构应当设置股票期权业务宣传专栏，内容可以包括：股票期权风险揭示书、股票期权业务法律及行政法规知识介绍、证券现货基础知识、股票期权业务基础知识、股票期权风险收益特点、股票期权交易流程、股票期权知识测试流程及安排等。</w:t>
      </w:r>
    </w:p>
    <w:p w:rsidR="00FC3217" w:rsidRDefault="00FC3217" w:rsidP="00FC3217">
      <w:pPr>
        <w:ind w:firstLineChars="200" w:firstLine="560"/>
        <w:rPr>
          <w:rFonts w:ascii="仿宋_GB2312" w:eastAsia="仿宋_GB2312"/>
          <w:color w:val="000000"/>
          <w:sz w:val="28"/>
          <w:szCs w:val="28"/>
        </w:rPr>
      </w:pPr>
      <w:r>
        <w:rPr>
          <w:rFonts w:ascii="仿宋_GB2312" w:eastAsia="仿宋_GB2312" w:hint="eastAsia"/>
          <w:color w:val="000000"/>
          <w:sz w:val="28"/>
          <w:szCs w:val="28"/>
        </w:rPr>
        <w:t>分支机构应当向申请开展股票期权业务的客户讲解股票期权业务规则、合同主要条款并提示交易风险，向客户告知股票期权标的证券名单、开仓保证金比例、维持保证金比例、股票期权交易合约收费标准等。</w:t>
      </w:r>
    </w:p>
    <w:p w:rsidR="00FC3217" w:rsidRDefault="00FC3217" w:rsidP="00FC3217">
      <w:pPr>
        <w:pStyle w:val="2"/>
        <w:ind w:firstLine="562"/>
      </w:pPr>
      <w:bookmarkStart w:id="513" w:name="_Toc406438927"/>
      <w:bookmarkStart w:id="514" w:name="_Toc408749941"/>
      <w:bookmarkStart w:id="515" w:name="_Toc25563"/>
      <w:bookmarkStart w:id="516" w:name="_Toc28227"/>
      <w:bookmarkStart w:id="517" w:name="_Toc127"/>
      <w:bookmarkStart w:id="518" w:name="_Toc21011"/>
      <w:bookmarkStart w:id="519" w:name="_Toc23947034"/>
      <w:r>
        <w:rPr>
          <w:rFonts w:hint="eastAsia"/>
        </w:rPr>
        <w:t>二、客户投诉处理</w:t>
      </w:r>
      <w:bookmarkEnd w:id="513"/>
      <w:bookmarkEnd w:id="514"/>
      <w:bookmarkEnd w:id="515"/>
      <w:bookmarkEnd w:id="516"/>
      <w:bookmarkEnd w:id="517"/>
      <w:bookmarkEnd w:id="518"/>
      <w:bookmarkEnd w:id="519"/>
    </w:p>
    <w:p w:rsidR="00FC3217" w:rsidRDefault="00FC3217" w:rsidP="00FC3217">
      <w:pPr>
        <w:ind w:firstLineChars="200" w:firstLine="560"/>
        <w:rPr>
          <w:rFonts w:ascii="仿宋_GB2312" w:eastAsia="仿宋_GB2312"/>
          <w:color w:val="000000"/>
          <w:sz w:val="28"/>
          <w:szCs w:val="28"/>
        </w:rPr>
      </w:pPr>
      <w:r>
        <w:rPr>
          <w:rFonts w:ascii="仿宋_GB2312" w:eastAsia="仿宋_GB2312" w:hint="eastAsia"/>
          <w:color w:val="000000"/>
          <w:sz w:val="28"/>
          <w:szCs w:val="28"/>
        </w:rPr>
        <w:t>为保护投资者，及时消除或化解客户因股票期权业务而发生的矛盾纠纷，避免客户纠纷事态的扩大，保证公司股票期权业务有序开展，期货公司应当制定完善的客户投诉处理流程。</w:t>
      </w:r>
      <w:bookmarkStart w:id="520" w:name="_Toc311894709"/>
    </w:p>
    <w:p w:rsidR="00FC3217" w:rsidRDefault="00FC3217" w:rsidP="00FC3217">
      <w:pPr>
        <w:ind w:firstLineChars="200" w:firstLine="562"/>
        <w:rPr>
          <w:rFonts w:ascii="仿宋_GB2312" w:eastAsia="仿宋_GB2312"/>
          <w:b/>
          <w:color w:val="000000"/>
          <w:sz w:val="28"/>
          <w:szCs w:val="28"/>
        </w:rPr>
      </w:pPr>
      <w:bookmarkStart w:id="521" w:name="_Toc406438928"/>
      <w:r>
        <w:rPr>
          <w:rFonts w:ascii="仿宋_GB2312" w:eastAsia="仿宋_GB2312" w:hint="eastAsia"/>
          <w:b/>
          <w:color w:val="000000"/>
          <w:sz w:val="28"/>
          <w:szCs w:val="28"/>
        </w:rPr>
        <w:t>（一）客户投诉的处理</w:t>
      </w:r>
      <w:bookmarkEnd w:id="520"/>
      <w:bookmarkEnd w:id="521"/>
    </w:p>
    <w:p w:rsidR="00FC3217" w:rsidRDefault="00FC3217" w:rsidP="00FC3217">
      <w:pPr>
        <w:ind w:firstLineChars="200" w:firstLine="560"/>
        <w:rPr>
          <w:rFonts w:ascii="仿宋_GB2312" w:eastAsia="仿宋_GB2312"/>
          <w:color w:val="000000"/>
          <w:sz w:val="28"/>
          <w:szCs w:val="28"/>
        </w:rPr>
      </w:pPr>
      <w:r>
        <w:rPr>
          <w:rFonts w:ascii="仿宋_GB2312" w:eastAsia="仿宋_GB2312" w:hint="eastAsia"/>
          <w:color w:val="000000"/>
          <w:sz w:val="28"/>
          <w:szCs w:val="28"/>
        </w:rPr>
        <w:t>1.要认真做好股票期权业务客户投诉处理、来访接待和劝导工作，尽量化解矛盾，有效防范客户上访事件的发生；将投诉、信访问题解决在基层，防止事态扩大。</w:t>
      </w:r>
    </w:p>
    <w:p w:rsidR="00FC3217" w:rsidRDefault="00FC3217" w:rsidP="00FC3217">
      <w:pPr>
        <w:ind w:firstLineChars="200" w:firstLine="560"/>
        <w:rPr>
          <w:rFonts w:ascii="仿宋_GB2312" w:eastAsia="仿宋_GB2312"/>
          <w:color w:val="000000"/>
          <w:sz w:val="28"/>
          <w:szCs w:val="28"/>
        </w:rPr>
      </w:pPr>
      <w:r>
        <w:rPr>
          <w:rFonts w:ascii="仿宋_GB2312" w:eastAsia="仿宋_GB2312" w:hint="eastAsia"/>
          <w:color w:val="000000"/>
          <w:sz w:val="28"/>
          <w:szCs w:val="28"/>
        </w:rPr>
        <w:t>2.客户投诉由期货公司分支机构或电话服务中心受理，并按预先制定的流程处理。建议投诉受理可以采取首问负责制。</w:t>
      </w:r>
    </w:p>
    <w:p w:rsidR="00FC3217" w:rsidRDefault="00FC3217" w:rsidP="00FC3217">
      <w:pPr>
        <w:ind w:firstLineChars="200" w:firstLine="560"/>
        <w:rPr>
          <w:rFonts w:ascii="仿宋_GB2312" w:eastAsia="仿宋_GB2312"/>
          <w:color w:val="000000"/>
          <w:sz w:val="28"/>
          <w:szCs w:val="28"/>
        </w:rPr>
      </w:pPr>
      <w:r>
        <w:rPr>
          <w:rFonts w:ascii="仿宋_GB2312" w:eastAsia="仿宋_GB2312" w:hint="eastAsia"/>
          <w:color w:val="000000"/>
          <w:sz w:val="28"/>
          <w:szCs w:val="28"/>
        </w:rPr>
        <w:t>3.对于重大投诉或交易纠纷，分支机构或电话服务中心向公司总部报备。对于其中可能影响正常交易的业务纠纷，应当自该情形出现</w:t>
      </w:r>
      <w:r>
        <w:rPr>
          <w:rFonts w:ascii="仿宋_GB2312" w:eastAsia="仿宋_GB2312" w:hint="eastAsia"/>
          <w:color w:val="000000"/>
          <w:sz w:val="28"/>
          <w:szCs w:val="28"/>
        </w:rPr>
        <w:lastRenderedPageBreak/>
        <w:t>之日起2个工作日内向本所和证券监管部门报告。</w:t>
      </w:r>
    </w:p>
    <w:p w:rsidR="00FC3217" w:rsidRDefault="00FC3217" w:rsidP="00FC3217">
      <w:pPr>
        <w:ind w:firstLineChars="200" w:firstLine="562"/>
        <w:rPr>
          <w:rFonts w:ascii="仿宋_GB2312" w:eastAsia="仿宋_GB2312"/>
          <w:b/>
          <w:color w:val="000000"/>
          <w:sz w:val="28"/>
          <w:szCs w:val="28"/>
        </w:rPr>
      </w:pPr>
      <w:bookmarkStart w:id="522" w:name="_Toc311894710"/>
      <w:bookmarkStart w:id="523" w:name="_Toc406438929"/>
      <w:r>
        <w:rPr>
          <w:rFonts w:ascii="仿宋_GB2312" w:eastAsia="仿宋_GB2312" w:hint="eastAsia"/>
          <w:b/>
          <w:color w:val="000000"/>
          <w:sz w:val="28"/>
          <w:szCs w:val="28"/>
        </w:rPr>
        <w:t>（二）客户投诉途径和受理范围</w:t>
      </w:r>
      <w:bookmarkEnd w:id="522"/>
      <w:bookmarkEnd w:id="523"/>
    </w:p>
    <w:p w:rsidR="00FC3217" w:rsidRDefault="00FC3217" w:rsidP="00FC3217">
      <w:pPr>
        <w:ind w:firstLineChars="200" w:firstLine="560"/>
        <w:rPr>
          <w:rFonts w:ascii="仿宋_GB2312" w:eastAsia="仿宋_GB2312"/>
          <w:color w:val="000000"/>
          <w:sz w:val="28"/>
          <w:szCs w:val="28"/>
        </w:rPr>
      </w:pPr>
      <w:r>
        <w:rPr>
          <w:rFonts w:ascii="仿宋_GB2312" w:eastAsia="仿宋_GB2312" w:hint="eastAsia"/>
          <w:color w:val="000000"/>
          <w:sz w:val="28"/>
          <w:szCs w:val="28"/>
        </w:rPr>
        <w:t>1、期货公司网站及分支机构在现场显著位置对外公示公司统一投诉受理渠道，包括投诉电话、投诉邮箱，投资者可现场或通过电话、邮件等形式向期货公司或分支机构投诉。</w:t>
      </w:r>
    </w:p>
    <w:p w:rsidR="00FC3217" w:rsidRDefault="00FC3217" w:rsidP="00FC3217">
      <w:pPr>
        <w:ind w:firstLineChars="200" w:firstLine="560"/>
        <w:rPr>
          <w:rFonts w:ascii="仿宋_GB2312" w:eastAsia="仿宋_GB2312"/>
          <w:color w:val="000000"/>
          <w:sz w:val="28"/>
          <w:szCs w:val="28"/>
        </w:rPr>
      </w:pPr>
      <w:r>
        <w:rPr>
          <w:rFonts w:ascii="仿宋_GB2312" w:eastAsia="仿宋_GB2312" w:hint="eastAsia"/>
          <w:color w:val="000000"/>
          <w:sz w:val="28"/>
          <w:szCs w:val="28"/>
        </w:rPr>
        <w:t>2、公司应当受理符合下列条件的股票期权业务客户投诉：</w:t>
      </w:r>
    </w:p>
    <w:p w:rsidR="00FC3217" w:rsidRDefault="00FC3217" w:rsidP="00FC3217">
      <w:pPr>
        <w:ind w:firstLineChars="200" w:firstLine="560"/>
        <w:rPr>
          <w:rFonts w:ascii="仿宋_GB2312" w:eastAsia="仿宋_GB2312"/>
          <w:color w:val="000000"/>
          <w:sz w:val="28"/>
          <w:szCs w:val="28"/>
        </w:rPr>
      </w:pPr>
      <w:r>
        <w:rPr>
          <w:rFonts w:ascii="仿宋_GB2312" w:eastAsia="仿宋_GB2312" w:hint="eastAsia"/>
          <w:color w:val="000000"/>
          <w:sz w:val="28"/>
          <w:szCs w:val="28"/>
        </w:rPr>
        <w:t>（1）投诉人是与投诉事项有直接利害关系的当事人；</w:t>
      </w:r>
    </w:p>
    <w:p w:rsidR="00FC3217" w:rsidRDefault="00FC3217" w:rsidP="00FC3217">
      <w:pPr>
        <w:ind w:firstLineChars="200" w:firstLine="560"/>
        <w:rPr>
          <w:rFonts w:ascii="仿宋_GB2312" w:eastAsia="仿宋_GB2312"/>
          <w:color w:val="000000"/>
          <w:sz w:val="28"/>
          <w:szCs w:val="28"/>
        </w:rPr>
      </w:pPr>
      <w:r>
        <w:rPr>
          <w:rFonts w:ascii="仿宋_GB2312" w:eastAsia="仿宋_GB2312" w:hint="eastAsia"/>
          <w:color w:val="000000"/>
          <w:sz w:val="28"/>
          <w:szCs w:val="28"/>
        </w:rPr>
        <w:t>（2）有明确的被投诉人或被投诉部门；</w:t>
      </w:r>
    </w:p>
    <w:p w:rsidR="00FC3217" w:rsidRDefault="00FC3217" w:rsidP="00FC3217">
      <w:pPr>
        <w:ind w:firstLineChars="200" w:firstLine="560"/>
        <w:rPr>
          <w:rFonts w:ascii="仿宋_GB2312" w:eastAsia="仿宋_GB2312"/>
          <w:color w:val="000000"/>
          <w:sz w:val="28"/>
          <w:szCs w:val="28"/>
        </w:rPr>
      </w:pPr>
      <w:r>
        <w:rPr>
          <w:rFonts w:ascii="仿宋_GB2312" w:eastAsia="仿宋_GB2312" w:hint="eastAsia"/>
          <w:color w:val="000000"/>
          <w:sz w:val="28"/>
          <w:szCs w:val="28"/>
        </w:rPr>
        <w:t>（3）投诉事项明确具体且有事实依据；</w:t>
      </w:r>
    </w:p>
    <w:p w:rsidR="00FC3217" w:rsidRDefault="00FC3217" w:rsidP="00FC3217">
      <w:pPr>
        <w:ind w:firstLineChars="200" w:firstLine="560"/>
        <w:rPr>
          <w:rFonts w:ascii="仿宋_GB2312" w:eastAsia="仿宋_GB2312"/>
          <w:color w:val="000000"/>
          <w:sz w:val="28"/>
          <w:szCs w:val="28"/>
        </w:rPr>
      </w:pPr>
      <w:r>
        <w:rPr>
          <w:rFonts w:ascii="仿宋_GB2312" w:eastAsia="仿宋_GB2312" w:hint="eastAsia"/>
          <w:color w:val="000000"/>
          <w:sz w:val="28"/>
          <w:szCs w:val="28"/>
        </w:rPr>
        <w:t>（4）期货公司规定的其他条件。</w:t>
      </w:r>
    </w:p>
    <w:p w:rsidR="00FC3217" w:rsidRDefault="00FC3217" w:rsidP="00FC3217">
      <w:pPr>
        <w:ind w:firstLineChars="200" w:firstLine="562"/>
        <w:rPr>
          <w:rFonts w:ascii="仿宋_GB2312" w:eastAsia="仿宋_GB2312"/>
          <w:b/>
          <w:color w:val="000000"/>
          <w:sz w:val="28"/>
          <w:szCs w:val="28"/>
        </w:rPr>
      </w:pPr>
      <w:bookmarkStart w:id="524" w:name="_Toc311894713"/>
      <w:bookmarkStart w:id="525" w:name="_Toc406438930"/>
      <w:r>
        <w:rPr>
          <w:rFonts w:ascii="仿宋_GB2312" w:eastAsia="仿宋_GB2312" w:hint="eastAsia"/>
          <w:b/>
          <w:color w:val="000000"/>
          <w:sz w:val="28"/>
          <w:szCs w:val="28"/>
        </w:rPr>
        <w:t>（三）投诉处理流程</w:t>
      </w:r>
      <w:bookmarkEnd w:id="524"/>
      <w:bookmarkEnd w:id="525"/>
    </w:p>
    <w:p w:rsidR="00FC3217" w:rsidRDefault="00FC3217" w:rsidP="00FC3217">
      <w:pPr>
        <w:ind w:firstLineChars="200" w:firstLine="560"/>
        <w:rPr>
          <w:rFonts w:ascii="仿宋_GB2312" w:eastAsia="仿宋_GB2312"/>
          <w:color w:val="000000"/>
          <w:sz w:val="28"/>
          <w:szCs w:val="28"/>
        </w:rPr>
      </w:pPr>
      <w:r>
        <w:rPr>
          <w:rFonts w:ascii="仿宋_GB2312" w:eastAsia="仿宋_GB2312" w:hint="eastAsia"/>
          <w:color w:val="000000"/>
          <w:sz w:val="28"/>
          <w:szCs w:val="28"/>
        </w:rPr>
        <w:t>1、投诉受理</w:t>
      </w:r>
    </w:p>
    <w:p w:rsidR="00FC3217" w:rsidRDefault="00FC3217" w:rsidP="00FC3217">
      <w:pPr>
        <w:ind w:firstLineChars="200" w:firstLine="560"/>
        <w:rPr>
          <w:rFonts w:ascii="仿宋_GB2312" w:eastAsia="仿宋_GB2312"/>
          <w:color w:val="000000"/>
          <w:sz w:val="28"/>
          <w:szCs w:val="28"/>
        </w:rPr>
      </w:pPr>
      <w:r>
        <w:rPr>
          <w:rFonts w:ascii="仿宋_GB2312" w:eastAsia="仿宋_GB2312" w:hint="eastAsia"/>
          <w:color w:val="000000"/>
          <w:sz w:val="28"/>
          <w:szCs w:val="28"/>
        </w:rPr>
        <w:t>分支机构或电话服务中心的客服人员接到投诉后，详细记录客户的姓名、客户编号、联系方式、地址、客户投诉的内容和客户期望的处理结果等。</w:t>
      </w:r>
    </w:p>
    <w:p w:rsidR="00FC3217" w:rsidRDefault="00FC3217" w:rsidP="00FC3217">
      <w:pPr>
        <w:ind w:firstLineChars="200" w:firstLine="560"/>
        <w:rPr>
          <w:rFonts w:ascii="仿宋_GB2312" w:eastAsia="仿宋_GB2312"/>
          <w:color w:val="000000"/>
          <w:sz w:val="28"/>
          <w:szCs w:val="28"/>
        </w:rPr>
      </w:pPr>
      <w:r>
        <w:rPr>
          <w:rFonts w:ascii="仿宋_GB2312" w:eastAsia="仿宋_GB2312" w:hint="eastAsia"/>
          <w:color w:val="000000"/>
          <w:sz w:val="28"/>
          <w:szCs w:val="28"/>
        </w:rPr>
        <w:t>2、投诉分析</w:t>
      </w:r>
    </w:p>
    <w:p w:rsidR="00FC3217" w:rsidRDefault="00FC3217" w:rsidP="00FC3217">
      <w:pPr>
        <w:ind w:firstLineChars="200" w:firstLine="560"/>
        <w:rPr>
          <w:rFonts w:ascii="仿宋_GB2312" w:eastAsia="仿宋_GB2312"/>
          <w:color w:val="000000"/>
          <w:sz w:val="28"/>
          <w:szCs w:val="28"/>
        </w:rPr>
      </w:pPr>
      <w:r>
        <w:rPr>
          <w:rFonts w:ascii="仿宋_GB2312" w:eastAsia="仿宋_GB2312" w:hint="eastAsia"/>
          <w:color w:val="000000"/>
          <w:sz w:val="28"/>
          <w:szCs w:val="28"/>
        </w:rPr>
        <w:t>客户服务人员在受理后立即根据登记内容进行分析，判断投诉是否符合受理条件，并及时通知投诉责任部门或人员。</w:t>
      </w:r>
    </w:p>
    <w:p w:rsidR="00FC3217" w:rsidRDefault="00FC3217" w:rsidP="00FC3217">
      <w:pPr>
        <w:ind w:firstLineChars="200" w:firstLine="560"/>
        <w:rPr>
          <w:rFonts w:ascii="仿宋_GB2312" w:eastAsia="仿宋_GB2312"/>
          <w:color w:val="000000"/>
          <w:sz w:val="28"/>
          <w:szCs w:val="28"/>
        </w:rPr>
      </w:pPr>
      <w:r>
        <w:rPr>
          <w:rFonts w:ascii="仿宋_GB2312" w:eastAsia="仿宋_GB2312" w:hint="eastAsia"/>
          <w:color w:val="000000"/>
          <w:sz w:val="28"/>
          <w:szCs w:val="28"/>
        </w:rPr>
        <w:t>3、投诉调查</w:t>
      </w:r>
    </w:p>
    <w:p w:rsidR="00FC3217" w:rsidRDefault="00FC3217" w:rsidP="00FC3217">
      <w:pPr>
        <w:ind w:firstLineChars="200" w:firstLine="560"/>
        <w:rPr>
          <w:rFonts w:ascii="仿宋_GB2312" w:eastAsia="仿宋_GB2312"/>
          <w:color w:val="000000"/>
          <w:sz w:val="28"/>
          <w:szCs w:val="28"/>
        </w:rPr>
      </w:pPr>
      <w:r>
        <w:rPr>
          <w:rFonts w:ascii="仿宋_GB2312" w:eastAsia="仿宋_GB2312" w:hint="eastAsia"/>
          <w:color w:val="000000"/>
          <w:sz w:val="28"/>
          <w:szCs w:val="28"/>
        </w:rPr>
        <w:t>责任部门在收到投诉当日，及时对投诉的事实、投诉的原因、主要责任人等内容进行调查，明确导致投诉问题发生的事件、责任人，确认投诉产生的主客观原因。</w:t>
      </w:r>
    </w:p>
    <w:p w:rsidR="00FC3217" w:rsidRDefault="00FC3217" w:rsidP="00FC3217">
      <w:pPr>
        <w:ind w:firstLineChars="200" w:firstLine="560"/>
        <w:rPr>
          <w:rFonts w:ascii="仿宋_GB2312" w:eastAsia="仿宋_GB2312"/>
          <w:color w:val="000000"/>
          <w:sz w:val="28"/>
          <w:szCs w:val="28"/>
        </w:rPr>
      </w:pPr>
      <w:r>
        <w:rPr>
          <w:rFonts w:ascii="仿宋_GB2312" w:eastAsia="仿宋_GB2312" w:hint="eastAsia"/>
          <w:color w:val="000000"/>
          <w:sz w:val="28"/>
          <w:szCs w:val="28"/>
        </w:rPr>
        <w:lastRenderedPageBreak/>
        <w:t>4、投诉处理</w:t>
      </w:r>
    </w:p>
    <w:p w:rsidR="00FC3217" w:rsidRDefault="00FC3217" w:rsidP="00FC3217">
      <w:pPr>
        <w:ind w:firstLineChars="200" w:firstLine="560"/>
        <w:rPr>
          <w:rFonts w:ascii="仿宋_GB2312" w:eastAsia="仿宋_GB2312"/>
          <w:color w:val="000000"/>
          <w:sz w:val="28"/>
          <w:szCs w:val="28"/>
        </w:rPr>
      </w:pPr>
      <w:r>
        <w:rPr>
          <w:rFonts w:ascii="仿宋_GB2312" w:eastAsia="仿宋_GB2312" w:hint="eastAsia"/>
          <w:color w:val="000000"/>
          <w:sz w:val="28"/>
          <w:szCs w:val="28"/>
        </w:rPr>
        <w:t xml:space="preserve">责任部门负责根据调查的实际情况，参照客户的投诉要求，提出解决投诉的具体方案，如沟通解释、道歉、纠错、赔偿等。 </w:t>
      </w:r>
    </w:p>
    <w:p w:rsidR="00FC3217" w:rsidRDefault="00FC3217" w:rsidP="00FC3217">
      <w:pPr>
        <w:ind w:firstLineChars="200" w:firstLine="560"/>
        <w:rPr>
          <w:rFonts w:ascii="仿宋_GB2312" w:eastAsia="仿宋_GB2312"/>
          <w:color w:val="000000"/>
          <w:sz w:val="28"/>
          <w:szCs w:val="28"/>
        </w:rPr>
      </w:pPr>
      <w:r>
        <w:rPr>
          <w:rFonts w:ascii="仿宋_GB2312" w:eastAsia="仿宋_GB2312" w:hint="eastAsia"/>
          <w:color w:val="000000"/>
          <w:sz w:val="28"/>
          <w:szCs w:val="28"/>
        </w:rPr>
        <w:t>分支机构在客户投诉处理完毕后，由首次受理客户投诉的人员通过电话录音、书面留痕等方式向客户确认处理结果。</w:t>
      </w:r>
    </w:p>
    <w:p w:rsidR="00FC3217" w:rsidRDefault="00FC3217" w:rsidP="00FC3217">
      <w:pPr>
        <w:ind w:firstLineChars="200" w:firstLine="562"/>
        <w:rPr>
          <w:rFonts w:ascii="仿宋_GB2312" w:eastAsia="仿宋_GB2312"/>
          <w:b/>
          <w:color w:val="000000"/>
          <w:sz w:val="28"/>
          <w:szCs w:val="28"/>
        </w:rPr>
      </w:pPr>
      <w:bookmarkStart w:id="526" w:name="_Toc311894715"/>
      <w:bookmarkStart w:id="527" w:name="_Toc406438931"/>
      <w:r>
        <w:rPr>
          <w:rFonts w:ascii="仿宋_GB2312" w:eastAsia="仿宋_GB2312" w:hint="eastAsia"/>
          <w:b/>
          <w:color w:val="000000"/>
          <w:sz w:val="28"/>
          <w:szCs w:val="28"/>
        </w:rPr>
        <w:t>（四）客户投诉档案的管理</w:t>
      </w:r>
      <w:bookmarkEnd w:id="526"/>
      <w:bookmarkEnd w:id="527"/>
      <w:r>
        <w:rPr>
          <w:rFonts w:ascii="仿宋_GB2312" w:eastAsia="仿宋_GB2312" w:hint="eastAsia"/>
          <w:b/>
          <w:color w:val="000000"/>
          <w:sz w:val="28"/>
          <w:szCs w:val="28"/>
        </w:rPr>
        <w:t xml:space="preserve"> </w:t>
      </w:r>
    </w:p>
    <w:p w:rsidR="00FC3217" w:rsidRDefault="00FC3217" w:rsidP="00FC3217">
      <w:pPr>
        <w:ind w:firstLineChars="200" w:firstLine="560"/>
        <w:rPr>
          <w:rFonts w:ascii="仿宋_GB2312" w:eastAsia="仿宋_GB2312"/>
          <w:color w:val="000000"/>
          <w:sz w:val="28"/>
          <w:szCs w:val="28"/>
        </w:rPr>
      </w:pPr>
      <w:r>
        <w:rPr>
          <w:rFonts w:ascii="仿宋_GB2312" w:eastAsia="仿宋_GB2312" w:hint="eastAsia"/>
          <w:color w:val="000000"/>
          <w:sz w:val="28"/>
          <w:szCs w:val="28"/>
        </w:rPr>
        <w:t>期货公司应当完整记录客户投诉受理、调查和处理的过程，并形成书面、录音和电子档案，其保存期限为20年。</w:t>
      </w:r>
      <w:bookmarkStart w:id="528" w:name="_Toc403729890"/>
      <w:bookmarkStart w:id="529" w:name="_Toc403729891"/>
    </w:p>
    <w:bookmarkEnd w:id="528"/>
    <w:bookmarkEnd w:id="529"/>
    <w:p w:rsidR="00FC3217" w:rsidRDefault="00FC3217" w:rsidP="00FC3217">
      <w:pPr>
        <w:jc w:val="center"/>
        <w:outlineLvl w:val="0"/>
        <w:rPr>
          <w:rFonts w:ascii="Times New Roman" w:eastAsia="黑体" w:hAnsi="Times New Roman"/>
          <w:b/>
          <w:bCs/>
          <w:sz w:val="30"/>
          <w:szCs w:val="24"/>
        </w:rPr>
      </w:pPr>
    </w:p>
    <w:p w:rsidR="00FC3217" w:rsidRDefault="00FC3217" w:rsidP="00FC3217">
      <w:pPr>
        <w:pStyle w:val="2"/>
        <w:ind w:firstLine="643"/>
        <w:jc w:val="center"/>
        <w:rPr>
          <w:rFonts w:ascii="黑体" w:eastAsia="黑体" w:hAnsi="黑体"/>
          <w:sz w:val="32"/>
        </w:rPr>
      </w:pPr>
      <w:bookmarkStart w:id="530" w:name="_Toc408301006"/>
      <w:bookmarkStart w:id="531" w:name="_Toc408749942"/>
      <w:bookmarkStart w:id="532" w:name="_Toc14471"/>
      <w:bookmarkStart w:id="533" w:name="_Toc23693"/>
      <w:bookmarkStart w:id="534" w:name="_Toc17286"/>
      <w:bookmarkStart w:id="535" w:name="_Toc14404"/>
      <w:bookmarkStart w:id="536" w:name="_Toc23947035"/>
      <w:r>
        <w:rPr>
          <w:rFonts w:ascii="黑体" w:eastAsia="黑体" w:hAnsi="黑体" w:hint="eastAsia"/>
          <w:sz w:val="32"/>
        </w:rPr>
        <w:t>第十九章 股票期权介绍业务</w:t>
      </w:r>
      <w:bookmarkEnd w:id="530"/>
      <w:bookmarkEnd w:id="531"/>
      <w:bookmarkEnd w:id="532"/>
      <w:bookmarkEnd w:id="533"/>
      <w:bookmarkEnd w:id="534"/>
      <w:bookmarkEnd w:id="535"/>
      <w:bookmarkEnd w:id="536"/>
    </w:p>
    <w:p w:rsidR="00FC3217" w:rsidRDefault="00FC3217" w:rsidP="00FC3217">
      <w:pPr>
        <w:widowControl/>
        <w:ind w:firstLineChars="200" w:firstLine="560"/>
        <w:jc w:val="left"/>
        <w:rPr>
          <w:rFonts w:ascii="Cambria" w:eastAsia="仿宋_GB2312" w:hAnsi="Cambria"/>
          <w:bCs/>
          <w:color w:val="000000"/>
          <w:sz w:val="28"/>
          <w:szCs w:val="32"/>
        </w:rPr>
      </w:pPr>
    </w:p>
    <w:p w:rsidR="00FC3217" w:rsidRDefault="00FC3217" w:rsidP="00FC3217">
      <w:pPr>
        <w:widowControl/>
        <w:ind w:firstLineChars="200" w:firstLine="560"/>
        <w:jc w:val="left"/>
        <w:rPr>
          <w:rFonts w:ascii="Cambria" w:eastAsia="仿宋_GB2312" w:hAnsi="Cambria"/>
          <w:bCs/>
          <w:color w:val="000000"/>
          <w:sz w:val="28"/>
          <w:szCs w:val="32"/>
        </w:rPr>
      </w:pPr>
      <w:r>
        <w:rPr>
          <w:rFonts w:ascii="Cambria" w:eastAsia="仿宋_GB2312" w:hAnsi="Cambria" w:hint="eastAsia"/>
          <w:bCs/>
          <w:color w:val="000000"/>
          <w:sz w:val="28"/>
          <w:szCs w:val="32"/>
        </w:rPr>
        <w:t>期货公司可以接受一家或者多家证券公司或期货公司的委托，为其介绍客户参与股票期权交易，并提供其他相关服务。</w:t>
      </w:r>
    </w:p>
    <w:p w:rsidR="00FC3217" w:rsidRDefault="00FC3217" w:rsidP="00FC3217">
      <w:pPr>
        <w:pStyle w:val="2"/>
        <w:ind w:firstLine="562"/>
      </w:pPr>
      <w:bookmarkStart w:id="537" w:name="_Toc408743800"/>
      <w:bookmarkStart w:id="538" w:name="_Toc408749943"/>
      <w:bookmarkStart w:id="539" w:name="_Toc13788"/>
      <w:bookmarkStart w:id="540" w:name="_Toc31418"/>
      <w:bookmarkStart w:id="541" w:name="_Toc22090"/>
      <w:bookmarkStart w:id="542" w:name="_Toc31203"/>
      <w:bookmarkStart w:id="543" w:name="_Toc23947036"/>
      <w:r>
        <w:rPr>
          <w:rFonts w:hint="eastAsia"/>
        </w:rPr>
        <w:t>一、基本要求</w:t>
      </w:r>
      <w:bookmarkEnd w:id="537"/>
      <w:bookmarkEnd w:id="538"/>
      <w:bookmarkEnd w:id="539"/>
      <w:bookmarkEnd w:id="540"/>
      <w:bookmarkEnd w:id="541"/>
      <w:bookmarkEnd w:id="542"/>
      <w:bookmarkEnd w:id="543"/>
    </w:p>
    <w:p w:rsidR="00FC3217" w:rsidRDefault="00FC3217" w:rsidP="00FC3217">
      <w:pPr>
        <w:widowControl/>
        <w:ind w:firstLineChars="200" w:firstLine="560"/>
        <w:jc w:val="left"/>
        <w:rPr>
          <w:rFonts w:ascii="Cambria" w:eastAsia="仿宋_GB2312" w:hAnsi="Cambria"/>
          <w:bCs/>
          <w:color w:val="000000"/>
          <w:sz w:val="28"/>
          <w:szCs w:val="32"/>
        </w:rPr>
      </w:pPr>
      <w:r>
        <w:rPr>
          <w:rFonts w:ascii="Cambria" w:eastAsia="仿宋_GB2312" w:hAnsi="Cambria" w:hint="eastAsia"/>
          <w:bCs/>
          <w:color w:val="000000"/>
          <w:sz w:val="28"/>
          <w:szCs w:val="32"/>
        </w:rPr>
        <w:t>（一）完成向公司住所地中国证监会派出机构备案；</w:t>
      </w:r>
    </w:p>
    <w:p w:rsidR="00FC3217" w:rsidRDefault="00FC3217" w:rsidP="00FC3217">
      <w:pPr>
        <w:widowControl/>
        <w:ind w:firstLineChars="200" w:firstLine="560"/>
        <w:jc w:val="left"/>
        <w:rPr>
          <w:rFonts w:ascii="Cambria" w:eastAsia="仿宋_GB2312" w:hAnsi="Cambria"/>
          <w:bCs/>
          <w:color w:val="000000"/>
          <w:sz w:val="28"/>
          <w:szCs w:val="32"/>
        </w:rPr>
      </w:pPr>
      <w:r>
        <w:rPr>
          <w:rFonts w:ascii="Cambria" w:eastAsia="仿宋_GB2312" w:hAnsi="Cambria" w:hint="eastAsia"/>
          <w:bCs/>
          <w:color w:val="000000"/>
          <w:sz w:val="28"/>
          <w:szCs w:val="32"/>
        </w:rPr>
        <w:t>（二）配备必要的业务人员，公司总部至少有</w:t>
      </w:r>
      <w:r>
        <w:rPr>
          <w:rFonts w:ascii="Cambria" w:eastAsia="仿宋_GB2312" w:hAnsi="Cambria" w:hint="eastAsia"/>
          <w:bCs/>
          <w:color w:val="000000"/>
          <w:sz w:val="28"/>
          <w:szCs w:val="32"/>
        </w:rPr>
        <w:t>5</w:t>
      </w:r>
      <w:r>
        <w:rPr>
          <w:rFonts w:ascii="Cambria" w:eastAsia="仿宋_GB2312" w:hAnsi="Cambria" w:hint="eastAsia"/>
          <w:bCs/>
          <w:color w:val="000000"/>
          <w:sz w:val="28"/>
          <w:szCs w:val="32"/>
        </w:rPr>
        <w:t>名、拟开展介绍业务的营业部至少有</w:t>
      </w:r>
      <w:r>
        <w:rPr>
          <w:rFonts w:ascii="Cambria" w:eastAsia="仿宋_GB2312" w:hAnsi="Cambria" w:hint="eastAsia"/>
          <w:bCs/>
          <w:color w:val="000000"/>
          <w:sz w:val="28"/>
          <w:szCs w:val="32"/>
        </w:rPr>
        <w:t>2</w:t>
      </w:r>
      <w:r>
        <w:rPr>
          <w:rFonts w:ascii="Cambria" w:eastAsia="仿宋_GB2312" w:hAnsi="Cambria" w:hint="eastAsia"/>
          <w:bCs/>
          <w:color w:val="000000"/>
          <w:sz w:val="28"/>
          <w:szCs w:val="32"/>
        </w:rPr>
        <w:t>名具有证券从业人员资格的业务人员；</w:t>
      </w:r>
    </w:p>
    <w:p w:rsidR="00FC3217" w:rsidRDefault="00FC3217" w:rsidP="00FC3217">
      <w:pPr>
        <w:widowControl/>
        <w:ind w:firstLineChars="200" w:firstLine="560"/>
        <w:jc w:val="left"/>
        <w:rPr>
          <w:rFonts w:ascii="Cambria" w:eastAsia="仿宋_GB2312" w:hAnsi="Cambria"/>
          <w:bCs/>
          <w:color w:val="000000"/>
          <w:sz w:val="28"/>
          <w:szCs w:val="32"/>
        </w:rPr>
      </w:pPr>
      <w:r>
        <w:rPr>
          <w:rFonts w:ascii="Cambria" w:eastAsia="仿宋_GB2312" w:hAnsi="Cambria" w:hint="eastAsia"/>
          <w:bCs/>
          <w:color w:val="000000"/>
          <w:sz w:val="28"/>
          <w:szCs w:val="32"/>
        </w:rPr>
        <w:t>（三）已按规定建立健全与介绍业务相关的业务规则、内部控制、风险隔离及合规检查等制度；</w:t>
      </w:r>
    </w:p>
    <w:p w:rsidR="00FC3217" w:rsidRDefault="00FC3217" w:rsidP="00FC3217">
      <w:pPr>
        <w:widowControl/>
        <w:ind w:firstLineChars="200" w:firstLine="560"/>
        <w:jc w:val="left"/>
        <w:rPr>
          <w:rFonts w:ascii="Cambria" w:eastAsia="仿宋_GB2312" w:hAnsi="Cambria"/>
          <w:bCs/>
          <w:color w:val="000000"/>
          <w:sz w:val="28"/>
          <w:szCs w:val="32"/>
        </w:rPr>
      </w:pPr>
      <w:r>
        <w:rPr>
          <w:rFonts w:ascii="Cambria" w:eastAsia="仿宋_GB2312" w:hAnsi="Cambria" w:hint="eastAsia"/>
          <w:bCs/>
          <w:color w:val="000000"/>
          <w:sz w:val="28"/>
          <w:szCs w:val="32"/>
        </w:rPr>
        <w:lastRenderedPageBreak/>
        <w:t>（四）期货公司与证券公司或其他期货公司签订的书面介绍业务协议内容完整。</w:t>
      </w:r>
    </w:p>
    <w:p w:rsidR="00FC3217" w:rsidRDefault="00FC3217" w:rsidP="00FC3217">
      <w:pPr>
        <w:pStyle w:val="2"/>
        <w:ind w:firstLine="562"/>
      </w:pPr>
      <w:bookmarkStart w:id="544" w:name="_Toc408743801"/>
      <w:bookmarkStart w:id="545" w:name="_Toc408749944"/>
      <w:bookmarkStart w:id="546" w:name="_Toc17223"/>
      <w:bookmarkStart w:id="547" w:name="_Toc12737"/>
      <w:bookmarkStart w:id="548" w:name="_Toc12578"/>
      <w:bookmarkStart w:id="549" w:name="_Toc1574"/>
      <w:bookmarkStart w:id="550" w:name="_Toc23947037"/>
      <w:r>
        <w:rPr>
          <w:rFonts w:hint="eastAsia"/>
        </w:rPr>
        <w:t>二、介绍业务协议</w:t>
      </w:r>
      <w:bookmarkEnd w:id="544"/>
      <w:bookmarkEnd w:id="545"/>
      <w:bookmarkEnd w:id="546"/>
      <w:bookmarkEnd w:id="547"/>
      <w:bookmarkEnd w:id="548"/>
      <w:bookmarkEnd w:id="549"/>
      <w:bookmarkEnd w:id="550"/>
    </w:p>
    <w:p w:rsidR="00FC3217" w:rsidRDefault="00FC3217" w:rsidP="00FC3217">
      <w:pPr>
        <w:widowControl/>
        <w:ind w:firstLineChars="200" w:firstLine="560"/>
        <w:jc w:val="left"/>
        <w:rPr>
          <w:rFonts w:ascii="Cambria" w:eastAsia="仿宋_GB2312" w:hAnsi="Cambria"/>
          <w:bCs/>
          <w:color w:val="000000"/>
          <w:sz w:val="28"/>
          <w:szCs w:val="32"/>
        </w:rPr>
      </w:pPr>
      <w:r>
        <w:rPr>
          <w:rFonts w:ascii="Cambria" w:eastAsia="仿宋_GB2312" w:hAnsi="Cambria" w:hint="eastAsia"/>
          <w:bCs/>
          <w:color w:val="000000"/>
          <w:sz w:val="28"/>
          <w:szCs w:val="32"/>
        </w:rPr>
        <w:t>期货公司从事中间介绍业务，应当签订书面介绍业务协议，期货公司与证券公司或其他期货公司签订的书面介绍业务协议内容应当至少包括以下事项：</w:t>
      </w:r>
    </w:p>
    <w:p w:rsidR="00FC3217" w:rsidRDefault="00FC3217" w:rsidP="00FC3217">
      <w:pPr>
        <w:widowControl/>
        <w:ind w:firstLineChars="200" w:firstLine="560"/>
        <w:jc w:val="left"/>
        <w:rPr>
          <w:rFonts w:ascii="Cambria" w:eastAsia="仿宋_GB2312" w:hAnsi="Cambria"/>
          <w:bCs/>
          <w:color w:val="000000"/>
          <w:sz w:val="28"/>
          <w:szCs w:val="32"/>
        </w:rPr>
      </w:pPr>
      <w:r>
        <w:rPr>
          <w:rFonts w:ascii="Cambria" w:eastAsia="仿宋_GB2312" w:hAnsi="Cambria" w:hint="eastAsia"/>
          <w:bCs/>
          <w:color w:val="000000"/>
          <w:sz w:val="28"/>
          <w:szCs w:val="32"/>
        </w:rPr>
        <w:t>（一）介绍业务的范围和内容；</w:t>
      </w:r>
    </w:p>
    <w:p w:rsidR="00FC3217" w:rsidRDefault="00FC3217" w:rsidP="00FC3217">
      <w:pPr>
        <w:widowControl/>
        <w:ind w:firstLineChars="200" w:firstLine="560"/>
        <w:jc w:val="left"/>
        <w:rPr>
          <w:rFonts w:ascii="Cambria" w:eastAsia="仿宋_GB2312" w:hAnsi="Cambria"/>
          <w:bCs/>
          <w:color w:val="000000"/>
          <w:sz w:val="28"/>
          <w:szCs w:val="32"/>
        </w:rPr>
      </w:pPr>
      <w:r>
        <w:rPr>
          <w:rFonts w:ascii="Cambria" w:eastAsia="仿宋_GB2312" w:hAnsi="Cambria" w:hint="eastAsia"/>
          <w:bCs/>
          <w:color w:val="000000"/>
          <w:sz w:val="28"/>
          <w:szCs w:val="32"/>
        </w:rPr>
        <w:t>（二）是否提供协助办理期权开户等服务；</w:t>
      </w:r>
    </w:p>
    <w:p w:rsidR="00FC3217" w:rsidRDefault="00FC3217" w:rsidP="00FC3217">
      <w:pPr>
        <w:widowControl/>
        <w:ind w:firstLineChars="200" w:firstLine="560"/>
        <w:jc w:val="left"/>
        <w:rPr>
          <w:rFonts w:ascii="Cambria" w:eastAsia="仿宋_GB2312" w:hAnsi="Cambria"/>
          <w:bCs/>
          <w:color w:val="000000"/>
          <w:sz w:val="28"/>
          <w:szCs w:val="32"/>
        </w:rPr>
      </w:pPr>
      <w:r>
        <w:rPr>
          <w:rFonts w:ascii="Cambria" w:eastAsia="仿宋_GB2312" w:hAnsi="Cambria" w:hint="eastAsia"/>
          <w:bCs/>
          <w:color w:val="000000"/>
          <w:sz w:val="28"/>
          <w:szCs w:val="32"/>
        </w:rPr>
        <w:t>（三）介绍业务如何对接和管理；</w:t>
      </w:r>
    </w:p>
    <w:p w:rsidR="00FC3217" w:rsidRDefault="00FC3217" w:rsidP="00FC3217">
      <w:pPr>
        <w:widowControl/>
        <w:ind w:firstLineChars="200" w:firstLine="560"/>
        <w:jc w:val="left"/>
        <w:rPr>
          <w:rFonts w:ascii="Cambria" w:eastAsia="仿宋_GB2312" w:hAnsi="Cambria"/>
          <w:bCs/>
          <w:color w:val="000000"/>
          <w:sz w:val="28"/>
          <w:szCs w:val="32"/>
        </w:rPr>
      </w:pPr>
      <w:r>
        <w:rPr>
          <w:rFonts w:ascii="Cambria" w:eastAsia="仿宋_GB2312" w:hAnsi="Cambria" w:hint="eastAsia"/>
          <w:bCs/>
          <w:color w:val="000000"/>
          <w:sz w:val="28"/>
          <w:szCs w:val="32"/>
        </w:rPr>
        <w:t>（四）客户投诉的接待处理方式；</w:t>
      </w:r>
    </w:p>
    <w:p w:rsidR="00FC3217" w:rsidRDefault="00FC3217" w:rsidP="00FC3217">
      <w:pPr>
        <w:widowControl/>
        <w:ind w:firstLineChars="200" w:firstLine="560"/>
        <w:jc w:val="left"/>
        <w:rPr>
          <w:rFonts w:ascii="Cambria" w:eastAsia="仿宋_GB2312" w:hAnsi="Cambria"/>
          <w:bCs/>
          <w:color w:val="000000"/>
          <w:sz w:val="28"/>
          <w:szCs w:val="32"/>
        </w:rPr>
      </w:pPr>
      <w:r>
        <w:rPr>
          <w:rFonts w:ascii="Cambria" w:eastAsia="仿宋_GB2312" w:hAnsi="Cambria" w:hint="eastAsia"/>
          <w:bCs/>
          <w:color w:val="000000"/>
          <w:sz w:val="28"/>
          <w:szCs w:val="32"/>
        </w:rPr>
        <w:t>（五）报酬支付及相关费用的分担方式；</w:t>
      </w:r>
    </w:p>
    <w:p w:rsidR="00FC3217" w:rsidRDefault="00FC3217" w:rsidP="00FC3217">
      <w:pPr>
        <w:widowControl/>
        <w:ind w:firstLineChars="200" w:firstLine="560"/>
        <w:jc w:val="left"/>
        <w:rPr>
          <w:rFonts w:ascii="Cambria" w:eastAsia="仿宋_GB2312" w:hAnsi="Cambria"/>
          <w:bCs/>
          <w:color w:val="000000"/>
          <w:sz w:val="28"/>
          <w:szCs w:val="32"/>
        </w:rPr>
      </w:pPr>
      <w:r>
        <w:rPr>
          <w:rFonts w:ascii="Cambria" w:eastAsia="仿宋_GB2312" w:hAnsi="Cambria" w:hint="eastAsia"/>
          <w:bCs/>
          <w:color w:val="000000"/>
          <w:sz w:val="28"/>
          <w:szCs w:val="32"/>
        </w:rPr>
        <w:t>（六）介绍业务的责任界定和追究机制。</w:t>
      </w:r>
    </w:p>
    <w:p w:rsidR="00FC3217" w:rsidRDefault="00FC3217" w:rsidP="00FC3217">
      <w:pPr>
        <w:widowControl/>
        <w:ind w:firstLineChars="200" w:firstLine="560"/>
        <w:jc w:val="left"/>
        <w:rPr>
          <w:rFonts w:ascii="Cambria" w:eastAsia="仿宋_GB2312" w:hAnsi="Cambria"/>
          <w:bCs/>
          <w:color w:val="000000"/>
          <w:sz w:val="28"/>
          <w:szCs w:val="32"/>
        </w:rPr>
      </w:pPr>
      <w:r>
        <w:rPr>
          <w:rFonts w:ascii="Cambria" w:eastAsia="仿宋_GB2312" w:hAnsi="Cambria" w:hint="eastAsia"/>
          <w:bCs/>
          <w:color w:val="000000"/>
          <w:sz w:val="28"/>
          <w:szCs w:val="32"/>
        </w:rPr>
        <w:t>期货公司按照介绍业务协议对证券公司或其他期货公司承担相应的受托责任。</w:t>
      </w:r>
    </w:p>
    <w:p w:rsidR="00FC3217" w:rsidRDefault="00FC3217" w:rsidP="00FC3217">
      <w:pPr>
        <w:widowControl/>
        <w:ind w:firstLineChars="200" w:firstLine="560"/>
        <w:jc w:val="left"/>
        <w:rPr>
          <w:rFonts w:ascii="Cambria" w:eastAsia="仿宋_GB2312" w:hAnsi="Cambria"/>
          <w:bCs/>
          <w:color w:val="000000"/>
          <w:sz w:val="28"/>
          <w:szCs w:val="32"/>
        </w:rPr>
      </w:pPr>
      <w:r>
        <w:rPr>
          <w:rFonts w:ascii="Cambria" w:eastAsia="仿宋_GB2312" w:hAnsi="Cambria" w:hint="eastAsia"/>
          <w:bCs/>
          <w:color w:val="000000"/>
          <w:sz w:val="28"/>
          <w:szCs w:val="32"/>
        </w:rPr>
        <w:t>双方可以在委托协议中约定前款规定以外的其他事项，但不得损害客户的合法权益。</w:t>
      </w:r>
    </w:p>
    <w:p w:rsidR="00FC3217" w:rsidRDefault="00FC3217" w:rsidP="00FC3217">
      <w:pPr>
        <w:widowControl/>
        <w:ind w:firstLineChars="200" w:firstLine="560"/>
        <w:jc w:val="left"/>
        <w:rPr>
          <w:rFonts w:ascii="Cambria" w:eastAsia="仿宋_GB2312" w:hAnsi="Cambria"/>
          <w:bCs/>
          <w:color w:val="000000"/>
          <w:sz w:val="28"/>
          <w:szCs w:val="32"/>
        </w:rPr>
      </w:pPr>
      <w:r>
        <w:rPr>
          <w:rFonts w:ascii="Cambria" w:eastAsia="仿宋_GB2312" w:hAnsi="Cambria" w:hint="eastAsia"/>
          <w:bCs/>
          <w:color w:val="000000"/>
          <w:sz w:val="28"/>
          <w:szCs w:val="32"/>
        </w:rPr>
        <w:t>期货公司按照委托协议对证券公司或其他期货公司承担介绍业务受托责任。基于期权业务经纪合同的责任由证券公司或其他期货公司直接对客户承担。</w:t>
      </w:r>
    </w:p>
    <w:p w:rsidR="00FC3217" w:rsidRDefault="00FC3217" w:rsidP="00FC3217">
      <w:pPr>
        <w:pStyle w:val="2"/>
        <w:ind w:firstLine="562"/>
      </w:pPr>
      <w:bookmarkStart w:id="551" w:name="_Toc408743802"/>
      <w:bookmarkStart w:id="552" w:name="_Toc408749945"/>
      <w:bookmarkStart w:id="553" w:name="_Toc25717"/>
      <w:bookmarkStart w:id="554" w:name="_Toc12789"/>
      <w:bookmarkStart w:id="555" w:name="_Toc13092"/>
      <w:bookmarkStart w:id="556" w:name="_Toc9451"/>
      <w:bookmarkStart w:id="557" w:name="_Toc23947038"/>
      <w:r>
        <w:rPr>
          <w:rFonts w:hint="eastAsia"/>
        </w:rPr>
        <w:lastRenderedPageBreak/>
        <w:t>三、介绍业务规则</w:t>
      </w:r>
      <w:bookmarkEnd w:id="551"/>
      <w:bookmarkEnd w:id="552"/>
      <w:bookmarkEnd w:id="553"/>
      <w:bookmarkEnd w:id="554"/>
      <w:bookmarkEnd w:id="555"/>
      <w:bookmarkEnd w:id="556"/>
      <w:bookmarkEnd w:id="557"/>
    </w:p>
    <w:p w:rsidR="00FC3217" w:rsidRDefault="00FC3217" w:rsidP="00FC3217">
      <w:pPr>
        <w:widowControl/>
        <w:ind w:firstLineChars="200" w:firstLine="560"/>
        <w:jc w:val="left"/>
        <w:rPr>
          <w:rFonts w:ascii="Cambria" w:eastAsia="仿宋_GB2312" w:hAnsi="Cambria"/>
          <w:bCs/>
          <w:color w:val="000000"/>
          <w:sz w:val="28"/>
          <w:szCs w:val="32"/>
        </w:rPr>
      </w:pPr>
      <w:r>
        <w:rPr>
          <w:rFonts w:ascii="Cambria" w:eastAsia="仿宋_GB2312" w:hAnsi="Cambria" w:hint="eastAsia"/>
          <w:bCs/>
          <w:color w:val="000000"/>
          <w:sz w:val="28"/>
          <w:szCs w:val="32"/>
        </w:rPr>
        <w:t>期货公司不得代理客户进行股票期权的交易、结算，不得代客户接收、保管或者修改交易密码，也不得利用客户的衍生品合约账户、股票期权保证金账户进行股票期权交易。不得代乙方、客户收付股票期权保证金。不得直接或者间接为客户从事股票期权交易提供融资或担保。</w:t>
      </w:r>
    </w:p>
    <w:p w:rsidR="00FC3217" w:rsidRDefault="00FC3217" w:rsidP="00FC3217">
      <w:pPr>
        <w:widowControl/>
        <w:ind w:firstLineChars="200" w:firstLine="560"/>
        <w:jc w:val="left"/>
        <w:rPr>
          <w:rFonts w:ascii="Cambria" w:eastAsia="仿宋_GB2312" w:hAnsi="Cambria"/>
          <w:bCs/>
          <w:color w:val="000000"/>
          <w:sz w:val="28"/>
          <w:szCs w:val="32"/>
        </w:rPr>
      </w:pPr>
      <w:r>
        <w:rPr>
          <w:rFonts w:ascii="Cambria" w:eastAsia="仿宋_GB2312" w:hAnsi="Cambria" w:hint="eastAsia"/>
          <w:bCs/>
          <w:color w:val="000000"/>
          <w:sz w:val="28"/>
          <w:szCs w:val="32"/>
        </w:rPr>
        <w:t>期货公司具有相应的人员、经营场所、设备和信息系统，能够为进行介绍业务提供必要的条件。</w:t>
      </w:r>
    </w:p>
    <w:p w:rsidR="00FC3217" w:rsidRDefault="00FC3217" w:rsidP="00FC3217">
      <w:pPr>
        <w:widowControl/>
        <w:ind w:firstLineChars="200" w:firstLine="560"/>
        <w:jc w:val="left"/>
        <w:rPr>
          <w:rFonts w:ascii="Cambria" w:eastAsia="仿宋_GB2312" w:hAnsi="Cambria"/>
          <w:bCs/>
          <w:color w:val="000000"/>
          <w:sz w:val="28"/>
          <w:szCs w:val="32"/>
        </w:rPr>
      </w:pPr>
      <w:r>
        <w:rPr>
          <w:rFonts w:ascii="Cambria" w:eastAsia="仿宋_GB2312" w:hAnsi="Cambria" w:hint="eastAsia"/>
          <w:bCs/>
          <w:color w:val="000000"/>
          <w:sz w:val="28"/>
          <w:szCs w:val="32"/>
        </w:rPr>
        <w:t>期货公司为证券公司或其他期货公司介绍客户时，应当向客户明示其与相关证券公司或期货公司的介绍业务委托关系。</w:t>
      </w:r>
    </w:p>
    <w:p w:rsidR="00FC3217" w:rsidRDefault="00FC3217" w:rsidP="00FC3217">
      <w:pPr>
        <w:widowControl/>
        <w:ind w:firstLineChars="200" w:firstLine="560"/>
        <w:jc w:val="left"/>
        <w:rPr>
          <w:rFonts w:ascii="Cambria" w:eastAsia="仿宋_GB2312" w:hAnsi="Cambria"/>
          <w:bCs/>
          <w:color w:val="000000"/>
          <w:sz w:val="28"/>
          <w:szCs w:val="32"/>
        </w:rPr>
      </w:pPr>
      <w:r>
        <w:rPr>
          <w:rFonts w:ascii="Cambria" w:eastAsia="仿宋_GB2312" w:hAnsi="Cambria" w:hint="eastAsia"/>
          <w:bCs/>
          <w:color w:val="000000"/>
          <w:sz w:val="28"/>
          <w:szCs w:val="32"/>
        </w:rPr>
        <w:t>期货公司应当按照合规、审慎经营的原则，制定并有效执行介绍业务规则、内部控制、合规检查等制度，确保有效防范和隔离介绍业务与其他业务的风险。</w:t>
      </w:r>
    </w:p>
    <w:p w:rsidR="00FC3217" w:rsidRDefault="00FC3217" w:rsidP="00FC3217">
      <w:pPr>
        <w:widowControl/>
        <w:ind w:firstLineChars="200" w:firstLine="560"/>
        <w:jc w:val="left"/>
        <w:rPr>
          <w:rFonts w:ascii="Cambria" w:eastAsia="仿宋_GB2312" w:hAnsi="Cambria"/>
          <w:bCs/>
          <w:color w:val="000000"/>
          <w:sz w:val="28"/>
          <w:szCs w:val="32"/>
          <w:shd w:val="pct10" w:color="auto" w:fill="FFFFFF"/>
        </w:rPr>
      </w:pPr>
      <w:r>
        <w:rPr>
          <w:rFonts w:ascii="Cambria" w:eastAsia="仿宋_GB2312" w:hAnsi="Cambria" w:hint="eastAsia"/>
          <w:bCs/>
          <w:color w:val="000000"/>
          <w:sz w:val="28"/>
          <w:szCs w:val="32"/>
        </w:rPr>
        <w:t>期货公司在开发客户过程中，应当向客户解释股票期权交易的方式、流程，充分揭示股票期权交易风险，并不得向客户作获利保证、共担风险等承诺，不得虚假宣传误导客户。</w:t>
      </w:r>
    </w:p>
    <w:p w:rsidR="00FC3217" w:rsidRDefault="00FC3217" w:rsidP="00FC3217">
      <w:pPr>
        <w:widowControl/>
        <w:ind w:firstLineChars="200" w:firstLine="560"/>
        <w:jc w:val="left"/>
        <w:rPr>
          <w:rFonts w:ascii="Cambria" w:eastAsia="仿宋_GB2312" w:hAnsi="Cambria"/>
          <w:bCs/>
          <w:color w:val="000000"/>
          <w:sz w:val="28"/>
          <w:szCs w:val="32"/>
        </w:rPr>
      </w:pPr>
      <w:r>
        <w:rPr>
          <w:rFonts w:ascii="Cambria" w:eastAsia="仿宋_GB2312" w:hAnsi="Cambria" w:hint="eastAsia"/>
          <w:bCs/>
          <w:color w:val="000000"/>
          <w:sz w:val="28"/>
          <w:szCs w:val="32"/>
        </w:rPr>
        <w:t>期货公司应当建立并有效执行协助开户制度，对客户的开户资料和身份真实性等进行审查，向客户充分揭示期权交易风险，解释期货公司、客户、证券公司或其他期货公司三者之间的权利义务关系。介绍业务双方对客户的股票期权投资者适当性管理承担同等责任和义务。</w:t>
      </w:r>
    </w:p>
    <w:p w:rsidR="00FC3217" w:rsidRDefault="00FC3217" w:rsidP="00FC3217">
      <w:pPr>
        <w:widowControl/>
        <w:ind w:firstLineChars="200" w:firstLine="560"/>
        <w:jc w:val="left"/>
        <w:rPr>
          <w:rFonts w:ascii="Cambria" w:eastAsia="仿宋_GB2312" w:hAnsi="Cambria"/>
          <w:b/>
          <w:bCs/>
          <w:color w:val="000000"/>
          <w:sz w:val="28"/>
          <w:szCs w:val="32"/>
        </w:rPr>
      </w:pPr>
      <w:r>
        <w:rPr>
          <w:rFonts w:ascii="Cambria" w:eastAsia="仿宋_GB2312" w:hAnsi="Cambria" w:hint="eastAsia"/>
          <w:bCs/>
          <w:color w:val="000000"/>
          <w:sz w:val="28"/>
          <w:szCs w:val="32"/>
        </w:rPr>
        <w:lastRenderedPageBreak/>
        <w:t>期货公司应当在营业场所妥善保存有关介绍业务的凭证、单据、合同等资料。期货公司保存上述文件资料的期限不得少于</w:t>
      </w:r>
      <w:r>
        <w:rPr>
          <w:rFonts w:ascii="Cambria" w:eastAsia="仿宋_GB2312" w:hAnsi="Cambria" w:hint="eastAsia"/>
          <w:bCs/>
          <w:color w:val="000000"/>
          <w:sz w:val="28"/>
          <w:szCs w:val="32"/>
        </w:rPr>
        <w:t>5</w:t>
      </w:r>
      <w:r>
        <w:rPr>
          <w:rFonts w:ascii="Cambria" w:eastAsia="仿宋_GB2312" w:hAnsi="Cambria" w:hint="eastAsia"/>
          <w:bCs/>
          <w:color w:val="000000"/>
          <w:sz w:val="28"/>
          <w:szCs w:val="32"/>
        </w:rPr>
        <w:t>年。</w:t>
      </w:r>
    </w:p>
    <w:p w:rsidR="00FC3217" w:rsidRDefault="00FC3217" w:rsidP="00FC3217">
      <w:pPr>
        <w:widowControl/>
        <w:ind w:firstLineChars="200" w:firstLine="562"/>
        <w:jc w:val="left"/>
        <w:rPr>
          <w:rFonts w:ascii="Cambria" w:eastAsia="仿宋_GB2312" w:hAnsi="Cambria"/>
          <w:b/>
          <w:bCs/>
          <w:color w:val="000000"/>
          <w:sz w:val="28"/>
          <w:szCs w:val="32"/>
        </w:rPr>
      </w:pPr>
    </w:p>
    <w:p w:rsidR="00FC3217" w:rsidRDefault="00FC3217" w:rsidP="00FC3217">
      <w:pPr>
        <w:pStyle w:val="2"/>
        <w:ind w:firstLine="562"/>
      </w:pPr>
      <w:bookmarkStart w:id="558" w:name="_Toc406439141"/>
      <w:bookmarkStart w:id="559" w:name="_Toc406438956"/>
      <w:bookmarkStart w:id="560" w:name="_Toc406436507"/>
      <w:bookmarkStart w:id="561" w:name="_Toc406438932"/>
      <w:r>
        <w:rPr>
          <w:color w:val="000000"/>
        </w:rPr>
        <w:br w:type="page"/>
      </w:r>
      <w:bookmarkStart w:id="562" w:name="_Toc406439152"/>
      <w:bookmarkStart w:id="563" w:name="_Toc408301007"/>
      <w:bookmarkStart w:id="564" w:name="_Toc22411"/>
      <w:bookmarkStart w:id="565" w:name="_Toc29620"/>
      <w:bookmarkStart w:id="566" w:name="_Toc20913"/>
      <w:bookmarkStart w:id="567" w:name="_Toc408749946"/>
      <w:bookmarkStart w:id="568" w:name="_Toc406438967"/>
      <w:bookmarkStart w:id="569" w:name="_Toc406438945"/>
      <w:bookmarkStart w:id="570" w:name="_Toc6435"/>
      <w:bookmarkStart w:id="571" w:name="_Toc406438989"/>
      <w:bookmarkStart w:id="572" w:name="_Toc406436519"/>
      <w:bookmarkStart w:id="573" w:name="_Toc23947039"/>
      <w:r>
        <w:lastRenderedPageBreak/>
        <w:t>附件一：期货公司股票期权经纪业务人员情况表</w:t>
      </w:r>
      <w:bookmarkEnd w:id="562"/>
      <w:bookmarkEnd w:id="563"/>
      <w:bookmarkEnd w:id="564"/>
      <w:bookmarkEnd w:id="565"/>
      <w:bookmarkEnd w:id="566"/>
      <w:bookmarkEnd w:id="567"/>
      <w:bookmarkEnd w:id="568"/>
      <w:bookmarkEnd w:id="569"/>
      <w:bookmarkEnd w:id="570"/>
      <w:bookmarkEnd w:id="571"/>
      <w:bookmarkEnd w:id="572"/>
      <w:bookmarkEnd w:id="573"/>
    </w:p>
    <w:p w:rsidR="00FC3217" w:rsidRDefault="00FC3217" w:rsidP="00FC3217">
      <w:pPr>
        <w:widowControl/>
        <w:jc w:val="center"/>
        <w:rPr>
          <w:rFonts w:ascii="黑体" w:eastAsia="黑体" w:hAnsi="黑体"/>
          <w:color w:val="000000"/>
          <w:sz w:val="30"/>
          <w:szCs w:val="30"/>
        </w:rPr>
      </w:pPr>
      <w:r>
        <w:rPr>
          <w:rFonts w:ascii="黑体" w:eastAsia="黑体" w:hAnsi="黑体" w:hint="eastAsia"/>
          <w:color w:val="000000"/>
          <w:sz w:val="30"/>
          <w:szCs w:val="30"/>
        </w:rPr>
        <w:t>期货公司股票期权经纪业务人员情况表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567"/>
        <w:gridCol w:w="425"/>
        <w:gridCol w:w="851"/>
        <w:gridCol w:w="774"/>
        <w:gridCol w:w="501"/>
        <w:gridCol w:w="1134"/>
        <w:gridCol w:w="426"/>
        <w:gridCol w:w="2316"/>
      </w:tblGrid>
      <w:tr w:rsidR="00FC3217" w:rsidTr="007E5952">
        <w:tc>
          <w:tcPr>
            <w:tcW w:w="1526" w:type="dxa"/>
            <w:tcBorders>
              <w:top w:val="single" w:sz="4" w:space="0" w:color="auto"/>
              <w:left w:val="single" w:sz="4" w:space="0" w:color="auto"/>
              <w:bottom w:val="single" w:sz="4" w:space="0" w:color="auto"/>
              <w:right w:val="single" w:sz="4" w:space="0" w:color="auto"/>
            </w:tcBorders>
            <w:vAlign w:val="center"/>
          </w:tcPr>
          <w:p w:rsidR="00FC3217" w:rsidRDefault="00FC3217" w:rsidP="007E5952">
            <w:pPr>
              <w:rPr>
                <w:rFonts w:ascii="仿宋_GB2312" w:eastAsia="仿宋_GB2312" w:hAnsi="Times New Roman"/>
                <w:color w:val="000000"/>
                <w:sz w:val="20"/>
                <w:szCs w:val="20"/>
              </w:rPr>
            </w:pPr>
            <w:r>
              <w:rPr>
                <w:rFonts w:ascii="仿宋_GB2312" w:eastAsia="仿宋_GB2312" w:hAnsi="Times New Roman" w:hint="eastAsia"/>
                <w:color w:val="000000"/>
                <w:sz w:val="20"/>
                <w:szCs w:val="20"/>
              </w:rPr>
              <w:t>公司名称</w:t>
            </w:r>
          </w:p>
        </w:tc>
        <w:tc>
          <w:tcPr>
            <w:tcW w:w="6994" w:type="dxa"/>
            <w:gridSpan w:val="8"/>
            <w:tcBorders>
              <w:top w:val="single" w:sz="4" w:space="0" w:color="auto"/>
              <w:left w:val="single" w:sz="4" w:space="0" w:color="auto"/>
              <w:bottom w:val="single" w:sz="4" w:space="0" w:color="auto"/>
              <w:right w:val="single" w:sz="4" w:space="0" w:color="auto"/>
            </w:tcBorders>
          </w:tcPr>
          <w:p w:rsidR="00FC3217" w:rsidRDefault="00FC3217" w:rsidP="007E5952">
            <w:pPr>
              <w:rPr>
                <w:rFonts w:ascii="仿宋_GB2312" w:eastAsia="仿宋_GB2312" w:hAnsi="Times New Roman"/>
                <w:color w:val="000000"/>
                <w:sz w:val="20"/>
                <w:szCs w:val="20"/>
              </w:rPr>
            </w:pPr>
          </w:p>
        </w:tc>
      </w:tr>
      <w:tr w:rsidR="00FC3217" w:rsidTr="007E5952">
        <w:tc>
          <w:tcPr>
            <w:tcW w:w="4143" w:type="dxa"/>
            <w:gridSpan w:val="5"/>
            <w:tcBorders>
              <w:top w:val="single" w:sz="4" w:space="0" w:color="auto"/>
              <w:left w:val="single" w:sz="4" w:space="0" w:color="auto"/>
              <w:bottom w:val="single" w:sz="4" w:space="0" w:color="auto"/>
              <w:right w:val="single" w:sz="4" w:space="0" w:color="auto"/>
            </w:tcBorders>
            <w:vAlign w:val="center"/>
          </w:tcPr>
          <w:p w:rsidR="00FC3217" w:rsidRDefault="00FC3217" w:rsidP="007E5952">
            <w:pPr>
              <w:rPr>
                <w:rFonts w:ascii="仿宋_GB2312" w:eastAsia="仿宋_GB2312" w:hAnsi="Times New Roman"/>
                <w:color w:val="000000"/>
                <w:sz w:val="20"/>
                <w:szCs w:val="20"/>
              </w:rPr>
            </w:pPr>
            <w:r>
              <w:rPr>
                <w:rFonts w:ascii="仿宋_GB2312" w:eastAsia="仿宋_GB2312" w:hAnsi="Times New Roman" w:hint="eastAsia"/>
                <w:color w:val="000000"/>
                <w:sz w:val="20"/>
                <w:szCs w:val="20"/>
              </w:rPr>
              <w:t>是否具备金融期货经纪业务资格</w:t>
            </w:r>
          </w:p>
        </w:tc>
        <w:tc>
          <w:tcPr>
            <w:tcW w:w="4377" w:type="dxa"/>
            <w:gridSpan w:val="4"/>
            <w:tcBorders>
              <w:top w:val="single" w:sz="4" w:space="0" w:color="auto"/>
              <w:left w:val="single" w:sz="4" w:space="0" w:color="auto"/>
              <w:bottom w:val="single" w:sz="4" w:space="0" w:color="auto"/>
              <w:right w:val="single" w:sz="4" w:space="0" w:color="auto"/>
            </w:tcBorders>
            <w:vAlign w:val="center"/>
          </w:tcPr>
          <w:p w:rsidR="00FC3217" w:rsidRDefault="00FC3217" w:rsidP="007E5952">
            <w:pPr>
              <w:rPr>
                <w:rFonts w:ascii="仿宋_GB2312" w:eastAsia="仿宋_GB2312" w:hAnsi="Times New Roman"/>
                <w:color w:val="000000"/>
                <w:sz w:val="20"/>
                <w:szCs w:val="20"/>
              </w:rPr>
            </w:pPr>
          </w:p>
        </w:tc>
      </w:tr>
      <w:tr w:rsidR="00FC3217" w:rsidTr="007E5952">
        <w:trPr>
          <w:trHeight w:val="415"/>
        </w:trPr>
        <w:tc>
          <w:tcPr>
            <w:tcW w:w="1526" w:type="dxa"/>
            <w:vMerge w:val="restart"/>
            <w:tcBorders>
              <w:top w:val="single" w:sz="4" w:space="0" w:color="auto"/>
              <w:left w:val="single" w:sz="4" w:space="0" w:color="auto"/>
              <w:bottom w:val="single" w:sz="4" w:space="0" w:color="auto"/>
              <w:right w:val="single" w:sz="4" w:space="0" w:color="auto"/>
            </w:tcBorders>
          </w:tcPr>
          <w:p w:rsidR="00FC3217" w:rsidRDefault="00FC3217" w:rsidP="007E5952">
            <w:pPr>
              <w:rPr>
                <w:rFonts w:ascii="仿宋_GB2312" w:eastAsia="仿宋_GB2312" w:hAnsi="Times New Roman"/>
                <w:color w:val="000000"/>
                <w:sz w:val="20"/>
                <w:szCs w:val="20"/>
              </w:rPr>
            </w:pPr>
            <w:r>
              <w:rPr>
                <w:rFonts w:ascii="仿宋_GB2312" w:eastAsia="仿宋_GB2312" w:hAnsi="Times New Roman" w:hint="eastAsia"/>
                <w:color w:val="000000"/>
                <w:sz w:val="20"/>
                <w:szCs w:val="20"/>
              </w:rPr>
              <w:t>经纪业务</w:t>
            </w:r>
          </w:p>
          <w:p w:rsidR="00FC3217" w:rsidRDefault="00FC3217" w:rsidP="007E5952">
            <w:pPr>
              <w:rPr>
                <w:rFonts w:ascii="仿宋_GB2312" w:eastAsia="仿宋_GB2312" w:hAnsi="Times New Roman"/>
                <w:color w:val="000000"/>
                <w:sz w:val="20"/>
                <w:szCs w:val="20"/>
              </w:rPr>
            </w:pPr>
            <w:r>
              <w:rPr>
                <w:rFonts w:ascii="仿宋_GB2312" w:eastAsia="仿宋_GB2312" w:hAnsi="Times New Roman" w:hint="eastAsia"/>
                <w:color w:val="000000"/>
                <w:sz w:val="20"/>
                <w:szCs w:val="20"/>
              </w:rPr>
              <w:t>负责人</w:t>
            </w:r>
          </w:p>
        </w:tc>
        <w:tc>
          <w:tcPr>
            <w:tcW w:w="992" w:type="dxa"/>
            <w:gridSpan w:val="2"/>
            <w:tcBorders>
              <w:top w:val="single" w:sz="4" w:space="0" w:color="auto"/>
              <w:left w:val="single" w:sz="4" w:space="0" w:color="auto"/>
              <w:bottom w:val="single" w:sz="4" w:space="0" w:color="auto"/>
              <w:right w:val="single" w:sz="4" w:space="0" w:color="auto"/>
            </w:tcBorders>
          </w:tcPr>
          <w:p w:rsidR="00FC3217" w:rsidRDefault="00FC3217" w:rsidP="007E5952">
            <w:pPr>
              <w:rPr>
                <w:rFonts w:ascii="仿宋_GB2312" w:eastAsia="仿宋_GB2312" w:hAnsi="Times New Roman"/>
                <w:color w:val="000000"/>
                <w:sz w:val="20"/>
                <w:szCs w:val="20"/>
              </w:rPr>
            </w:pPr>
            <w:r>
              <w:rPr>
                <w:rFonts w:ascii="仿宋_GB2312" w:eastAsia="仿宋_GB2312" w:hAnsi="Times New Roman" w:hint="eastAsia"/>
                <w:color w:val="000000"/>
                <w:sz w:val="20"/>
                <w:szCs w:val="20"/>
              </w:rPr>
              <w:t>姓名</w:t>
            </w:r>
          </w:p>
        </w:tc>
        <w:tc>
          <w:tcPr>
            <w:tcW w:w="6002" w:type="dxa"/>
            <w:gridSpan w:val="6"/>
            <w:tcBorders>
              <w:top w:val="single" w:sz="4" w:space="0" w:color="auto"/>
              <w:left w:val="single" w:sz="4" w:space="0" w:color="auto"/>
              <w:bottom w:val="single" w:sz="4" w:space="0" w:color="auto"/>
              <w:right w:val="single" w:sz="4" w:space="0" w:color="auto"/>
            </w:tcBorders>
          </w:tcPr>
          <w:p w:rsidR="00FC3217" w:rsidRDefault="00FC3217" w:rsidP="007E5952">
            <w:pPr>
              <w:rPr>
                <w:rFonts w:ascii="仿宋_GB2312" w:eastAsia="仿宋_GB2312" w:hAnsi="Times New Roman"/>
                <w:color w:val="000000"/>
                <w:sz w:val="20"/>
                <w:szCs w:val="20"/>
              </w:rPr>
            </w:pPr>
          </w:p>
        </w:tc>
      </w:tr>
      <w:tr w:rsidR="00FC3217" w:rsidTr="007E5952">
        <w:trPr>
          <w:trHeight w:val="415"/>
        </w:trPr>
        <w:tc>
          <w:tcPr>
            <w:tcW w:w="1526" w:type="dxa"/>
            <w:vMerge/>
            <w:tcBorders>
              <w:top w:val="single" w:sz="4" w:space="0" w:color="auto"/>
              <w:left w:val="single" w:sz="4" w:space="0" w:color="auto"/>
              <w:bottom w:val="single" w:sz="4" w:space="0" w:color="auto"/>
              <w:right w:val="single" w:sz="4" w:space="0" w:color="auto"/>
            </w:tcBorders>
            <w:vAlign w:val="center"/>
          </w:tcPr>
          <w:p w:rsidR="00FC3217" w:rsidRDefault="00FC3217" w:rsidP="007E5952">
            <w:pPr>
              <w:widowControl/>
              <w:jc w:val="left"/>
              <w:rPr>
                <w:rFonts w:ascii="仿宋_GB2312" w:eastAsia="仿宋_GB2312" w:hAnsi="Times New Roman"/>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FC3217" w:rsidRDefault="00FC3217" w:rsidP="007E5952">
            <w:pPr>
              <w:rPr>
                <w:rFonts w:ascii="仿宋_GB2312" w:eastAsia="仿宋_GB2312" w:hAnsi="Times New Roman"/>
                <w:color w:val="000000"/>
                <w:sz w:val="20"/>
                <w:szCs w:val="20"/>
              </w:rPr>
            </w:pPr>
            <w:r>
              <w:rPr>
                <w:rFonts w:ascii="仿宋_GB2312" w:eastAsia="仿宋_GB2312" w:hAnsi="Times New Roman" w:hint="eastAsia"/>
                <w:color w:val="000000"/>
                <w:sz w:val="20"/>
                <w:szCs w:val="20"/>
              </w:rPr>
              <w:t>部门</w:t>
            </w:r>
          </w:p>
        </w:tc>
        <w:tc>
          <w:tcPr>
            <w:tcW w:w="6002" w:type="dxa"/>
            <w:gridSpan w:val="6"/>
            <w:tcBorders>
              <w:top w:val="single" w:sz="4" w:space="0" w:color="auto"/>
              <w:left w:val="single" w:sz="4" w:space="0" w:color="auto"/>
              <w:bottom w:val="single" w:sz="4" w:space="0" w:color="auto"/>
              <w:right w:val="single" w:sz="4" w:space="0" w:color="auto"/>
            </w:tcBorders>
          </w:tcPr>
          <w:p w:rsidR="00FC3217" w:rsidRDefault="00FC3217" w:rsidP="007E5952">
            <w:pPr>
              <w:rPr>
                <w:rFonts w:ascii="仿宋_GB2312" w:eastAsia="仿宋_GB2312" w:hAnsi="Times New Roman"/>
                <w:color w:val="000000"/>
                <w:sz w:val="20"/>
                <w:szCs w:val="20"/>
              </w:rPr>
            </w:pPr>
          </w:p>
        </w:tc>
      </w:tr>
      <w:tr w:rsidR="00FC3217" w:rsidTr="007E5952">
        <w:trPr>
          <w:trHeight w:val="415"/>
        </w:trPr>
        <w:tc>
          <w:tcPr>
            <w:tcW w:w="1526" w:type="dxa"/>
            <w:vMerge/>
            <w:tcBorders>
              <w:top w:val="single" w:sz="4" w:space="0" w:color="auto"/>
              <w:left w:val="single" w:sz="4" w:space="0" w:color="auto"/>
              <w:bottom w:val="single" w:sz="4" w:space="0" w:color="auto"/>
              <w:right w:val="single" w:sz="4" w:space="0" w:color="auto"/>
            </w:tcBorders>
            <w:vAlign w:val="center"/>
          </w:tcPr>
          <w:p w:rsidR="00FC3217" w:rsidRDefault="00FC3217" w:rsidP="007E5952">
            <w:pPr>
              <w:widowControl/>
              <w:jc w:val="left"/>
              <w:rPr>
                <w:rFonts w:ascii="仿宋_GB2312" w:eastAsia="仿宋_GB2312" w:hAnsi="Times New Roman"/>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FC3217" w:rsidRDefault="00FC3217" w:rsidP="007E5952">
            <w:pPr>
              <w:rPr>
                <w:rFonts w:ascii="仿宋_GB2312" w:eastAsia="仿宋_GB2312" w:hAnsi="Times New Roman"/>
                <w:color w:val="000000"/>
                <w:sz w:val="20"/>
                <w:szCs w:val="20"/>
              </w:rPr>
            </w:pPr>
            <w:r>
              <w:rPr>
                <w:rFonts w:ascii="仿宋_GB2312" w:eastAsia="仿宋_GB2312" w:hAnsi="Times New Roman" w:hint="eastAsia"/>
                <w:color w:val="000000"/>
                <w:sz w:val="20"/>
                <w:szCs w:val="20"/>
              </w:rPr>
              <w:t>电话</w:t>
            </w:r>
          </w:p>
        </w:tc>
        <w:tc>
          <w:tcPr>
            <w:tcW w:w="2126" w:type="dxa"/>
            <w:gridSpan w:val="3"/>
            <w:tcBorders>
              <w:top w:val="single" w:sz="4" w:space="0" w:color="auto"/>
              <w:left w:val="single" w:sz="4" w:space="0" w:color="auto"/>
              <w:bottom w:val="single" w:sz="4" w:space="0" w:color="auto"/>
              <w:right w:val="single" w:sz="4" w:space="0" w:color="auto"/>
            </w:tcBorders>
          </w:tcPr>
          <w:p w:rsidR="00FC3217" w:rsidRDefault="00FC3217" w:rsidP="007E5952">
            <w:pPr>
              <w:rPr>
                <w:rFonts w:ascii="仿宋_GB2312" w:eastAsia="仿宋_GB2312" w:hAnsi="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FC3217" w:rsidRDefault="00FC3217" w:rsidP="007E5952">
            <w:pPr>
              <w:rPr>
                <w:rFonts w:ascii="仿宋_GB2312" w:eastAsia="仿宋_GB2312" w:hAnsi="Times New Roman"/>
                <w:color w:val="000000"/>
                <w:sz w:val="20"/>
                <w:szCs w:val="20"/>
              </w:rPr>
            </w:pPr>
            <w:r>
              <w:rPr>
                <w:rFonts w:ascii="仿宋_GB2312" w:eastAsia="仿宋_GB2312" w:hAnsi="Times New Roman" w:hint="eastAsia"/>
                <w:color w:val="000000"/>
                <w:sz w:val="20"/>
                <w:szCs w:val="20"/>
              </w:rPr>
              <w:t>邮件地址</w:t>
            </w:r>
          </w:p>
        </w:tc>
        <w:tc>
          <w:tcPr>
            <w:tcW w:w="2742" w:type="dxa"/>
            <w:gridSpan w:val="2"/>
            <w:tcBorders>
              <w:top w:val="single" w:sz="4" w:space="0" w:color="auto"/>
              <w:left w:val="single" w:sz="4" w:space="0" w:color="auto"/>
              <w:bottom w:val="single" w:sz="4" w:space="0" w:color="auto"/>
              <w:right w:val="single" w:sz="4" w:space="0" w:color="auto"/>
            </w:tcBorders>
          </w:tcPr>
          <w:p w:rsidR="00FC3217" w:rsidRDefault="00FC3217" w:rsidP="007E5952">
            <w:pPr>
              <w:rPr>
                <w:rFonts w:ascii="仿宋_GB2312" w:eastAsia="仿宋_GB2312" w:hAnsi="Times New Roman"/>
                <w:color w:val="000000"/>
                <w:sz w:val="20"/>
                <w:szCs w:val="20"/>
              </w:rPr>
            </w:pPr>
          </w:p>
        </w:tc>
      </w:tr>
      <w:tr w:rsidR="00FC3217" w:rsidTr="007E5952">
        <w:trPr>
          <w:trHeight w:val="415"/>
        </w:trPr>
        <w:tc>
          <w:tcPr>
            <w:tcW w:w="1526" w:type="dxa"/>
            <w:vMerge w:val="restart"/>
            <w:tcBorders>
              <w:top w:val="single" w:sz="4" w:space="0" w:color="auto"/>
              <w:left w:val="single" w:sz="4" w:space="0" w:color="auto"/>
              <w:bottom w:val="single" w:sz="4" w:space="0" w:color="auto"/>
              <w:right w:val="single" w:sz="4" w:space="0" w:color="auto"/>
            </w:tcBorders>
          </w:tcPr>
          <w:p w:rsidR="00FC3217" w:rsidRDefault="00FC3217" w:rsidP="007E5952">
            <w:pPr>
              <w:rPr>
                <w:rFonts w:ascii="仿宋_GB2312" w:eastAsia="仿宋_GB2312" w:hAnsi="Times New Roman"/>
                <w:color w:val="000000"/>
                <w:sz w:val="20"/>
                <w:szCs w:val="20"/>
              </w:rPr>
            </w:pPr>
            <w:r>
              <w:rPr>
                <w:rFonts w:ascii="仿宋_GB2312" w:eastAsia="仿宋_GB2312" w:hAnsi="Times New Roman" w:hint="eastAsia"/>
                <w:color w:val="000000"/>
                <w:sz w:val="20"/>
                <w:szCs w:val="20"/>
              </w:rPr>
              <w:t>经纪业务</w:t>
            </w:r>
          </w:p>
          <w:p w:rsidR="00FC3217" w:rsidRDefault="00FC3217" w:rsidP="007E5952">
            <w:pPr>
              <w:rPr>
                <w:rFonts w:ascii="仿宋_GB2312" w:eastAsia="仿宋_GB2312" w:hAnsi="Times New Roman"/>
                <w:color w:val="000000"/>
                <w:sz w:val="20"/>
                <w:szCs w:val="20"/>
              </w:rPr>
            </w:pPr>
            <w:r>
              <w:rPr>
                <w:rFonts w:ascii="仿宋_GB2312" w:eastAsia="仿宋_GB2312" w:hAnsi="Times New Roman" w:hint="eastAsia"/>
                <w:color w:val="000000"/>
                <w:sz w:val="20"/>
                <w:szCs w:val="20"/>
              </w:rPr>
              <w:t>联络人</w:t>
            </w:r>
          </w:p>
        </w:tc>
        <w:tc>
          <w:tcPr>
            <w:tcW w:w="992" w:type="dxa"/>
            <w:gridSpan w:val="2"/>
            <w:tcBorders>
              <w:top w:val="single" w:sz="4" w:space="0" w:color="auto"/>
              <w:left w:val="single" w:sz="4" w:space="0" w:color="auto"/>
              <w:bottom w:val="single" w:sz="4" w:space="0" w:color="auto"/>
              <w:right w:val="single" w:sz="4" w:space="0" w:color="auto"/>
            </w:tcBorders>
          </w:tcPr>
          <w:p w:rsidR="00FC3217" w:rsidRDefault="00FC3217" w:rsidP="007E5952">
            <w:pPr>
              <w:rPr>
                <w:rFonts w:ascii="仿宋_GB2312" w:eastAsia="仿宋_GB2312" w:hAnsi="Times New Roman"/>
                <w:color w:val="000000"/>
                <w:sz w:val="20"/>
                <w:szCs w:val="20"/>
              </w:rPr>
            </w:pPr>
            <w:r>
              <w:rPr>
                <w:rFonts w:ascii="仿宋_GB2312" w:eastAsia="仿宋_GB2312" w:hAnsi="Times New Roman" w:hint="eastAsia"/>
                <w:color w:val="000000"/>
                <w:sz w:val="20"/>
                <w:szCs w:val="20"/>
              </w:rPr>
              <w:t>姓名</w:t>
            </w:r>
          </w:p>
        </w:tc>
        <w:tc>
          <w:tcPr>
            <w:tcW w:w="6002" w:type="dxa"/>
            <w:gridSpan w:val="6"/>
            <w:tcBorders>
              <w:top w:val="single" w:sz="4" w:space="0" w:color="auto"/>
              <w:left w:val="single" w:sz="4" w:space="0" w:color="auto"/>
              <w:bottom w:val="single" w:sz="4" w:space="0" w:color="auto"/>
              <w:right w:val="single" w:sz="4" w:space="0" w:color="auto"/>
            </w:tcBorders>
          </w:tcPr>
          <w:p w:rsidR="00FC3217" w:rsidRDefault="00FC3217" w:rsidP="007E5952">
            <w:pPr>
              <w:rPr>
                <w:rFonts w:ascii="仿宋_GB2312" w:eastAsia="仿宋_GB2312" w:hAnsi="Times New Roman"/>
                <w:color w:val="000000"/>
                <w:sz w:val="20"/>
                <w:szCs w:val="20"/>
              </w:rPr>
            </w:pPr>
          </w:p>
        </w:tc>
      </w:tr>
      <w:tr w:rsidR="00FC3217" w:rsidTr="007E5952">
        <w:trPr>
          <w:trHeight w:val="415"/>
        </w:trPr>
        <w:tc>
          <w:tcPr>
            <w:tcW w:w="1526" w:type="dxa"/>
            <w:vMerge/>
            <w:tcBorders>
              <w:top w:val="single" w:sz="4" w:space="0" w:color="auto"/>
              <w:left w:val="single" w:sz="4" w:space="0" w:color="auto"/>
              <w:bottom w:val="single" w:sz="4" w:space="0" w:color="auto"/>
              <w:right w:val="single" w:sz="4" w:space="0" w:color="auto"/>
            </w:tcBorders>
            <w:vAlign w:val="center"/>
          </w:tcPr>
          <w:p w:rsidR="00FC3217" w:rsidRDefault="00FC3217" w:rsidP="007E5952">
            <w:pPr>
              <w:widowControl/>
              <w:jc w:val="left"/>
              <w:rPr>
                <w:rFonts w:ascii="仿宋_GB2312" w:eastAsia="仿宋_GB2312" w:hAnsi="Times New Roman"/>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FC3217" w:rsidRDefault="00FC3217" w:rsidP="007E5952">
            <w:pPr>
              <w:rPr>
                <w:rFonts w:ascii="仿宋_GB2312" w:eastAsia="仿宋_GB2312" w:hAnsi="Times New Roman"/>
                <w:color w:val="000000"/>
                <w:sz w:val="20"/>
                <w:szCs w:val="20"/>
              </w:rPr>
            </w:pPr>
            <w:r>
              <w:rPr>
                <w:rFonts w:ascii="仿宋_GB2312" w:eastAsia="仿宋_GB2312" w:hAnsi="Times New Roman" w:hint="eastAsia"/>
                <w:color w:val="000000"/>
                <w:sz w:val="20"/>
                <w:szCs w:val="20"/>
              </w:rPr>
              <w:t>部门</w:t>
            </w:r>
          </w:p>
        </w:tc>
        <w:tc>
          <w:tcPr>
            <w:tcW w:w="6002" w:type="dxa"/>
            <w:gridSpan w:val="6"/>
            <w:tcBorders>
              <w:top w:val="single" w:sz="4" w:space="0" w:color="auto"/>
              <w:left w:val="single" w:sz="4" w:space="0" w:color="auto"/>
              <w:bottom w:val="single" w:sz="4" w:space="0" w:color="auto"/>
              <w:right w:val="single" w:sz="4" w:space="0" w:color="auto"/>
            </w:tcBorders>
          </w:tcPr>
          <w:p w:rsidR="00FC3217" w:rsidRDefault="00FC3217" w:rsidP="007E5952">
            <w:pPr>
              <w:rPr>
                <w:rFonts w:ascii="仿宋_GB2312" w:eastAsia="仿宋_GB2312" w:hAnsi="Times New Roman"/>
                <w:color w:val="000000"/>
                <w:sz w:val="20"/>
                <w:szCs w:val="20"/>
              </w:rPr>
            </w:pPr>
          </w:p>
        </w:tc>
      </w:tr>
      <w:tr w:rsidR="00FC3217" w:rsidTr="007E5952">
        <w:trPr>
          <w:trHeight w:val="415"/>
        </w:trPr>
        <w:tc>
          <w:tcPr>
            <w:tcW w:w="1526" w:type="dxa"/>
            <w:vMerge/>
            <w:tcBorders>
              <w:top w:val="single" w:sz="4" w:space="0" w:color="auto"/>
              <w:left w:val="single" w:sz="4" w:space="0" w:color="auto"/>
              <w:bottom w:val="single" w:sz="4" w:space="0" w:color="auto"/>
              <w:right w:val="single" w:sz="4" w:space="0" w:color="auto"/>
            </w:tcBorders>
            <w:vAlign w:val="center"/>
          </w:tcPr>
          <w:p w:rsidR="00FC3217" w:rsidRDefault="00FC3217" w:rsidP="007E5952">
            <w:pPr>
              <w:widowControl/>
              <w:jc w:val="left"/>
              <w:rPr>
                <w:rFonts w:ascii="仿宋_GB2312" w:eastAsia="仿宋_GB2312" w:hAnsi="Times New Roman"/>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FC3217" w:rsidRDefault="00FC3217" w:rsidP="007E5952">
            <w:pPr>
              <w:rPr>
                <w:rFonts w:ascii="仿宋_GB2312" w:eastAsia="仿宋_GB2312" w:hAnsi="Times New Roman"/>
                <w:color w:val="000000"/>
                <w:sz w:val="20"/>
                <w:szCs w:val="20"/>
              </w:rPr>
            </w:pPr>
            <w:r>
              <w:rPr>
                <w:rFonts w:ascii="仿宋_GB2312" w:eastAsia="仿宋_GB2312" w:hAnsi="Times New Roman" w:hint="eastAsia"/>
                <w:color w:val="000000"/>
                <w:sz w:val="20"/>
                <w:szCs w:val="20"/>
              </w:rPr>
              <w:t>电话</w:t>
            </w:r>
          </w:p>
        </w:tc>
        <w:tc>
          <w:tcPr>
            <w:tcW w:w="2126" w:type="dxa"/>
            <w:gridSpan w:val="3"/>
            <w:tcBorders>
              <w:top w:val="single" w:sz="4" w:space="0" w:color="auto"/>
              <w:left w:val="single" w:sz="4" w:space="0" w:color="auto"/>
              <w:bottom w:val="single" w:sz="4" w:space="0" w:color="auto"/>
              <w:right w:val="single" w:sz="4" w:space="0" w:color="auto"/>
            </w:tcBorders>
          </w:tcPr>
          <w:p w:rsidR="00FC3217" w:rsidRDefault="00FC3217" w:rsidP="007E5952">
            <w:pPr>
              <w:rPr>
                <w:rFonts w:ascii="仿宋_GB2312" w:eastAsia="仿宋_GB2312" w:hAnsi="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FC3217" w:rsidRDefault="00FC3217" w:rsidP="007E5952">
            <w:pPr>
              <w:rPr>
                <w:rFonts w:ascii="仿宋_GB2312" w:eastAsia="仿宋_GB2312" w:hAnsi="Times New Roman"/>
                <w:color w:val="000000"/>
                <w:sz w:val="20"/>
                <w:szCs w:val="20"/>
              </w:rPr>
            </w:pPr>
            <w:r>
              <w:rPr>
                <w:rFonts w:ascii="仿宋_GB2312" w:eastAsia="仿宋_GB2312" w:hAnsi="Times New Roman" w:hint="eastAsia"/>
                <w:color w:val="000000"/>
                <w:sz w:val="20"/>
                <w:szCs w:val="20"/>
              </w:rPr>
              <w:t>邮件地址</w:t>
            </w:r>
          </w:p>
        </w:tc>
        <w:tc>
          <w:tcPr>
            <w:tcW w:w="2742" w:type="dxa"/>
            <w:gridSpan w:val="2"/>
            <w:tcBorders>
              <w:top w:val="single" w:sz="4" w:space="0" w:color="auto"/>
              <w:left w:val="single" w:sz="4" w:space="0" w:color="auto"/>
              <w:bottom w:val="single" w:sz="4" w:space="0" w:color="auto"/>
              <w:right w:val="single" w:sz="4" w:space="0" w:color="auto"/>
            </w:tcBorders>
          </w:tcPr>
          <w:p w:rsidR="00FC3217" w:rsidRDefault="00FC3217" w:rsidP="007E5952">
            <w:pPr>
              <w:rPr>
                <w:rFonts w:ascii="仿宋_GB2312" w:eastAsia="仿宋_GB2312" w:hAnsi="Times New Roman"/>
                <w:color w:val="000000"/>
                <w:sz w:val="20"/>
                <w:szCs w:val="20"/>
              </w:rPr>
            </w:pPr>
          </w:p>
        </w:tc>
      </w:tr>
      <w:tr w:rsidR="00FC3217" w:rsidTr="007E5952">
        <w:trPr>
          <w:trHeight w:val="415"/>
        </w:trPr>
        <w:tc>
          <w:tcPr>
            <w:tcW w:w="8520" w:type="dxa"/>
            <w:gridSpan w:val="9"/>
            <w:tcBorders>
              <w:top w:val="single" w:sz="4" w:space="0" w:color="auto"/>
              <w:left w:val="single" w:sz="4" w:space="0" w:color="auto"/>
              <w:bottom w:val="single" w:sz="4" w:space="0" w:color="auto"/>
              <w:right w:val="single" w:sz="4" w:space="0" w:color="auto"/>
            </w:tcBorders>
            <w:shd w:val="clear" w:color="auto" w:fill="F2F2F2"/>
            <w:vAlign w:val="center"/>
          </w:tcPr>
          <w:p w:rsidR="00FC3217" w:rsidRDefault="00FC3217" w:rsidP="007E5952">
            <w:pPr>
              <w:jc w:val="center"/>
              <w:rPr>
                <w:rFonts w:ascii="仿宋_GB2312" w:eastAsia="仿宋_GB2312" w:hAnsi="Times New Roman"/>
                <w:b/>
                <w:color w:val="000000"/>
                <w:sz w:val="20"/>
                <w:szCs w:val="20"/>
              </w:rPr>
            </w:pPr>
            <w:r>
              <w:rPr>
                <w:rFonts w:ascii="仿宋_GB2312" w:eastAsia="仿宋_GB2312" w:hAnsi="Times New Roman" w:hint="eastAsia"/>
                <w:b/>
                <w:color w:val="000000"/>
                <w:sz w:val="20"/>
                <w:szCs w:val="20"/>
              </w:rPr>
              <w:t>部门与岗位设置</w:t>
            </w:r>
          </w:p>
        </w:tc>
      </w:tr>
      <w:tr w:rsidR="00FC3217" w:rsidTr="007E5952">
        <w:trPr>
          <w:trHeight w:val="415"/>
        </w:trPr>
        <w:tc>
          <w:tcPr>
            <w:tcW w:w="8520" w:type="dxa"/>
            <w:gridSpan w:val="9"/>
            <w:tcBorders>
              <w:top w:val="single" w:sz="4" w:space="0" w:color="auto"/>
              <w:left w:val="single" w:sz="4" w:space="0" w:color="auto"/>
              <w:bottom w:val="single" w:sz="4" w:space="0" w:color="auto"/>
              <w:right w:val="single" w:sz="4" w:space="0" w:color="auto"/>
            </w:tcBorders>
            <w:vAlign w:val="center"/>
          </w:tcPr>
          <w:p w:rsidR="00FC3217" w:rsidRDefault="00FC3217" w:rsidP="007E5952">
            <w:pPr>
              <w:rPr>
                <w:rFonts w:ascii="仿宋_GB2312" w:eastAsia="仿宋_GB2312" w:hAnsi="Times New Roman"/>
                <w:color w:val="000000"/>
                <w:sz w:val="20"/>
                <w:szCs w:val="20"/>
              </w:rPr>
            </w:pPr>
            <w:r>
              <w:rPr>
                <w:rFonts w:ascii="仿宋_GB2312" w:eastAsia="仿宋_GB2312" w:hAnsi="Times New Roman" w:hint="eastAsia"/>
                <w:color w:val="000000"/>
                <w:sz w:val="20"/>
                <w:szCs w:val="20"/>
              </w:rPr>
              <w:t>（部门名称1）工作职责包括：</w:t>
            </w:r>
          </w:p>
          <w:p w:rsidR="00FC3217" w:rsidRDefault="00FC3217" w:rsidP="007E5952">
            <w:pPr>
              <w:rPr>
                <w:rFonts w:ascii="仿宋_GB2312" w:eastAsia="仿宋_GB2312" w:hAnsi="Times New Roman"/>
                <w:color w:val="000000"/>
                <w:sz w:val="20"/>
                <w:szCs w:val="20"/>
              </w:rPr>
            </w:pPr>
            <w:r>
              <w:rPr>
                <w:rFonts w:ascii="仿宋_GB2312" w:eastAsia="仿宋_GB2312" w:hAnsi="Times New Roman" w:hint="eastAsia"/>
                <w:color w:val="000000"/>
                <w:sz w:val="20"/>
                <w:szCs w:val="20"/>
              </w:rPr>
              <w:t>（1）</w:t>
            </w:r>
          </w:p>
          <w:p w:rsidR="00FC3217" w:rsidRDefault="00FC3217" w:rsidP="007E5952">
            <w:pPr>
              <w:rPr>
                <w:rFonts w:ascii="仿宋_GB2312" w:eastAsia="仿宋_GB2312" w:hAnsi="Times New Roman"/>
                <w:color w:val="000000"/>
                <w:sz w:val="20"/>
                <w:szCs w:val="20"/>
              </w:rPr>
            </w:pPr>
            <w:r>
              <w:rPr>
                <w:rFonts w:ascii="仿宋_GB2312" w:eastAsia="仿宋_GB2312" w:hAnsi="Times New Roman" w:hint="eastAsia"/>
                <w:color w:val="000000"/>
                <w:sz w:val="20"/>
                <w:szCs w:val="20"/>
              </w:rPr>
              <w:t>（2）</w:t>
            </w:r>
          </w:p>
        </w:tc>
      </w:tr>
      <w:tr w:rsidR="00FC3217" w:rsidTr="007E5952">
        <w:trPr>
          <w:trHeight w:val="415"/>
        </w:trPr>
        <w:tc>
          <w:tcPr>
            <w:tcW w:w="2093" w:type="dxa"/>
            <w:gridSpan w:val="2"/>
            <w:tcBorders>
              <w:top w:val="single" w:sz="4" w:space="0" w:color="auto"/>
              <w:left w:val="single" w:sz="4" w:space="0" w:color="auto"/>
              <w:bottom w:val="single" w:sz="4" w:space="0" w:color="auto"/>
              <w:right w:val="single" w:sz="4" w:space="0" w:color="auto"/>
            </w:tcBorders>
            <w:vAlign w:val="center"/>
          </w:tcPr>
          <w:p w:rsidR="00FC3217" w:rsidRDefault="00FC3217" w:rsidP="007E5952">
            <w:pPr>
              <w:widowControl/>
              <w:jc w:val="center"/>
              <w:rPr>
                <w:rFonts w:ascii="仿宋_GB2312" w:eastAsia="仿宋_GB2312" w:hAnsi="Times New Roman"/>
                <w:color w:val="000000"/>
                <w:sz w:val="20"/>
                <w:szCs w:val="20"/>
              </w:rPr>
            </w:pPr>
            <w:r>
              <w:rPr>
                <w:rFonts w:ascii="仿宋_GB2312" w:eastAsia="仿宋_GB2312" w:hAnsi="Times New Roman" w:hint="eastAsia"/>
                <w:color w:val="000000"/>
                <w:sz w:val="20"/>
                <w:szCs w:val="20"/>
              </w:rPr>
              <w:t>岗位</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FC3217" w:rsidRDefault="00FC3217" w:rsidP="007E5952">
            <w:pPr>
              <w:jc w:val="center"/>
              <w:rPr>
                <w:rFonts w:ascii="仿宋_GB2312" w:eastAsia="仿宋_GB2312" w:hAnsi="Times New Roman"/>
                <w:color w:val="000000"/>
                <w:sz w:val="20"/>
                <w:szCs w:val="20"/>
              </w:rPr>
            </w:pPr>
            <w:r>
              <w:rPr>
                <w:rFonts w:ascii="仿宋_GB2312" w:eastAsia="仿宋_GB2312" w:hAnsi="Times New Roman" w:hint="eastAsia"/>
                <w:color w:val="000000"/>
                <w:sz w:val="20"/>
                <w:szCs w:val="20"/>
              </w:rPr>
              <w:t>人员姓名</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FC3217" w:rsidRDefault="00FC3217" w:rsidP="007E5952">
            <w:pPr>
              <w:jc w:val="center"/>
              <w:rPr>
                <w:rFonts w:ascii="仿宋_GB2312" w:eastAsia="仿宋_GB2312" w:hAnsi="Times New Roman"/>
                <w:color w:val="000000"/>
                <w:sz w:val="20"/>
                <w:szCs w:val="20"/>
              </w:rPr>
            </w:pPr>
            <w:r>
              <w:rPr>
                <w:rFonts w:ascii="仿宋_GB2312" w:eastAsia="仿宋_GB2312" w:hAnsi="Times New Roman" w:hint="eastAsia"/>
                <w:color w:val="000000"/>
                <w:sz w:val="20"/>
                <w:szCs w:val="20"/>
              </w:rPr>
              <w:t>职责描述</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FC3217" w:rsidRDefault="00FC3217" w:rsidP="007E5952">
            <w:pPr>
              <w:jc w:val="center"/>
              <w:rPr>
                <w:rFonts w:ascii="仿宋_GB2312" w:eastAsia="仿宋_GB2312" w:hAnsi="Times New Roman"/>
                <w:color w:val="000000"/>
                <w:sz w:val="20"/>
                <w:szCs w:val="20"/>
              </w:rPr>
            </w:pPr>
            <w:r>
              <w:rPr>
                <w:rFonts w:ascii="仿宋_GB2312" w:eastAsia="仿宋_GB2312" w:hAnsi="Times New Roman" w:hint="eastAsia"/>
                <w:color w:val="000000"/>
                <w:sz w:val="20"/>
                <w:szCs w:val="20"/>
              </w:rPr>
              <w:t>联系方式</w:t>
            </w:r>
          </w:p>
        </w:tc>
        <w:tc>
          <w:tcPr>
            <w:tcW w:w="2316" w:type="dxa"/>
            <w:tcBorders>
              <w:top w:val="single" w:sz="4" w:space="0" w:color="auto"/>
              <w:left w:val="single" w:sz="4" w:space="0" w:color="auto"/>
              <w:bottom w:val="single" w:sz="4" w:space="0" w:color="auto"/>
              <w:right w:val="single" w:sz="4" w:space="0" w:color="auto"/>
            </w:tcBorders>
            <w:vAlign w:val="center"/>
          </w:tcPr>
          <w:p w:rsidR="00FC3217" w:rsidRDefault="00FC3217" w:rsidP="007E5952">
            <w:pPr>
              <w:jc w:val="center"/>
              <w:rPr>
                <w:rFonts w:ascii="仿宋_GB2312" w:eastAsia="仿宋_GB2312" w:hAnsi="Times New Roman"/>
                <w:color w:val="000000"/>
                <w:sz w:val="20"/>
                <w:szCs w:val="20"/>
              </w:rPr>
            </w:pPr>
            <w:r>
              <w:rPr>
                <w:rFonts w:ascii="仿宋_GB2312" w:eastAsia="仿宋_GB2312" w:hAnsi="Times New Roman" w:hint="eastAsia"/>
                <w:color w:val="000000"/>
                <w:sz w:val="20"/>
                <w:szCs w:val="20"/>
              </w:rPr>
              <w:t>工作履历</w:t>
            </w:r>
          </w:p>
        </w:tc>
      </w:tr>
      <w:tr w:rsidR="00FC3217" w:rsidTr="007E5952">
        <w:trPr>
          <w:trHeight w:val="415"/>
        </w:trPr>
        <w:tc>
          <w:tcPr>
            <w:tcW w:w="2093" w:type="dxa"/>
            <w:gridSpan w:val="2"/>
            <w:tcBorders>
              <w:top w:val="single" w:sz="4" w:space="0" w:color="auto"/>
              <w:left w:val="single" w:sz="4" w:space="0" w:color="auto"/>
              <w:bottom w:val="single" w:sz="4" w:space="0" w:color="auto"/>
              <w:right w:val="single" w:sz="4" w:space="0" w:color="auto"/>
            </w:tcBorders>
            <w:vAlign w:val="center"/>
          </w:tcPr>
          <w:p w:rsidR="00FC3217" w:rsidRDefault="00FC3217" w:rsidP="007E5952">
            <w:pPr>
              <w:widowControl/>
              <w:jc w:val="center"/>
              <w:rPr>
                <w:rFonts w:ascii="仿宋_GB2312" w:eastAsia="仿宋_GB2312" w:hAnsi="Times New Roman"/>
                <w:i/>
                <w:color w:val="000000"/>
                <w:sz w:val="20"/>
                <w:szCs w:val="20"/>
              </w:rPr>
            </w:pPr>
            <w:r>
              <w:rPr>
                <w:rFonts w:ascii="仿宋_GB2312" w:eastAsia="仿宋_GB2312" w:hAnsi="Times New Roman" w:hint="eastAsia"/>
                <w:i/>
                <w:color w:val="000000"/>
                <w:sz w:val="20"/>
                <w:szCs w:val="20"/>
              </w:rPr>
              <w:t>（部门负责人）</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FC3217" w:rsidRDefault="00FC3217" w:rsidP="007E5952">
            <w:pPr>
              <w:widowControl/>
              <w:jc w:val="left"/>
              <w:rPr>
                <w:rFonts w:cs="宋体"/>
                <w:color w:val="000000"/>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FC3217" w:rsidRDefault="00FC3217" w:rsidP="007E5952">
            <w:pPr>
              <w:jc w:val="center"/>
              <w:rPr>
                <w:rFonts w:ascii="仿宋_GB2312" w:eastAsia="仿宋_GB2312" w:hAnsi="Times New Roman"/>
                <w:color w:val="000000"/>
                <w:sz w:val="20"/>
                <w:szCs w:val="20"/>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FC3217" w:rsidRDefault="00FC3217" w:rsidP="007E5952">
            <w:pPr>
              <w:jc w:val="left"/>
              <w:rPr>
                <w:rFonts w:ascii="仿宋_GB2312" w:eastAsia="仿宋_GB2312" w:hAnsi="Times New Roman"/>
                <w:i/>
                <w:color w:val="000000"/>
                <w:sz w:val="20"/>
                <w:szCs w:val="20"/>
              </w:rPr>
            </w:pPr>
            <w:r>
              <w:rPr>
                <w:rFonts w:ascii="仿宋_GB2312" w:eastAsia="仿宋_GB2312" w:hAnsi="Times New Roman" w:hint="eastAsia"/>
                <w:i/>
                <w:color w:val="000000"/>
                <w:sz w:val="20"/>
                <w:szCs w:val="20"/>
              </w:rPr>
              <w:t>（座机）</w:t>
            </w:r>
          </w:p>
          <w:p w:rsidR="00FC3217" w:rsidRDefault="00FC3217" w:rsidP="007E5952">
            <w:pPr>
              <w:jc w:val="left"/>
              <w:rPr>
                <w:rFonts w:ascii="仿宋_GB2312" w:eastAsia="仿宋_GB2312" w:hAnsi="Times New Roman"/>
                <w:i/>
                <w:color w:val="000000"/>
                <w:sz w:val="20"/>
                <w:szCs w:val="20"/>
              </w:rPr>
            </w:pPr>
            <w:r>
              <w:rPr>
                <w:rFonts w:ascii="仿宋_GB2312" w:eastAsia="仿宋_GB2312" w:hAnsi="Times New Roman" w:hint="eastAsia"/>
                <w:i/>
                <w:color w:val="000000"/>
                <w:sz w:val="20"/>
                <w:szCs w:val="20"/>
              </w:rPr>
              <w:t>（手机）</w:t>
            </w:r>
          </w:p>
          <w:p w:rsidR="00FC3217" w:rsidRDefault="00FC3217" w:rsidP="007E5952">
            <w:pPr>
              <w:jc w:val="left"/>
              <w:rPr>
                <w:rFonts w:ascii="仿宋_GB2312" w:eastAsia="仿宋_GB2312" w:hAnsi="Times New Roman"/>
                <w:color w:val="000000"/>
                <w:sz w:val="20"/>
                <w:szCs w:val="20"/>
              </w:rPr>
            </w:pPr>
            <w:r>
              <w:rPr>
                <w:rFonts w:ascii="仿宋_GB2312" w:eastAsia="仿宋_GB2312" w:hAnsi="Times New Roman" w:hint="eastAsia"/>
                <w:i/>
                <w:color w:val="000000"/>
                <w:sz w:val="20"/>
                <w:szCs w:val="20"/>
              </w:rPr>
              <w:t>（邮件）</w:t>
            </w:r>
          </w:p>
        </w:tc>
        <w:tc>
          <w:tcPr>
            <w:tcW w:w="2316" w:type="dxa"/>
            <w:tcBorders>
              <w:top w:val="single" w:sz="4" w:space="0" w:color="auto"/>
              <w:left w:val="single" w:sz="4" w:space="0" w:color="auto"/>
              <w:bottom w:val="single" w:sz="4" w:space="0" w:color="auto"/>
              <w:right w:val="single" w:sz="4" w:space="0" w:color="auto"/>
            </w:tcBorders>
            <w:vAlign w:val="center"/>
          </w:tcPr>
          <w:p w:rsidR="00FC3217" w:rsidRDefault="00FC3217" w:rsidP="007E5952">
            <w:pPr>
              <w:jc w:val="left"/>
              <w:rPr>
                <w:rFonts w:ascii="仿宋_GB2312" w:eastAsia="仿宋_GB2312" w:hAnsi="Times New Roman"/>
                <w:i/>
                <w:color w:val="000000"/>
                <w:sz w:val="20"/>
                <w:szCs w:val="20"/>
              </w:rPr>
            </w:pPr>
            <w:r>
              <w:rPr>
                <w:rFonts w:ascii="仿宋_GB2312" w:eastAsia="仿宋_GB2312" w:hAnsi="Times New Roman" w:hint="eastAsia"/>
                <w:i/>
                <w:color w:val="000000"/>
                <w:sz w:val="20"/>
                <w:szCs w:val="20"/>
              </w:rPr>
              <w:t>（年份-单位-职责）</w:t>
            </w:r>
          </w:p>
        </w:tc>
      </w:tr>
      <w:tr w:rsidR="00FC3217" w:rsidTr="007E5952">
        <w:trPr>
          <w:trHeight w:val="415"/>
        </w:trPr>
        <w:tc>
          <w:tcPr>
            <w:tcW w:w="2093" w:type="dxa"/>
            <w:gridSpan w:val="2"/>
            <w:tcBorders>
              <w:top w:val="single" w:sz="4" w:space="0" w:color="auto"/>
              <w:left w:val="single" w:sz="4" w:space="0" w:color="auto"/>
              <w:bottom w:val="single" w:sz="4" w:space="0" w:color="auto"/>
              <w:right w:val="single" w:sz="4" w:space="0" w:color="auto"/>
            </w:tcBorders>
            <w:vAlign w:val="center"/>
          </w:tcPr>
          <w:p w:rsidR="00FC3217" w:rsidRDefault="00FC3217" w:rsidP="007E5952">
            <w:pPr>
              <w:widowControl/>
              <w:jc w:val="left"/>
              <w:rPr>
                <w:rFonts w:cs="宋体"/>
                <w:color w:val="00000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FC3217" w:rsidRDefault="00FC3217" w:rsidP="007E5952">
            <w:pPr>
              <w:widowControl/>
              <w:jc w:val="left"/>
              <w:rPr>
                <w:rFonts w:cs="宋体"/>
                <w:color w:val="000000"/>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FC3217" w:rsidRDefault="00FC3217" w:rsidP="007E5952">
            <w:pPr>
              <w:jc w:val="center"/>
              <w:rPr>
                <w:rFonts w:ascii="仿宋_GB2312" w:eastAsia="仿宋_GB2312" w:hAnsi="Times New Roman"/>
                <w:color w:val="000000"/>
                <w:sz w:val="20"/>
                <w:szCs w:val="20"/>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FC3217" w:rsidRDefault="00FC3217" w:rsidP="007E5952">
            <w:pPr>
              <w:widowControl/>
              <w:jc w:val="left"/>
              <w:rPr>
                <w:rFonts w:cs="宋体"/>
                <w:color w:val="000000"/>
              </w:rPr>
            </w:pPr>
          </w:p>
        </w:tc>
        <w:tc>
          <w:tcPr>
            <w:tcW w:w="2316" w:type="dxa"/>
            <w:tcBorders>
              <w:top w:val="single" w:sz="4" w:space="0" w:color="auto"/>
              <w:left w:val="single" w:sz="4" w:space="0" w:color="auto"/>
              <w:bottom w:val="single" w:sz="4" w:space="0" w:color="auto"/>
              <w:right w:val="single" w:sz="4" w:space="0" w:color="auto"/>
            </w:tcBorders>
            <w:vAlign w:val="center"/>
          </w:tcPr>
          <w:p w:rsidR="00FC3217" w:rsidRDefault="00FC3217" w:rsidP="007E5952">
            <w:pPr>
              <w:jc w:val="center"/>
              <w:rPr>
                <w:rFonts w:ascii="仿宋_GB2312" w:eastAsia="仿宋_GB2312" w:hAnsi="Times New Roman"/>
                <w:color w:val="000000"/>
                <w:sz w:val="20"/>
                <w:szCs w:val="20"/>
              </w:rPr>
            </w:pPr>
          </w:p>
        </w:tc>
      </w:tr>
      <w:tr w:rsidR="00FC3217" w:rsidTr="007E5952">
        <w:trPr>
          <w:trHeight w:val="415"/>
        </w:trPr>
        <w:tc>
          <w:tcPr>
            <w:tcW w:w="2093" w:type="dxa"/>
            <w:gridSpan w:val="2"/>
            <w:tcBorders>
              <w:top w:val="single" w:sz="4" w:space="0" w:color="auto"/>
              <w:left w:val="single" w:sz="4" w:space="0" w:color="auto"/>
              <w:bottom w:val="single" w:sz="4" w:space="0" w:color="auto"/>
              <w:right w:val="single" w:sz="4" w:space="0" w:color="auto"/>
            </w:tcBorders>
            <w:vAlign w:val="center"/>
          </w:tcPr>
          <w:p w:rsidR="00FC3217" w:rsidRDefault="00FC3217" w:rsidP="007E5952">
            <w:pPr>
              <w:widowControl/>
              <w:jc w:val="left"/>
              <w:rPr>
                <w:rFonts w:cs="宋体"/>
                <w:color w:val="00000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FC3217" w:rsidRDefault="00FC3217" w:rsidP="007E5952">
            <w:pPr>
              <w:widowControl/>
              <w:jc w:val="left"/>
              <w:rPr>
                <w:rFonts w:cs="宋体"/>
                <w:color w:val="000000"/>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FC3217" w:rsidRDefault="00FC3217" w:rsidP="007E5952">
            <w:pPr>
              <w:jc w:val="center"/>
              <w:rPr>
                <w:rFonts w:ascii="仿宋_GB2312" w:eastAsia="仿宋_GB2312" w:hAnsi="Times New Roman"/>
                <w:color w:val="000000"/>
                <w:sz w:val="20"/>
                <w:szCs w:val="20"/>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FC3217" w:rsidRDefault="00FC3217" w:rsidP="007E5952">
            <w:pPr>
              <w:widowControl/>
              <w:jc w:val="left"/>
              <w:rPr>
                <w:rFonts w:cs="宋体"/>
                <w:color w:val="000000"/>
              </w:rPr>
            </w:pPr>
          </w:p>
        </w:tc>
        <w:tc>
          <w:tcPr>
            <w:tcW w:w="2316" w:type="dxa"/>
            <w:tcBorders>
              <w:top w:val="single" w:sz="4" w:space="0" w:color="auto"/>
              <w:left w:val="single" w:sz="4" w:space="0" w:color="auto"/>
              <w:bottom w:val="single" w:sz="4" w:space="0" w:color="auto"/>
              <w:right w:val="single" w:sz="4" w:space="0" w:color="auto"/>
            </w:tcBorders>
            <w:vAlign w:val="center"/>
          </w:tcPr>
          <w:p w:rsidR="00FC3217" w:rsidRDefault="00FC3217" w:rsidP="007E5952">
            <w:pPr>
              <w:jc w:val="center"/>
              <w:rPr>
                <w:rFonts w:ascii="仿宋_GB2312" w:eastAsia="仿宋_GB2312" w:hAnsi="Times New Roman"/>
                <w:color w:val="000000"/>
                <w:sz w:val="20"/>
                <w:szCs w:val="20"/>
              </w:rPr>
            </w:pPr>
          </w:p>
        </w:tc>
      </w:tr>
      <w:tr w:rsidR="00FC3217" w:rsidTr="007E5952">
        <w:trPr>
          <w:trHeight w:val="415"/>
        </w:trPr>
        <w:tc>
          <w:tcPr>
            <w:tcW w:w="8520" w:type="dxa"/>
            <w:gridSpan w:val="9"/>
            <w:tcBorders>
              <w:top w:val="single" w:sz="4" w:space="0" w:color="auto"/>
              <w:left w:val="single" w:sz="4" w:space="0" w:color="auto"/>
              <w:bottom w:val="single" w:sz="4" w:space="0" w:color="auto"/>
              <w:right w:val="single" w:sz="4" w:space="0" w:color="auto"/>
            </w:tcBorders>
            <w:vAlign w:val="center"/>
          </w:tcPr>
          <w:p w:rsidR="00FC3217" w:rsidRDefault="00FC3217" w:rsidP="007E5952">
            <w:pPr>
              <w:rPr>
                <w:rFonts w:ascii="仿宋_GB2312" w:eastAsia="仿宋_GB2312" w:hAnsi="Times New Roman"/>
                <w:color w:val="000000"/>
                <w:sz w:val="20"/>
                <w:szCs w:val="20"/>
              </w:rPr>
            </w:pPr>
            <w:r>
              <w:rPr>
                <w:rFonts w:ascii="仿宋_GB2312" w:eastAsia="仿宋_GB2312" w:hAnsi="Times New Roman" w:hint="eastAsia"/>
                <w:color w:val="000000"/>
                <w:sz w:val="20"/>
                <w:szCs w:val="20"/>
              </w:rPr>
              <w:t>（部门名称2）工作职责包括：</w:t>
            </w:r>
          </w:p>
          <w:p w:rsidR="00FC3217" w:rsidRDefault="00FC3217" w:rsidP="007E5952">
            <w:pPr>
              <w:rPr>
                <w:rFonts w:ascii="仿宋_GB2312" w:eastAsia="仿宋_GB2312" w:hAnsi="Times New Roman"/>
                <w:color w:val="000000"/>
                <w:sz w:val="20"/>
                <w:szCs w:val="20"/>
              </w:rPr>
            </w:pPr>
            <w:r>
              <w:rPr>
                <w:rFonts w:ascii="仿宋_GB2312" w:eastAsia="仿宋_GB2312" w:hAnsi="Times New Roman" w:hint="eastAsia"/>
                <w:color w:val="000000"/>
                <w:sz w:val="20"/>
                <w:szCs w:val="20"/>
              </w:rPr>
              <w:t>（1）</w:t>
            </w:r>
          </w:p>
          <w:p w:rsidR="00FC3217" w:rsidRDefault="00FC3217" w:rsidP="007E5952">
            <w:pPr>
              <w:rPr>
                <w:rFonts w:ascii="仿宋_GB2312" w:eastAsia="仿宋_GB2312" w:hAnsi="Times New Roman"/>
                <w:color w:val="000000"/>
                <w:sz w:val="20"/>
                <w:szCs w:val="20"/>
              </w:rPr>
            </w:pPr>
            <w:r>
              <w:rPr>
                <w:rFonts w:ascii="仿宋_GB2312" w:eastAsia="仿宋_GB2312" w:hAnsi="Times New Roman" w:hint="eastAsia"/>
                <w:color w:val="000000"/>
                <w:sz w:val="20"/>
                <w:szCs w:val="20"/>
              </w:rPr>
              <w:t>（2）</w:t>
            </w:r>
          </w:p>
        </w:tc>
      </w:tr>
      <w:tr w:rsidR="00FC3217" w:rsidTr="007E5952">
        <w:trPr>
          <w:trHeight w:val="415"/>
        </w:trPr>
        <w:tc>
          <w:tcPr>
            <w:tcW w:w="2093" w:type="dxa"/>
            <w:gridSpan w:val="2"/>
            <w:tcBorders>
              <w:top w:val="single" w:sz="4" w:space="0" w:color="auto"/>
              <w:left w:val="single" w:sz="4" w:space="0" w:color="auto"/>
              <w:bottom w:val="single" w:sz="4" w:space="0" w:color="auto"/>
              <w:right w:val="single" w:sz="4" w:space="0" w:color="auto"/>
            </w:tcBorders>
            <w:vAlign w:val="center"/>
          </w:tcPr>
          <w:p w:rsidR="00FC3217" w:rsidRDefault="00FC3217" w:rsidP="007E5952">
            <w:pPr>
              <w:widowControl/>
              <w:jc w:val="center"/>
              <w:rPr>
                <w:rFonts w:ascii="仿宋_GB2312" w:eastAsia="仿宋_GB2312" w:hAnsi="Times New Roman"/>
                <w:color w:val="000000"/>
                <w:sz w:val="20"/>
                <w:szCs w:val="20"/>
              </w:rPr>
            </w:pPr>
            <w:r>
              <w:rPr>
                <w:rFonts w:ascii="仿宋_GB2312" w:eastAsia="仿宋_GB2312" w:hAnsi="Times New Roman" w:hint="eastAsia"/>
                <w:color w:val="000000"/>
                <w:sz w:val="20"/>
                <w:szCs w:val="20"/>
              </w:rPr>
              <w:t>岗位</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FC3217" w:rsidRDefault="00FC3217" w:rsidP="007E5952">
            <w:pPr>
              <w:jc w:val="center"/>
              <w:rPr>
                <w:rFonts w:ascii="仿宋_GB2312" w:eastAsia="仿宋_GB2312" w:hAnsi="Times New Roman"/>
                <w:color w:val="000000"/>
                <w:sz w:val="20"/>
                <w:szCs w:val="20"/>
              </w:rPr>
            </w:pPr>
            <w:r>
              <w:rPr>
                <w:rFonts w:ascii="仿宋_GB2312" w:eastAsia="仿宋_GB2312" w:hAnsi="Times New Roman" w:hint="eastAsia"/>
                <w:color w:val="000000"/>
                <w:sz w:val="20"/>
                <w:szCs w:val="20"/>
              </w:rPr>
              <w:t>人员姓名</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FC3217" w:rsidRDefault="00FC3217" w:rsidP="007E5952">
            <w:pPr>
              <w:jc w:val="center"/>
              <w:rPr>
                <w:rFonts w:ascii="仿宋_GB2312" w:eastAsia="仿宋_GB2312" w:hAnsi="Times New Roman"/>
                <w:color w:val="000000"/>
                <w:sz w:val="20"/>
                <w:szCs w:val="20"/>
              </w:rPr>
            </w:pPr>
            <w:r>
              <w:rPr>
                <w:rFonts w:ascii="仿宋_GB2312" w:eastAsia="仿宋_GB2312" w:hAnsi="Times New Roman" w:hint="eastAsia"/>
                <w:color w:val="000000"/>
                <w:sz w:val="20"/>
                <w:szCs w:val="20"/>
              </w:rPr>
              <w:t>职责描述</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FC3217" w:rsidRDefault="00FC3217" w:rsidP="007E5952">
            <w:pPr>
              <w:jc w:val="center"/>
              <w:rPr>
                <w:rFonts w:ascii="仿宋_GB2312" w:eastAsia="仿宋_GB2312" w:hAnsi="Times New Roman"/>
                <w:color w:val="000000"/>
                <w:sz w:val="20"/>
                <w:szCs w:val="20"/>
              </w:rPr>
            </w:pPr>
            <w:r>
              <w:rPr>
                <w:rFonts w:ascii="仿宋_GB2312" w:eastAsia="仿宋_GB2312" w:hAnsi="Times New Roman" w:hint="eastAsia"/>
                <w:color w:val="000000"/>
                <w:sz w:val="20"/>
                <w:szCs w:val="20"/>
              </w:rPr>
              <w:t>联系方式</w:t>
            </w:r>
          </w:p>
        </w:tc>
        <w:tc>
          <w:tcPr>
            <w:tcW w:w="2316" w:type="dxa"/>
            <w:tcBorders>
              <w:top w:val="single" w:sz="4" w:space="0" w:color="auto"/>
              <w:left w:val="single" w:sz="4" w:space="0" w:color="auto"/>
              <w:bottom w:val="single" w:sz="4" w:space="0" w:color="auto"/>
              <w:right w:val="single" w:sz="4" w:space="0" w:color="auto"/>
            </w:tcBorders>
            <w:vAlign w:val="center"/>
          </w:tcPr>
          <w:p w:rsidR="00FC3217" w:rsidRDefault="00FC3217" w:rsidP="007E5952">
            <w:pPr>
              <w:jc w:val="center"/>
              <w:rPr>
                <w:rFonts w:ascii="仿宋_GB2312" w:eastAsia="仿宋_GB2312" w:hAnsi="Times New Roman"/>
                <w:color w:val="000000"/>
                <w:sz w:val="20"/>
                <w:szCs w:val="20"/>
              </w:rPr>
            </w:pPr>
            <w:r>
              <w:rPr>
                <w:rFonts w:ascii="仿宋_GB2312" w:eastAsia="仿宋_GB2312" w:hAnsi="Times New Roman" w:hint="eastAsia"/>
                <w:color w:val="000000"/>
                <w:sz w:val="20"/>
                <w:szCs w:val="20"/>
              </w:rPr>
              <w:t>工作履历</w:t>
            </w:r>
          </w:p>
        </w:tc>
      </w:tr>
      <w:tr w:rsidR="00FC3217" w:rsidTr="007E5952">
        <w:trPr>
          <w:trHeight w:val="415"/>
        </w:trPr>
        <w:tc>
          <w:tcPr>
            <w:tcW w:w="2093" w:type="dxa"/>
            <w:gridSpan w:val="2"/>
            <w:tcBorders>
              <w:top w:val="single" w:sz="4" w:space="0" w:color="auto"/>
              <w:left w:val="single" w:sz="4" w:space="0" w:color="auto"/>
              <w:bottom w:val="single" w:sz="4" w:space="0" w:color="auto"/>
              <w:right w:val="single" w:sz="4" w:space="0" w:color="auto"/>
            </w:tcBorders>
            <w:vAlign w:val="center"/>
          </w:tcPr>
          <w:p w:rsidR="00FC3217" w:rsidRDefault="00FC3217" w:rsidP="007E5952">
            <w:pPr>
              <w:widowControl/>
              <w:jc w:val="left"/>
              <w:rPr>
                <w:rFonts w:cs="宋体"/>
                <w:color w:val="00000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FC3217" w:rsidRDefault="00FC3217" w:rsidP="007E5952">
            <w:pPr>
              <w:widowControl/>
              <w:jc w:val="left"/>
              <w:rPr>
                <w:rFonts w:cs="宋体"/>
                <w:color w:val="000000"/>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FC3217" w:rsidRDefault="00FC3217" w:rsidP="007E5952">
            <w:pPr>
              <w:jc w:val="center"/>
              <w:rPr>
                <w:rFonts w:ascii="仿宋_GB2312" w:eastAsia="仿宋_GB2312" w:hAnsi="Times New Roman"/>
                <w:color w:val="000000"/>
                <w:sz w:val="20"/>
                <w:szCs w:val="20"/>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FC3217" w:rsidRDefault="00FC3217" w:rsidP="007E5952">
            <w:pPr>
              <w:widowControl/>
              <w:jc w:val="left"/>
              <w:rPr>
                <w:rFonts w:cs="宋体"/>
                <w:color w:val="000000"/>
              </w:rPr>
            </w:pPr>
          </w:p>
        </w:tc>
        <w:tc>
          <w:tcPr>
            <w:tcW w:w="2316" w:type="dxa"/>
            <w:tcBorders>
              <w:top w:val="single" w:sz="4" w:space="0" w:color="auto"/>
              <w:left w:val="single" w:sz="4" w:space="0" w:color="auto"/>
              <w:bottom w:val="single" w:sz="4" w:space="0" w:color="auto"/>
              <w:right w:val="single" w:sz="4" w:space="0" w:color="auto"/>
            </w:tcBorders>
            <w:vAlign w:val="center"/>
          </w:tcPr>
          <w:p w:rsidR="00FC3217" w:rsidRDefault="00FC3217" w:rsidP="007E5952">
            <w:pPr>
              <w:jc w:val="center"/>
              <w:rPr>
                <w:rFonts w:ascii="仿宋_GB2312" w:eastAsia="仿宋_GB2312" w:hAnsi="Times New Roman"/>
                <w:color w:val="000000"/>
                <w:sz w:val="20"/>
                <w:szCs w:val="20"/>
              </w:rPr>
            </w:pPr>
          </w:p>
        </w:tc>
      </w:tr>
      <w:tr w:rsidR="00FC3217" w:rsidTr="007E5952">
        <w:trPr>
          <w:trHeight w:val="415"/>
        </w:trPr>
        <w:tc>
          <w:tcPr>
            <w:tcW w:w="8520" w:type="dxa"/>
            <w:gridSpan w:val="9"/>
            <w:tcBorders>
              <w:top w:val="single" w:sz="4" w:space="0" w:color="auto"/>
              <w:left w:val="single" w:sz="4" w:space="0" w:color="auto"/>
              <w:bottom w:val="single" w:sz="4" w:space="0" w:color="auto"/>
              <w:right w:val="single" w:sz="4" w:space="0" w:color="auto"/>
            </w:tcBorders>
            <w:vAlign w:val="center"/>
          </w:tcPr>
          <w:p w:rsidR="00FC3217" w:rsidRDefault="00FC3217" w:rsidP="007E5952">
            <w:pPr>
              <w:rPr>
                <w:rFonts w:ascii="仿宋_GB2312" w:eastAsia="仿宋_GB2312" w:hAnsi="Times New Roman"/>
                <w:color w:val="000000"/>
                <w:sz w:val="20"/>
                <w:szCs w:val="20"/>
              </w:rPr>
            </w:pPr>
            <w:r>
              <w:rPr>
                <w:rFonts w:ascii="仿宋_GB2312" w:eastAsia="仿宋_GB2312" w:hAnsi="Times New Roman" w:hint="eastAsia"/>
                <w:color w:val="000000"/>
                <w:sz w:val="20"/>
                <w:szCs w:val="20"/>
              </w:rPr>
              <w:t>（部门名称3）工作职责包括：</w:t>
            </w:r>
          </w:p>
          <w:p w:rsidR="00FC3217" w:rsidRDefault="00FC3217" w:rsidP="007E5952">
            <w:pPr>
              <w:rPr>
                <w:rFonts w:ascii="仿宋_GB2312" w:eastAsia="仿宋_GB2312" w:hAnsi="Times New Roman"/>
                <w:color w:val="000000"/>
                <w:sz w:val="20"/>
                <w:szCs w:val="20"/>
              </w:rPr>
            </w:pPr>
            <w:r>
              <w:rPr>
                <w:rFonts w:ascii="仿宋_GB2312" w:eastAsia="仿宋_GB2312" w:hAnsi="Times New Roman" w:hint="eastAsia"/>
                <w:color w:val="000000"/>
                <w:sz w:val="20"/>
                <w:szCs w:val="20"/>
              </w:rPr>
              <w:t>（1）</w:t>
            </w:r>
          </w:p>
          <w:p w:rsidR="00FC3217" w:rsidRDefault="00FC3217" w:rsidP="007E5952">
            <w:pPr>
              <w:rPr>
                <w:rFonts w:ascii="仿宋_GB2312" w:eastAsia="仿宋_GB2312" w:hAnsi="Times New Roman"/>
                <w:color w:val="000000"/>
                <w:sz w:val="20"/>
                <w:szCs w:val="20"/>
              </w:rPr>
            </w:pPr>
            <w:r>
              <w:rPr>
                <w:rFonts w:ascii="仿宋_GB2312" w:eastAsia="仿宋_GB2312" w:hAnsi="Times New Roman" w:hint="eastAsia"/>
                <w:color w:val="000000"/>
                <w:sz w:val="20"/>
                <w:szCs w:val="20"/>
              </w:rPr>
              <w:t>（2）</w:t>
            </w:r>
          </w:p>
        </w:tc>
      </w:tr>
      <w:tr w:rsidR="00FC3217" w:rsidTr="007E5952">
        <w:trPr>
          <w:trHeight w:val="415"/>
        </w:trPr>
        <w:tc>
          <w:tcPr>
            <w:tcW w:w="2093" w:type="dxa"/>
            <w:gridSpan w:val="2"/>
            <w:tcBorders>
              <w:top w:val="single" w:sz="4" w:space="0" w:color="auto"/>
              <w:left w:val="single" w:sz="4" w:space="0" w:color="auto"/>
              <w:bottom w:val="single" w:sz="4" w:space="0" w:color="auto"/>
              <w:right w:val="single" w:sz="4" w:space="0" w:color="auto"/>
            </w:tcBorders>
            <w:vAlign w:val="center"/>
          </w:tcPr>
          <w:p w:rsidR="00FC3217" w:rsidRDefault="00FC3217" w:rsidP="007E5952">
            <w:pPr>
              <w:widowControl/>
              <w:jc w:val="center"/>
              <w:rPr>
                <w:rFonts w:ascii="仿宋_GB2312" w:eastAsia="仿宋_GB2312" w:hAnsi="Times New Roman"/>
                <w:color w:val="000000"/>
                <w:sz w:val="20"/>
                <w:szCs w:val="20"/>
              </w:rPr>
            </w:pPr>
            <w:r>
              <w:rPr>
                <w:rFonts w:ascii="仿宋_GB2312" w:eastAsia="仿宋_GB2312" w:hAnsi="Times New Roman" w:hint="eastAsia"/>
                <w:color w:val="000000"/>
                <w:sz w:val="20"/>
                <w:szCs w:val="20"/>
              </w:rPr>
              <w:t>岗位</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FC3217" w:rsidRDefault="00FC3217" w:rsidP="007E5952">
            <w:pPr>
              <w:jc w:val="center"/>
              <w:rPr>
                <w:rFonts w:ascii="仿宋_GB2312" w:eastAsia="仿宋_GB2312" w:hAnsi="Times New Roman"/>
                <w:color w:val="000000"/>
                <w:sz w:val="20"/>
                <w:szCs w:val="20"/>
              </w:rPr>
            </w:pPr>
            <w:r>
              <w:rPr>
                <w:rFonts w:ascii="仿宋_GB2312" w:eastAsia="仿宋_GB2312" w:hAnsi="Times New Roman" w:hint="eastAsia"/>
                <w:color w:val="000000"/>
                <w:sz w:val="20"/>
                <w:szCs w:val="20"/>
              </w:rPr>
              <w:t>人员姓名</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FC3217" w:rsidRDefault="00FC3217" w:rsidP="007E5952">
            <w:pPr>
              <w:jc w:val="center"/>
              <w:rPr>
                <w:rFonts w:ascii="仿宋_GB2312" w:eastAsia="仿宋_GB2312" w:hAnsi="Times New Roman"/>
                <w:color w:val="000000"/>
                <w:sz w:val="20"/>
                <w:szCs w:val="20"/>
              </w:rPr>
            </w:pPr>
            <w:r>
              <w:rPr>
                <w:rFonts w:ascii="仿宋_GB2312" w:eastAsia="仿宋_GB2312" w:hAnsi="Times New Roman" w:hint="eastAsia"/>
                <w:color w:val="000000"/>
                <w:sz w:val="20"/>
                <w:szCs w:val="20"/>
              </w:rPr>
              <w:t>职责描述</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FC3217" w:rsidRDefault="00FC3217" w:rsidP="007E5952">
            <w:pPr>
              <w:jc w:val="center"/>
              <w:rPr>
                <w:rFonts w:ascii="仿宋_GB2312" w:eastAsia="仿宋_GB2312" w:hAnsi="Times New Roman"/>
                <w:color w:val="000000"/>
                <w:sz w:val="20"/>
                <w:szCs w:val="20"/>
              </w:rPr>
            </w:pPr>
            <w:r>
              <w:rPr>
                <w:rFonts w:ascii="仿宋_GB2312" w:eastAsia="仿宋_GB2312" w:hAnsi="Times New Roman" w:hint="eastAsia"/>
                <w:color w:val="000000"/>
                <w:sz w:val="20"/>
                <w:szCs w:val="20"/>
              </w:rPr>
              <w:t>联系方式</w:t>
            </w:r>
          </w:p>
        </w:tc>
        <w:tc>
          <w:tcPr>
            <w:tcW w:w="2316" w:type="dxa"/>
            <w:tcBorders>
              <w:top w:val="single" w:sz="4" w:space="0" w:color="auto"/>
              <w:left w:val="single" w:sz="4" w:space="0" w:color="auto"/>
              <w:bottom w:val="single" w:sz="4" w:space="0" w:color="auto"/>
              <w:right w:val="single" w:sz="4" w:space="0" w:color="auto"/>
            </w:tcBorders>
            <w:vAlign w:val="center"/>
          </w:tcPr>
          <w:p w:rsidR="00FC3217" w:rsidRDefault="00FC3217" w:rsidP="007E5952">
            <w:pPr>
              <w:jc w:val="center"/>
              <w:rPr>
                <w:rFonts w:ascii="仿宋_GB2312" w:eastAsia="仿宋_GB2312" w:hAnsi="Times New Roman"/>
                <w:color w:val="000000"/>
                <w:sz w:val="20"/>
                <w:szCs w:val="20"/>
              </w:rPr>
            </w:pPr>
            <w:r>
              <w:rPr>
                <w:rFonts w:ascii="仿宋_GB2312" w:eastAsia="仿宋_GB2312" w:hAnsi="Times New Roman" w:hint="eastAsia"/>
                <w:color w:val="000000"/>
                <w:sz w:val="20"/>
                <w:szCs w:val="20"/>
              </w:rPr>
              <w:t>工作履历</w:t>
            </w:r>
          </w:p>
        </w:tc>
      </w:tr>
      <w:tr w:rsidR="00FC3217" w:rsidTr="007E5952">
        <w:trPr>
          <w:trHeight w:val="415"/>
        </w:trPr>
        <w:tc>
          <w:tcPr>
            <w:tcW w:w="2093" w:type="dxa"/>
            <w:gridSpan w:val="2"/>
            <w:tcBorders>
              <w:top w:val="single" w:sz="4" w:space="0" w:color="auto"/>
              <w:left w:val="single" w:sz="4" w:space="0" w:color="auto"/>
              <w:bottom w:val="single" w:sz="4" w:space="0" w:color="auto"/>
              <w:right w:val="single" w:sz="4" w:space="0" w:color="auto"/>
            </w:tcBorders>
            <w:vAlign w:val="center"/>
          </w:tcPr>
          <w:p w:rsidR="00FC3217" w:rsidRDefault="00FC3217" w:rsidP="007E5952">
            <w:pPr>
              <w:widowControl/>
              <w:jc w:val="left"/>
              <w:rPr>
                <w:rFonts w:cs="宋体"/>
                <w:color w:val="00000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FC3217" w:rsidRDefault="00FC3217" w:rsidP="007E5952">
            <w:pPr>
              <w:widowControl/>
              <w:jc w:val="left"/>
              <w:rPr>
                <w:rFonts w:cs="宋体"/>
                <w:color w:val="000000"/>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FC3217" w:rsidRDefault="00FC3217" w:rsidP="007E5952">
            <w:pPr>
              <w:jc w:val="center"/>
              <w:rPr>
                <w:rFonts w:ascii="仿宋_GB2312" w:eastAsia="仿宋_GB2312" w:hAnsi="Times New Roman"/>
                <w:color w:val="000000"/>
                <w:sz w:val="20"/>
                <w:szCs w:val="20"/>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FC3217" w:rsidRDefault="00FC3217" w:rsidP="007E5952">
            <w:pPr>
              <w:widowControl/>
              <w:jc w:val="left"/>
              <w:rPr>
                <w:rFonts w:cs="宋体"/>
                <w:color w:val="000000"/>
              </w:rPr>
            </w:pPr>
          </w:p>
        </w:tc>
        <w:tc>
          <w:tcPr>
            <w:tcW w:w="2316" w:type="dxa"/>
            <w:tcBorders>
              <w:top w:val="single" w:sz="4" w:space="0" w:color="auto"/>
              <w:left w:val="single" w:sz="4" w:space="0" w:color="auto"/>
              <w:bottom w:val="single" w:sz="4" w:space="0" w:color="auto"/>
              <w:right w:val="single" w:sz="4" w:space="0" w:color="auto"/>
            </w:tcBorders>
            <w:vAlign w:val="center"/>
          </w:tcPr>
          <w:p w:rsidR="00FC3217" w:rsidRDefault="00FC3217" w:rsidP="007E5952">
            <w:pPr>
              <w:jc w:val="center"/>
              <w:rPr>
                <w:rFonts w:ascii="仿宋_GB2312" w:eastAsia="仿宋_GB2312" w:hAnsi="Times New Roman"/>
                <w:color w:val="000000"/>
                <w:sz w:val="20"/>
                <w:szCs w:val="20"/>
              </w:rPr>
            </w:pPr>
          </w:p>
        </w:tc>
      </w:tr>
    </w:tbl>
    <w:p w:rsidR="00FC3217" w:rsidRDefault="00FC3217" w:rsidP="00FC3217">
      <w:pPr>
        <w:widowControl/>
        <w:jc w:val="left"/>
        <w:rPr>
          <w:rFonts w:ascii="仿宋_GB2312" w:eastAsia="仿宋_GB2312" w:hAnsi="黑体"/>
          <w:color w:val="000000"/>
          <w:sz w:val="20"/>
          <w:szCs w:val="20"/>
        </w:rPr>
      </w:pPr>
      <w:r>
        <w:rPr>
          <w:rFonts w:ascii="仿宋_GB2312" w:eastAsia="仿宋_GB2312" w:hAnsi="黑体" w:hint="eastAsia"/>
          <w:color w:val="000000"/>
          <w:sz w:val="20"/>
          <w:szCs w:val="20"/>
        </w:rPr>
        <w:t>备注：工作履历一栏中，期权经纪业务部门负责人必须详细填写工作履历。若经纪业务负责人、经纪业务联络人、部门负责人有变更的，须及时向本所报备。</w:t>
      </w:r>
    </w:p>
    <w:p w:rsidR="00FC3217" w:rsidRDefault="00FC3217" w:rsidP="00FC3217">
      <w:pPr>
        <w:widowControl/>
        <w:jc w:val="left"/>
        <w:rPr>
          <w:rFonts w:ascii="仿宋_GB2312" w:eastAsia="仿宋_GB2312" w:hAnsi="黑体"/>
          <w:color w:val="000000"/>
          <w:sz w:val="20"/>
          <w:szCs w:val="20"/>
        </w:rPr>
      </w:pPr>
    </w:p>
    <w:p w:rsidR="00FC3217" w:rsidRDefault="00FC3217" w:rsidP="00FC3217">
      <w:pPr>
        <w:widowControl/>
        <w:jc w:val="left"/>
        <w:rPr>
          <w:rFonts w:ascii="仿宋_GB2312" w:eastAsia="仿宋_GB2312" w:hAnsi="黑体"/>
          <w:color w:val="000000"/>
          <w:sz w:val="20"/>
          <w:szCs w:val="20"/>
        </w:rPr>
      </w:pPr>
    </w:p>
    <w:p w:rsidR="00FC3217" w:rsidRDefault="00FC3217" w:rsidP="00FC3217">
      <w:pPr>
        <w:pStyle w:val="2"/>
        <w:ind w:firstLine="562"/>
      </w:pPr>
      <w:bookmarkStart w:id="574" w:name="_Toc14671"/>
      <w:bookmarkStart w:id="575" w:name="_Toc23947040"/>
      <w:r>
        <w:rPr>
          <w:rFonts w:hint="eastAsia"/>
        </w:rPr>
        <w:lastRenderedPageBreak/>
        <w:t>附件二：适当性综合评估样表</w:t>
      </w:r>
      <w:bookmarkEnd w:id="574"/>
      <w:bookmarkEnd w:id="575"/>
    </w:p>
    <w:p w:rsidR="00FC3217" w:rsidRDefault="00FC3217" w:rsidP="00FC3217">
      <w:pPr>
        <w:pStyle w:val="af1"/>
        <w:snapToGrid w:val="0"/>
        <w:spacing w:line="360" w:lineRule="auto"/>
        <w:ind w:firstLineChars="200" w:firstLine="480"/>
        <w:rPr>
          <w:rFonts w:ascii="仿宋_GB2312" w:eastAsia="仿宋_GB2312" w:hAnsi="仿宋"/>
        </w:rPr>
      </w:pPr>
      <w:r>
        <w:rPr>
          <w:rFonts w:ascii="仿宋_GB2312" w:eastAsia="仿宋_GB2312" w:hAnsi="仿宋" w:hint="eastAsia"/>
        </w:rPr>
        <w:t>本样表仅供各期权经营机构参考，各期权经营机构可以根据自身实际情况和投资者特点，制定各自的适当性综合评估表。</w:t>
      </w:r>
    </w:p>
    <w:tbl>
      <w:tblPr>
        <w:tblW w:w="0" w:type="auto"/>
        <w:tblInd w:w="96" w:type="dxa"/>
        <w:tblLayout w:type="fixed"/>
        <w:tblLook w:val="0000"/>
      </w:tblPr>
      <w:tblGrid>
        <w:gridCol w:w="4800"/>
        <w:gridCol w:w="2200"/>
        <w:gridCol w:w="1600"/>
      </w:tblGrid>
      <w:tr w:rsidR="00FC3217" w:rsidTr="007E5952">
        <w:trPr>
          <w:trHeight w:val="510"/>
        </w:trPr>
        <w:tc>
          <w:tcPr>
            <w:tcW w:w="7000" w:type="dxa"/>
            <w:gridSpan w:val="2"/>
            <w:tcBorders>
              <w:top w:val="single" w:sz="4" w:space="0" w:color="auto"/>
              <w:left w:val="single" w:sz="4" w:space="0" w:color="auto"/>
              <w:bottom w:val="single" w:sz="4" w:space="0" w:color="auto"/>
              <w:right w:val="single" w:sz="4" w:space="0" w:color="000000"/>
            </w:tcBorders>
            <w:vAlign w:val="center"/>
          </w:tcPr>
          <w:p w:rsidR="00FC3217" w:rsidRDefault="00FC3217" w:rsidP="007E5952">
            <w:pPr>
              <w:widowControl/>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指标项目</w:t>
            </w:r>
          </w:p>
        </w:tc>
        <w:tc>
          <w:tcPr>
            <w:tcW w:w="1600" w:type="dxa"/>
            <w:tcBorders>
              <w:top w:val="single" w:sz="4" w:space="0" w:color="auto"/>
              <w:left w:val="nil"/>
              <w:bottom w:val="single" w:sz="4" w:space="0" w:color="auto"/>
              <w:right w:val="single" w:sz="4" w:space="0" w:color="auto"/>
            </w:tcBorders>
          </w:tcPr>
          <w:p w:rsidR="00FC3217" w:rsidRDefault="00FC3217" w:rsidP="007E5952">
            <w:pPr>
              <w:widowControl/>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是否达到要求（勾选）</w:t>
            </w:r>
          </w:p>
        </w:tc>
      </w:tr>
      <w:tr w:rsidR="00FC3217" w:rsidTr="007E5952">
        <w:trPr>
          <w:trHeight w:val="270"/>
        </w:trPr>
        <w:tc>
          <w:tcPr>
            <w:tcW w:w="8600" w:type="dxa"/>
            <w:gridSpan w:val="3"/>
            <w:tcBorders>
              <w:top w:val="single" w:sz="4" w:space="0" w:color="auto"/>
              <w:left w:val="single" w:sz="4" w:space="0" w:color="auto"/>
              <w:bottom w:val="single" w:sz="4" w:space="0" w:color="auto"/>
              <w:right w:val="single" w:sz="4" w:space="0" w:color="000000"/>
            </w:tcBorders>
            <w:vAlign w:val="center"/>
          </w:tcPr>
          <w:p w:rsidR="00FC3217" w:rsidRDefault="00FC3217" w:rsidP="007E5952">
            <w:pPr>
              <w:widowControl/>
              <w:jc w:val="left"/>
              <w:rPr>
                <w:rFonts w:ascii="宋体" w:hAnsi="宋体" w:cs="宋体"/>
                <w:b/>
                <w:bCs/>
                <w:color w:val="000000"/>
                <w:kern w:val="0"/>
                <w:sz w:val="22"/>
              </w:rPr>
            </w:pPr>
            <w:r>
              <w:rPr>
                <w:rFonts w:ascii="宋体" w:hAnsi="宋体" w:cs="宋体" w:hint="eastAsia"/>
                <w:b/>
                <w:bCs/>
                <w:color w:val="000000"/>
                <w:kern w:val="0"/>
                <w:sz w:val="22"/>
              </w:rPr>
              <w:t>一、相关投资经历</w:t>
            </w:r>
          </w:p>
        </w:tc>
      </w:tr>
      <w:tr w:rsidR="00FC3217" w:rsidTr="007E5952">
        <w:trPr>
          <w:trHeight w:val="270"/>
        </w:trPr>
        <w:tc>
          <w:tcPr>
            <w:tcW w:w="7000" w:type="dxa"/>
            <w:gridSpan w:val="2"/>
            <w:tcBorders>
              <w:top w:val="single" w:sz="4" w:space="0" w:color="auto"/>
              <w:left w:val="single" w:sz="4" w:space="0" w:color="auto"/>
              <w:bottom w:val="single" w:sz="4" w:space="0" w:color="auto"/>
              <w:right w:val="single" w:sz="4" w:space="0" w:color="000000"/>
            </w:tcBorders>
            <w:vAlign w:val="center"/>
          </w:tcPr>
          <w:p w:rsidR="00FC3217" w:rsidRDefault="00FC3217" w:rsidP="007E5952">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具备拟申请交易权限要求的期权模拟交易经历</w:t>
            </w:r>
          </w:p>
        </w:tc>
        <w:tc>
          <w:tcPr>
            <w:tcW w:w="1600" w:type="dxa"/>
            <w:tcBorders>
              <w:top w:val="nil"/>
              <w:left w:val="nil"/>
              <w:bottom w:val="single" w:sz="4" w:space="0" w:color="auto"/>
              <w:right w:val="single" w:sz="4" w:space="0" w:color="auto"/>
            </w:tcBorders>
            <w:vAlign w:val="center"/>
          </w:tcPr>
          <w:p w:rsidR="00FC3217" w:rsidRDefault="00FC3217" w:rsidP="007E5952">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r>
      <w:tr w:rsidR="00FC3217" w:rsidTr="007E5952">
        <w:trPr>
          <w:trHeight w:val="270"/>
        </w:trPr>
        <w:tc>
          <w:tcPr>
            <w:tcW w:w="7000" w:type="dxa"/>
            <w:gridSpan w:val="2"/>
            <w:tcBorders>
              <w:top w:val="single" w:sz="4" w:space="0" w:color="auto"/>
              <w:left w:val="single" w:sz="4" w:space="0" w:color="auto"/>
              <w:bottom w:val="single" w:sz="4" w:space="0" w:color="auto"/>
              <w:right w:val="single" w:sz="4" w:space="0" w:color="000000"/>
            </w:tcBorders>
            <w:vAlign w:val="center"/>
          </w:tcPr>
          <w:p w:rsidR="00FC3217" w:rsidRDefault="00FC3217" w:rsidP="007E5952">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沪市A股账户开立合计6个月以上</w:t>
            </w:r>
          </w:p>
        </w:tc>
        <w:tc>
          <w:tcPr>
            <w:tcW w:w="1600" w:type="dxa"/>
            <w:tcBorders>
              <w:top w:val="nil"/>
              <w:left w:val="nil"/>
              <w:bottom w:val="single" w:sz="4" w:space="0" w:color="auto"/>
              <w:right w:val="single" w:sz="4" w:space="0" w:color="auto"/>
            </w:tcBorders>
            <w:vAlign w:val="center"/>
          </w:tcPr>
          <w:p w:rsidR="00FC3217" w:rsidRDefault="00FC3217" w:rsidP="007E5952">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r>
      <w:tr w:rsidR="00FC3217" w:rsidTr="007E5952">
        <w:trPr>
          <w:trHeight w:val="270"/>
        </w:trPr>
        <w:tc>
          <w:tcPr>
            <w:tcW w:w="7000" w:type="dxa"/>
            <w:gridSpan w:val="2"/>
            <w:tcBorders>
              <w:top w:val="single" w:sz="4" w:space="0" w:color="auto"/>
              <w:left w:val="single" w:sz="4" w:space="0" w:color="auto"/>
              <w:bottom w:val="single" w:sz="4" w:space="0" w:color="auto"/>
              <w:right w:val="single" w:sz="4" w:space="0" w:color="000000"/>
            </w:tcBorders>
            <w:vAlign w:val="center"/>
          </w:tcPr>
          <w:p w:rsidR="00FC3217" w:rsidRDefault="00FC3217" w:rsidP="007E5952">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具备融资融券业务参与资格或者金融期货交易经历</w:t>
            </w:r>
          </w:p>
        </w:tc>
        <w:tc>
          <w:tcPr>
            <w:tcW w:w="1600" w:type="dxa"/>
            <w:tcBorders>
              <w:top w:val="nil"/>
              <w:left w:val="nil"/>
              <w:bottom w:val="single" w:sz="4" w:space="0" w:color="auto"/>
              <w:right w:val="single" w:sz="4" w:space="0" w:color="auto"/>
            </w:tcBorders>
            <w:vAlign w:val="center"/>
          </w:tcPr>
          <w:p w:rsidR="00FC3217" w:rsidRDefault="00FC3217" w:rsidP="007E5952">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r>
      <w:tr w:rsidR="00FC3217" w:rsidTr="007E5952">
        <w:trPr>
          <w:trHeight w:val="270"/>
        </w:trPr>
        <w:tc>
          <w:tcPr>
            <w:tcW w:w="8600" w:type="dxa"/>
            <w:gridSpan w:val="3"/>
            <w:tcBorders>
              <w:top w:val="single" w:sz="4" w:space="0" w:color="auto"/>
              <w:left w:val="single" w:sz="4" w:space="0" w:color="auto"/>
              <w:bottom w:val="single" w:sz="4" w:space="0" w:color="auto"/>
              <w:right w:val="single" w:sz="4" w:space="0" w:color="000000"/>
            </w:tcBorders>
            <w:vAlign w:val="center"/>
          </w:tcPr>
          <w:p w:rsidR="00FC3217" w:rsidRDefault="00FC3217" w:rsidP="007E5952">
            <w:pPr>
              <w:widowControl/>
              <w:jc w:val="left"/>
              <w:rPr>
                <w:rFonts w:ascii="宋体" w:hAnsi="宋体" w:cs="宋体"/>
                <w:b/>
                <w:bCs/>
                <w:color w:val="000000"/>
                <w:kern w:val="0"/>
                <w:sz w:val="22"/>
              </w:rPr>
            </w:pPr>
            <w:r>
              <w:rPr>
                <w:rFonts w:ascii="宋体" w:hAnsi="宋体" w:cs="宋体" w:hint="eastAsia"/>
                <w:b/>
                <w:bCs/>
                <w:color w:val="000000"/>
                <w:kern w:val="0"/>
                <w:sz w:val="22"/>
              </w:rPr>
              <w:t>二、金融类资产状况</w:t>
            </w:r>
          </w:p>
        </w:tc>
      </w:tr>
      <w:tr w:rsidR="00FC3217" w:rsidTr="007E5952">
        <w:trPr>
          <w:trHeight w:val="585"/>
        </w:trPr>
        <w:tc>
          <w:tcPr>
            <w:tcW w:w="7000" w:type="dxa"/>
            <w:gridSpan w:val="2"/>
            <w:tcBorders>
              <w:top w:val="single" w:sz="4" w:space="0" w:color="auto"/>
              <w:left w:val="single" w:sz="4" w:space="0" w:color="auto"/>
              <w:bottom w:val="single" w:sz="4" w:space="0" w:color="auto"/>
              <w:right w:val="single" w:sz="4" w:space="0" w:color="000000"/>
            </w:tcBorders>
            <w:vAlign w:val="center"/>
          </w:tcPr>
          <w:p w:rsidR="00FC3217" w:rsidRDefault="00FC3217" w:rsidP="007E5952">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证券市值与资金账户可用余额（不含融资融券客户信用证券账户内的证券市值和信用资金账户内的资金）人民币50万元以上</w:t>
            </w:r>
          </w:p>
        </w:tc>
        <w:tc>
          <w:tcPr>
            <w:tcW w:w="1600" w:type="dxa"/>
            <w:tcBorders>
              <w:top w:val="nil"/>
              <w:left w:val="nil"/>
              <w:bottom w:val="single" w:sz="4" w:space="0" w:color="auto"/>
              <w:right w:val="single" w:sz="4" w:space="0" w:color="auto"/>
            </w:tcBorders>
            <w:vAlign w:val="center"/>
          </w:tcPr>
          <w:p w:rsidR="00FC3217" w:rsidRDefault="00FC3217" w:rsidP="007E5952">
            <w:pPr>
              <w:widowControl/>
              <w:jc w:val="left"/>
              <w:rPr>
                <w:rFonts w:ascii="宋体" w:hAnsi="宋体" w:cs="宋体"/>
                <w:b/>
                <w:bCs/>
                <w:color w:val="000000"/>
                <w:kern w:val="0"/>
                <w:sz w:val="22"/>
              </w:rPr>
            </w:pPr>
            <w:r>
              <w:rPr>
                <w:rFonts w:ascii="宋体" w:hAnsi="宋体" w:cs="宋体" w:hint="eastAsia"/>
                <w:b/>
                <w:bCs/>
                <w:color w:val="000000"/>
                <w:kern w:val="0"/>
                <w:sz w:val="22"/>
              </w:rPr>
              <w:t xml:space="preserve">　</w:t>
            </w:r>
          </w:p>
        </w:tc>
      </w:tr>
      <w:tr w:rsidR="00FC3217" w:rsidTr="007E5952">
        <w:trPr>
          <w:trHeight w:val="270"/>
        </w:trPr>
        <w:tc>
          <w:tcPr>
            <w:tcW w:w="8600" w:type="dxa"/>
            <w:gridSpan w:val="3"/>
            <w:tcBorders>
              <w:top w:val="single" w:sz="4" w:space="0" w:color="auto"/>
              <w:left w:val="single" w:sz="4" w:space="0" w:color="auto"/>
              <w:bottom w:val="single" w:sz="4" w:space="0" w:color="auto"/>
              <w:right w:val="single" w:sz="4" w:space="0" w:color="000000"/>
            </w:tcBorders>
            <w:vAlign w:val="center"/>
          </w:tcPr>
          <w:p w:rsidR="00FC3217" w:rsidRDefault="00FC3217" w:rsidP="007E5952">
            <w:pPr>
              <w:widowControl/>
              <w:jc w:val="left"/>
              <w:rPr>
                <w:rFonts w:ascii="宋体" w:hAnsi="宋体" w:cs="宋体"/>
                <w:b/>
                <w:bCs/>
                <w:color w:val="000000"/>
                <w:kern w:val="0"/>
                <w:sz w:val="22"/>
              </w:rPr>
            </w:pPr>
            <w:r>
              <w:rPr>
                <w:rFonts w:ascii="宋体" w:hAnsi="宋体" w:cs="宋体" w:hint="eastAsia"/>
                <w:b/>
                <w:bCs/>
                <w:color w:val="000000"/>
                <w:kern w:val="0"/>
                <w:sz w:val="22"/>
              </w:rPr>
              <w:t>三、期权基础知识水平</w:t>
            </w:r>
          </w:p>
        </w:tc>
      </w:tr>
      <w:tr w:rsidR="00FC3217" w:rsidTr="007E5952">
        <w:trPr>
          <w:trHeight w:val="270"/>
        </w:trPr>
        <w:tc>
          <w:tcPr>
            <w:tcW w:w="4800" w:type="dxa"/>
            <w:vMerge w:val="restart"/>
            <w:tcBorders>
              <w:top w:val="nil"/>
              <w:left w:val="single" w:sz="4" w:space="0" w:color="auto"/>
              <w:bottom w:val="single" w:sz="4" w:space="0" w:color="000000"/>
              <w:right w:val="single" w:sz="4" w:space="0" w:color="auto"/>
            </w:tcBorders>
            <w:vAlign w:val="center"/>
          </w:tcPr>
          <w:p w:rsidR="00FC3217" w:rsidRDefault="00FC3217" w:rsidP="007E5952">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期权知识测试成绩</w:t>
            </w:r>
          </w:p>
        </w:tc>
        <w:tc>
          <w:tcPr>
            <w:tcW w:w="2200" w:type="dxa"/>
            <w:tcBorders>
              <w:top w:val="nil"/>
              <w:left w:val="nil"/>
              <w:bottom w:val="single" w:sz="4" w:space="0" w:color="auto"/>
              <w:right w:val="single" w:sz="4" w:space="0" w:color="auto"/>
            </w:tcBorders>
            <w:vAlign w:val="center"/>
          </w:tcPr>
          <w:p w:rsidR="00FC3217" w:rsidRDefault="00FC3217" w:rsidP="007E5952">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一级知识测试通过</w:t>
            </w:r>
          </w:p>
        </w:tc>
        <w:tc>
          <w:tcPr>
            <w:tcW w:w="1600" w:type="dxa"/>
            <w:tcBorders>
              <w:top w:val="nil"/>
              <w:left w:val="nil"/>
              <w:bottom w:val="single" w:sz="4" w:space="0" w:color="auto"/>
              <w:right w:val="single" w:sz="4" w:space="0" w:color="auto"/>
            </w:tcBorders>
            <w:vAlign w:val="center"/>
          </w:tcPr>
          <w:p w:rsidR="00FC3217" w:rsidRDefault="00FC3217" w:rsidP="007E5952">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r>
      <w:tr w:rsidR="00FC3217" w:rsidTr="007E5952">
        <w:trPr>
          <w:trHeight w:val="270"/>
        </w:trPr>
        <w:tc>
          <w:tcPr>
            <w:tcW w:w="4800" w:type="dxa"/>
            <w:vMerge/>
            <w:tcBorders>
              <w:top w:val="nil"/>
              <w:left w:val="single" w:sz="4" w:space="0" w:color="auto"/>
              <w:bottom w:val="single" w:sz="4" w:space="0" w:color="000000"/>
              <w:right w:val="single" w:sz="4" w:space="0" w:color="auto"/>
            </w:tcBorders>
            <w:vAlign w:val="center"/>
          </w:tcPr>
          <w:p w:rsidR="00FC3217" w:rsidRDefault="00FC3217" w:rsidP="007E5952">
            <w:pPr>
              <w:widowControl/>
              <w:jc w:val="left"/>
              <w:rPr>
                <w:rFonts w:ascii="仿宋_GB2312" w:eastAsia="仿宋_GB2312" w:hAnsi="宋体" w:cs="宋体"/>
                <w:color w:val="000000"/>
                <w:kern w:val="0"/>
                <w:szCs w:val="21"/>
              </w:rPr>
            </w:pPr>
          </w:p>
        </w:tc>
        <w:tc>
          <w:tcPr>
            <w:tcW w:w="2200" w:type="dxa"/>
            <w:tcBorders>
              <w:top w:val="nil"/>
              <w:left w:val="nil"/>
              <w:bottom w:val="single" w:sz="4" w:space="0" w:color="auto"/>
              <w:right w:val="single" w:sz="4" w:space="0" w:color="auto"/>
            </w:tcBorders>
            <w:vAlign w:val="center"/>
          </w:tcPr>
          <w:p w:rsidR="00FC3217" w:rsidRDefault="00FC3217" w:rsidP="007E5952">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二级知识测试通过</w:t>
            </w:r>
          </w:p>
        </w:tc>
        <w:tc>
          <w:tcPr>
            <w:tcW w:w="1600" w:type="dxa"/>
            <w:tcBorders>
              <w:top w:val="nil"/>
              <w:left w:val="nil"/>
              <w:bottom w:val="single" w:sz="4" w:space="0" w:color="auto"/>
              <w:right w:val="single" w:sz="4" w:space="0" w:color="auto"/>
            </w:tcBorders>
            <w:vAlign w:val="center"/>
          </w:tcPr>
          <w:p w:rsidR="00FC3217" w:rsidRDefault="00FC3217" w:rsidP="007E5952">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r>
      <w:tr w:rsidR="00FC3217" w:rsidTr="007E5952">
        <w:trPr>
          <w:trHeight w:val="270"/>
        </w:trPr>
        <w:tc>
          <w:tcPr>
            <w:tcW w:w="4800" w:type="dxa"/>
            <w:vMerge/>
            <w:tcBorders>
              <w:top w:val="nil"/>
              <w:left w:val="single" w:sz="4" w:space="0" w:color="auto"/>
              <w:bottom w:val="single" w:sz="4" w:space="0" w:color="000000"/>
              <w:right w:val="single" w:sz="4" w:space="0" w:color="auto"/>
            </w:tcBorders>
            <w:vAlign w:val="center"/>
          </w:tcPr>
          <w:p w:rsidR="00FC3217" w:rsidRDefault="00FC3217" w:rsidP="007E5952">
            <w:pPr>
              <w:widowControl/>
              <w:jc w:val="left"/>
              <w:rPr>
                <w:rFonts w:ascii="仿宋_GB2312" w:eastAsia="仿宋_GB2312" w:hAnsi="宋体" w:cs="宋体"/>
                <w:color w:val="000000"/>
                <w:kern w:val="0"/>
                <w:szCs w:val="21"/>
              </w:rPr>
            </w:pPr>
          </w:p>
        </w:tc>
        <w:tc>
          <w:tcPr>
            <w:tcW w:w="2200" w:type="dxa"/>
            <w:tcBorders>
              <w:top w:val="nil"/>
              <w:left w:val="nil"/>
              <w:bottom w:val="single" w:sz="4" w:space="0" w:color="auto"/>
              <w:right w:val="single" w:sz="4" w:space="0" w:color="auto"/>
            </w:tcBorders>
            <w:vAlign w:val="center"/>
          </w:tcPr>
          <w:p w:rsidR="00FC3217" w:rsidRDefault="00FC3217" w:rsidP="007E5952">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三级知识测试通过</w:t>
            </w:r>
          </w:p>
        </w:tc>
        <w:tc>
          <w:tcPr>
            <w:tcW w:w="1600" w:type="dxa"/>
            <w:tcBorders>
              <w:top w:val="nil"/>
              <w:left w:val="nil"/>
              <w:bottom w:val="single" w:sz="4" w:space="0" w:color="auto"/>
              <w:right w:val="single" w:sz="4" w:space="0" w:color="auto"/>
            </w:tcBorders>
            <w:vAlign w:val="center"/>
          </w:tcPr>
          <w:p w:rsidR="00FC3217" w:rsidRDefault="00FC3217" w:rsidP="007E5952">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r>
      <w:tr w:rsidR="00FC3217" w:rsidTr="007E5952">
        <w:trPr>
          <w:trHeight w:val="270"/>
        </w:trPr>
        <w:tc>
          <w:tcPr>
            <w:tcW w:w="4800" w:type="dxa"/>
            <w:vMerge/>
            <w:tcBorders>
              <w:top w:val="nil"/>
              <w:left w:val="single" w:sz="4" w:space="0" w:color="auto"/>
              <w:bottom w:val="single" w:sz="4" w:space="0" w:color="000000"/>
              <w:right w:val="single" w:sz="4" w:space="0" w:color="auto"/>
            </w:tcBorders>
            <w:vAlign w:val="center"/>
          </w:tcPr>
          <w:p w:rsidR="00FC3217" w:rsidRDefault="00FC3217" w:rsidP="007E5952">
            <w:pPr>
              <w:widowControl/>
              <w:jc w:val="left"/>
              <w:rPr>
                <w:rFonts w:ascii="仿宋_GB2312" w:eastAsia="仿宋_GB2312" w:hAnsi="宋体" w:cs="宋体"/>
                <w:color w:val="000000"/>
                <w:kern w:val="0"/>
                <w:szCs w:val="21"/>
              </w:rPr>
            </w:pPr>
          </w:p>
        </w:tc>
        <w:tc>
          <w:tcPr>
            <w:tcW w:w="2200" w:type="dxa"/>
            <w:tcBorders>
              <w:top w:val="nil"/>
              <w:left w:val="nil"/>
              <w:bottom w:val="single" w:sz="4" w:space="0" w:color="auto"/>
              <w:right w:val="single" w:sz="4" w:space="0" w:color="auto"/>
            </w:tcBorders>
            <w:vAlign w:val="center"/>
          </w:tcPr>
          <w:p w:rsidR="00FC3217" w:rsidRDefault="00FC3217" w:rsidP="007E5952">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综合知识测试通过</w:t>
            </w:r>
          </w:p>
        </w:tc>
        <w:tc>
          <w:tcPr>
            <w:tcW w:w="1600" w:type="dxa"/>
            <w:tcBorders>
              <w:top w:val="nil"/>
              <w:left w:val="nil"/>
              <w:bottom w:val="single" w:sz="4" w:space="0" w:color="auto"/>
              <w:right w:val="single" w:sz="4" w:space="0" w:color="auto"/>
            </w:tcBorders>
            <w:vAlign w:val="center"/>
          </w:tcPr>
          <w:p w:rsidR="00FC3217" w:rsidRDefault="00FC3217" w:rsidP="007E5952">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r>
      <w:tr w:rsidR="00FC3217" w:rsidTr="007E5952">
        <w:trPr>
          <w:trHeight w:val="270"/>
        </w:trPr>
        <w:tc>
          <w:tcPr>
            <w:tcW w:w="8600" w:type="dxa"/>
            <w:gridSpan w:val="3"/>
            <w:tcBorders>
              <w:top w:val="single" w:sz="4" w:space="0" w:color="auto"/>
              <w:left w:val="single" w:sz="4" w:space="0" w:color="auto"/>
              <w:bottom w:val="single" w:sz="4" w:space="0" w:color="auto"/>
              <w:right w:val="single" w:sz="4" w:space="0" w:color="000000"/>
            </w:tcBorders>
            <w:vAlign w:val="center"/>
          </w:tcPr>
          <w:p w:rsidR="00FC3217" w:rsidRDefault="00FC3217" w:rsidP="007E5952">
            <w:pPr>
              <w:widowControl/>
              <w:jc w:val="left"/>
              <w:rPr>
                <w:rFonts w:ascii="宋体" w:hAnsi="宋体" w:cs="宋体"/>
                <w:b/>
                <w:bCs/>
                <w:color w:val="000000"/>
                <w:kern w:val="0"/>
                <w:sz w:val="22"/>
              </w:rPr>
            </w:pPr>
            <w:r>
              <w:rPr>
                <w:rFonts w:ascii="宋体" w:hAnsi="宋体" w:cs="宋体" w:hint="eastAsia"/>
                <w:b/>
                <w:bCs/>
                <w:color w:val="000000"/>
                <w:kern w:val="0"/>
                <w:sz w:val="22"/>
              </w:rPr>
              <w:t>四、风险评估</w:t>
            </w:r>
          </w:p>
        </w:tc>
      </w:tr>
      <w:tr w:rsidR="00FC3217" w:rsidTr="007E5952">
        <w:trPr>
          <w:trHeight w:val="377"/>
        </w:trPr>
        <w:tc>
          <w:tcPr>
            <w:tcW w:w="7000" w:type="dxa"/>
            <w:gridSpan w:val="2"/>
            <w:tcBorders>
              <w:top w:val="nil"/>
              <w:left w:val="single" w:sz="4" w:space="0" w:color="auto"/>
              <w:right w:val="single" w:sz="4" w:space="0" w:color="auto"/>
            </w:tcBorders>
            <w:vAlign w:val="center"/>
          </w:tcPr>
          <w:p w:rsidR="00FC3217" w:rsidRDefault="00FC3217" w:rsidP="007E5952">
            <w:pPr>
              <w:widowControl/>
              <w:ind w:firstLineChars="550" w:firstLine="1155"/>
              <w:rPr>
                <w:rFonts w:ascii="仿宋_GB2312" w:eastAsia="仿宋_GB2312" w:hAnsi="宋体" w:cs="宋体"/>
                <w:color w:val="000000"/>
                <w:kern w:val="0"/>
                <w:sz w:val="18"/>
                <w:szCs w:val="21"/>
              </w:rPr>
            </w:pPr>
            <w:r>
              <w:rPr>
                <w:rFonts w:ascii="仿宋_GB2312" w:eastAsia="仿宋_GB2312" w:hAnsi="宋体" w:cs="宋体" w:hint="eastAsia"/>
                <w:color w:val="000000"/>
                <w:kern w:val="0"/>
                <w:szCs w:val="21"/>
              </w:rPr>
              <w:t xml:space="preserve">  通过风险承受能力评估</w:t>
            </w:r>
          </w:p>
        </w:tc>
        <w:tc>
          <w:tcPr>
            <w:tcW w:w="1600" w:type="dxa"/>
            <w:tcBorders>
              <w:top w:val="nil"/>
              <w:left w:val="nil"/>
              <w:right w:val="single" w:sz="4" w:space="0" w:color="auto"/>
            </w:tcBorders>
            <w:vAlign w:val="center"/>
          </w:tcPr>
          <w:p w:rsidR="00FC3217" w:rsidRDefault="00FC3217" w:rsidP="007E5952">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r>
      <w:tr w:rsidR="00FC3217" w:rsidTr="007E5952">
        <w:trPr>
          <w:trHeight w:val="270"/>
        </w:trPr>
        <w:tc>
          <w:tcPr>
            <w:tcW w:w="8600" w:type="dxa"/>
            <w:gridSpan w:val="3"/>
            <w:tcBorders>
              <w:top w:val="single" w:sz="4" w:space="0" w:color="auto"/>
              <w:left w:val="single" w:sz="4" w:space="0" w:color="auto"/>
              <w:bottom w:val="single" w:sz="4" w:space="0" w:color="auto"/>
              <w:right w:val="single" w:sz="4" w:space="0" w:color="000000"/>
            </w:tcBorders>
            <w:vAlign w:val="center"/>
          </w:tcPr>
          <w:p w:rsidR="00FC3217" w:rsidRDefault="00FC3217" w:rsidP="007E5952">
            <w:pPr>
              <w:widowControl/>
              <w:jc w:val="left"/>
              <w:rPr>
                <w:rFonts w:ascii="宋体" w:hAnsi="宋体" w:cs="宋体"/>
                <w:b/>
                <w:bCs/>
                <w:color w:val="000000"/>
                <w:kern w:val="0"/>
                <w:sz w:val="22"/>
              </w:rPr>
            </w:pPr>
            <w:r>
              <w:rPr>
                <w:rFonts w:ascii="宋体" w:hAnsi="宋体" w:cs="宋体" w:hint="eastAsia"/>
                <w:b/>
                <w:bCs/>
                <w:color w:val="000000"/>
                <w:kern w:val="0"/>
                <w:sz w:val="22"/>
              </w:rPr>
              <w:t>五、不良诚信记录</w:t>
            </w:r>
          </w:p>
        </w:tc>
      </w:tr>
      <w:tr w:rsidR="00FC3217" w:rsidTr="007E5952">
        <w:trPr>
          <w:trHeight w:val="373"/>
        </w:trPr>
        <w:tc>
          <w:tcPr>
            <w:tcW w:w="7000" w:type="dxa"/>
            <w:gridSpan w:val="2"/>
            <w:tcBorders>
              <w:top w:val="nil"/>
              <w:left w:val="single" w:sz="4" w:space="0" w:color="auto"/>
              <w:right w:val="single" w:sz="4" w:space="0" w:color="auto"/>
            </w:tcBorders>
            <w:vAlign w:val="center"/>
          </w:tcPr>
          <w:p w:rsidR="00FC3217" w:rsidRDefault="00FC3217" w:rsidP="007E5952">
            <w:pPr>
              <w:widowControl/>
              <w:ind w:firstLineChars="650" w:firstLine="1365"/>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无不良诚信记录</w:t>
            </w:r>
          </w:p>
        </w:tc>
        <w:tc>
          <w:tcPr>
            <w:tcW w:w="1600" w:type="dxa"/>
            <w:tcBorders>
              <w:top w:val="nil"/>
              <w:left w:val="nil"/>
              <w:right w:val="single" w:sz="4" w:space="0" w:color="auto"/>
            </w:tcBorders>
            <w:vAlign w:val="center"/>
          </w:tcPr>
          <w:p w:rsidR="00FC3217" w:rsidRDefault="00FC3217" w:rsidP="007E5952">
            <w:pPr>
              <w:widowControl/>
              <w:jc w:val="left"/>
              <w:rPr>
                <w:rFonts w:ascii="宋体" w:hAnsi="宋体" w:cs="宋体"/>
                <w:color w:val="000000"/>
                <w:kern w:val="0"/>
                <w:sz w:val="22"/>
              </w:rPr>
            </w:pPr>
            <w:r>
              <w:rPr>
                <w:rFonts w:ascii="宋体" w:hAnsi="宋体" w:cs="宋体" w:hint="eastAsia"/>
                <w:color w:val="000000"/>
                <w:kern w:val="0"/>
                <w:sz w:val="22"/>
              </w:rPr>
              <w:t xml:space="preserve">　</w:t>
            </w:r>
          </w:p>
        </w:tc>
      </w:tr>
      <w:tr w:rsidR="00FC3217" w:rsidTr="007E5952">
        <w:trPr>
          <w:trHeight w:val="270"/>
        </w:trPr>
        <w:tc>
          <w:tcPr>
            <w:tcW w:w="8600" w:type="dxa"/>
            <w:gridSpan w:val="3"/>
            <w:tcBorders>
              <w:top w:val="single" w:sz="4" w:space="0" w:color="auto"/>
              <w:left w:val="single" w:sz="4" w:space="0" w:color="auto"/>
              <w:bottom w:val="single" w:sz="4" w:space="0" w:color="auto"/>
              <w:right w:val="single" w:sz="4" w:space="0" w:color="auto"/>
            </w:tcBorders>
            <w:vAlign w:val="center"/>
          </w:tcPr>
          <w:p w:rsidR="00FC3217" w:rsidRDefault="00FC3217" w:rsidP="007E5952">
            <w:pPr>
              <w:widowControl/>
              <w:jc w:val="center"/>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本人承诺</w:t>
            </w:r>
          </w:p>
        </w:tc>
      </w:tr>
      <w:tr w:rsidR="00FC3217" w:rsidTr="007E5952">
        <w:trPr>
          <w:trHeight w:val="270"/>
        </w:trPr>
        <w:tc>
          <w:tcPr>
            <w:tcW w:w="8600" w:type="dxa"/>
            <w:gridSpan w:val="3"/>
            <w:tcBorders>
              <w:top w:val="single" w:sz="4" w:space="0" w:color="auto"/>
              <w:left w:val="single" w:sz="4" w:space="0" w:color="auto"/>
              <w:bottom w:val="single" w:sz="4" w:space="0" w:color="auto"/>
              <w:right w:val="single" w:sz="4" w:space="0" w:color="000000"/>
            </w:tcBorders>
            <w:vAlign w:val="center"/>
          </w:tcPr>
          <w:p w:rsidR="00FC3217" w:rsidRDefault="00FC3217" w:rsidP="007E5952">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1、本人对所提供相关证明材料的真实性负责，并自愿承担因材料不实导致的一切后果。</w:t>
            </w:r>
          </w:p>
        </w:tc>
      </w:tr>
      <w:tr w:rsidR="00FC3217" w:rsidTr="007E5952">
        <w:trPr>
          <w:trHeight w:val="270"/>
        </w:trPr>
        <w:tc>
          <w:tcPr>
            <w:tcW w:w="8600" w:type="dxa"/>
            <w:gridSpan w:val="3"/>
            <w:tcBorders>
              <w:top w:val="single" w:sz="4" w:space="0" w:color="auto"/>
              <w:left w:val="single" w:sz="4" w:space="0" w:color="auto"/>
              <w:bottom w:val="single" w:sz="4" w:space="0" w:color="auto"/>
              <w:right w:val="single" w:sz="4" w:space="0" w:color="auto"/>
            </w:tcBorders>
            <w:vAlign w:val="center"/>
          </w:tcPr>
          <w:p w:rsidR="00FC3217" w:rsidRDefault="00FC3217" w:rsidP="007E5952">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2、本人不存在重大未申报的不良信用记录。</w:t>
            </w:r>
          </w:p>
        </w:tc>
      </w:tr>
      <w:tr w:rsidR="00FC3217" w:rsidTr="007E5952">
        <w:trPr>
          <w:trHeight w:val="270"/>
        </w:trPr>
        <w:tc>
          <w:tcPr>
            <w:tcW w:w="8600" w:type="dxa"/>
            <w:gridSpan w:val="3"/>
            <w:tcBorders>
              <w:top w:val="single" w:sz="4" w:space="0" w:color="auto"/>
              <w:left w:val="single" w:sz="4" w:space="0" w:color="auto"/>
              <w:bottom w:val="single" w:sz="4" w:space="0" w:color="auto"/>
              <w:right w:val="single" w:sz="4" w:space="0" w:color="auto"/>
            </w:tcBorders>
            <w:vAlign w:val="center"/>
          </w:tcPr>
          <w:p w:rsidR="00FC3217" w:rsidRDefault="00FC3217" w:rsidP="007E5952">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3、本人不存在证券市场禁入以及法律、行政法规、规章和上海证券交易所业务规则禁止</w:t>
            </w:r>
          </w:p>
        </w:tc>
      </w:tr>
      <w:tr w:rsidR="00FC3217" w:rsidTr="007E5952">
        <w:trPr>
          <w:trHeight w:val="270"/>
        </w:trPr>
        <w:tc>
          <w:tcPr>
            <w:tcW w:w="8600" w:type="dxa"/>
            <w:gridSpan w:val="3"/>
            <w:tcBorders>
              <w:top w:val="single" w:sz="4" w:space="0" w:color="auto"/>
              <w:left w:val="single" w:sz="4" w:space="0" w:color="auto"/>
              <w:bottom w:val="single" w:sz="4" w:space="0" w:color="auto"/>
              <w:right w:val="single" w:sz="4" w:space="0" w:color="000000"/>
            </w:tcBorders>
            <w:vAlign w:val="center"/>
          </w:tcPr>
          <w:p w:rsidR="00FC3217" w:rsidRDefault="00FC3217" w:rsidP="007E5952">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从事期权交易的情形。</w:t>
            </w:r>
          </w:p>
        </w:tc>
      </w:tr>
      <w:tr w:rsidR="00FC3217" w:rsidTr="007E5952">
        <w:trPr>
          <w:trHeight w:val="270"/>
        </w:trPr>
        <w:tc>
          <w:tcPr>
            <w:tcW w:w="8600" w:type="dxa"/>
            <w:gridSpan w:val="3"/>
            <w:tcBorders>
              <w:top w:val="single" w:sz="4" w:space="0" w:color="auto"/>
              <w:left w:val="single" w:sz="4" w:space="0" w:color="auto"/>
              <w:bottom w:val="single" w:sz="4" w:space="0" w:color="auto"/>
              <w:right w:val="single" w:sz="4" w:space="0" w:color="auto"/>
            </w:tcBorders>
            <w:vAlign w:val="center"/>
          </w:tcPr>
          <w:p w:rsidR="00FC3217" w:rsidRDefault="00FC3217" w:rsidP="007E5952">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4、本人身体健康，不存在不适宜从事期权交易的情形。</w:t>
            </w:r>
          </w:p>
        </w:tc>
      </w:tr>
      <w:tr w:rsidR="00FC3217" w:rsidTr="007E5952">
        <w:trPr>
          <w:trHeight w:val="285"/>
        </w:trPr>
        <w:tc>
          <w:tcPr>
            <w:tcW w:w="8600" w:type="dxa"/>
            <w:gridSpan w:val="3"/>
            <w:tcBorders>
              <w:top w:val="single" w:sz="4" w:space="0" w:color="auto"/>
              <w:left w:val="single" w:sz="4" w:space="0" w:color="auto"/>
              <w:bottom w:val="single" w:sz="4" w:space="0" w:color="auto"/>
              <w:right w:val="single" w:sz="4" w:space="0" w:color="auto"/>
            </w:tcBorders>
            <w:vAlign w:val="center"/>
          </w:tcPr>
          <w:p w:rsidR="00FC3217" w:rsidRDefault="00FC3217" w:rsidP="007E5952">
            <w:pPr>
              <w:widowControl/>
              <w:jc w:val="left"/>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 xml:space="preserve">投资者（签字）：                             </w:t>
            </w:r>
            <w:r>
              <w:rPr>
                <w:rFonts w:ascii="仿宋_GB2312" w:eastAsia="仿宋_GB2312" w:hAnsi="宋体" w:cs="宋体" w:hint="eastAsia"/>
                <w:b/>
                <w:color w:val="000000"/>
                <w:kern w:val="0"/>
                <w:szCs w:val="21"/>
              </w:rPr>
              <w:t>日期：</w:t>
            </w:r>
          </w:p>
        </w:tc>
      </w:tr>
      <w:tr w:rsidR="00FC3217" w:rsidTr="007E5952">
        <w:trPr>
          <w:trHeight w:val="270"/>
        </w:trPr>
        <w:tc>
          <w:tcPr>
            <w:tcW w:w="8600" w:type="dxa"/>
            <w:gridSpan w:val="3"/>
            <w:tcBorders>
              <w:top w:val="single" w:sz="4" w:space="0" w:color="auto"/>
              <w:left w:val="single" w:sz="4" w:space="0" w:color="auto"/>
              <w:bottom w:val="single" w:sz="4" w:space="0" w:color="auto"/>
              <w:right w:val="single" w:sz="4" w:space="0" w:color="auto"/>
            </w:tcBorders>
            <w:vAlign w:val="center"/>
          </w:tcPr>
          <w:p w:rsidR="00FC3217" w:rsidRDefault="00FC3217" w:rsidP="007E5952">
            <w:pPr>
              <w:widowControl/>
              <w:jc w:val="left"/>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 xml:space="preserve">分支机构开户经办人（签字）：              </w:t>
            </w:r>
          </w:p>
        </w:tc>
      </w:tr>
      <w:tr w:rsidR="00FC3217" w:rsidTr="007E5952">
        <w:trPr>
          <w:trHeight w:val="270"/>
        </w:trPr>
        <w:tc>
          <w:tcPr>
            <w:tcW w:w="8600" w:type="dxa"/>
            <w:gridSpan w:val="3"/>
            <w:tcBorders>
              <w:top w:val="single" w:sz="4" w:space="0" w:color="auto"/>
              <w:left w:val="single" w:sz="4" w:space="0" w:color="auto"/>
              <w:bottom w:val="single" w:sz="4" w:space="0" w:color="auto"/>
              <w:right w:val="single" w:sz="4" w:space="0" w:color="auto"/>
            </w:tcBorders>
            <w:vAlign w:val="center"/>
          </w:tcPr>
          <w:p w:rsidR="00FC3217" w:rsidRDefault="00FC3217" w:rsidP="007E5952">
            <w:pPr>
              <w:widowControl/>
              <w:jc w:val="left"/>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日期：</w:t>
            </w:r>
          </w:p>
        </w:tc>
      </w:tr>
      <w:tr w:rsidR="00FC3217" w:rsidTr="007E5952">
        <w:trPr>
          <w:trHeight w:val="270"/>
        </w:trPr>
        <w:tc>
          <w:tcPr>
            <w:tcW w:w="8600" w:type="dxa"/>
            <w:gridSpan w:val="3"/>
            <w:tcBorders>
              <w:top w:val="single" w:sz="4" w:space="0" w:color="auto"/>
              <w:left w:val="single" w:sz="4" w:space="0" w:color="auto"/>
              <w:bottom w:val="single" w:sz="4" w:space="0" w:color="auto"/>
              <w:right w:val="single" w:sz="4" w:space="0" w:color="auto"/>
            </w:tcBorders>
            <w:vAlign w:val="center"/>
          </w:tcPr>
          <w:p w:rsidR="00FC3217" w:rsidRDefault="00FC3217" w:rsidP="007E5952">
            <w:pPr>
              <w:widowControl/>
              <w:jc w:val="left"/>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 xml:space="preserve">分支机构负责人或其授权人（签字）：              </w:t>
            </w:r>
          </w:p>
        </w:tc>
      </w:tr>
      <w:tr w:rsidR="00FC3217" w:rsidTr="007E5952">
        <w:trPr>
          <w:trHeight w:val="270"/>
        </w:trPr>
        <w:tc>
          <w:tcPr>
            <w:tcW w:w="8600" w:type="dxa"/>
            <w:gridSpan w:val="3"/>
            <w:tcBorders>
              <w:top w:val="single" w:sz="4" w:space="0" w:color="auto"/>
              <w:left w:val="single" w:sz="4" w:space="0" w:color="auto"/>
              <w:bottom w:val="single" w:sz="4" w:space="0" w:color="auto"/>
              <w:right w:val="single" w:sz="4" w:space="0" w:color="auto"/>
            </w:tcBorders>
            <w:vAlign w:val="center"/>
          </w:tcPr>
          <w:p w:rsidR="00FC3217" w:rsidRDefault="00FC3217" w:rsidP="007E5952">
            <w:pPr>
              <w:widowControl/>
              <w:jc w:val="left"/>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日期：</w:t>
            </w:r>
          </w:p>
        </w:tc>
      </w:tr>
      <w:tr w:rsidR="00FC3217" w:rsidTr="007E5952">
        <w:trPr>
          <w:trHeight w:val="270"/>
        </w:trPr>
        <w:tc>
          <w:tcPr>
            <w:tcW w:w="8600" w:type="dxa"/>
            <w:gridSpan w:val="3"/>
            <w:tcBorders>
              <w:top w:val="single" w:sz="4" w:space="0" w:color="auto"/>
              <w:left w:val="single" w:sz="4" w:space="0" w:color="auto"/>
              <w:bottom w:val="single" w:sz="4" w:space="0" w:color="auto"/>
              <w:right w:val="single" w:sz="4" w:space="0" w:color="auto"/>
            </w:tcBorders>
          </w:tcPr>
          <w:p w:rsidR="00FC3217" w:rsidRDefault="00FC3217" w:rsidP="007E5952">
            <w:pPr>
              <w:widowControl/>
              <w:jc w:val="left"/>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评估意见：</w:t>
            </w:r>
          </w:p>
        </w:tc>
      </w:tr>
      <w:tr w:rsidR="00FC3217" w:rsidTr="007E5952">
        <w:trPr>
          <w:trHeight w:val="570"/>
        </w:trPr>
        <w:tc>
          <w:tcPr>
            <w:tcW w:w="8600" w:type="dxa"/>
            <w:gridSpan w:val="3"/>
            <w:tcBorders>
              <w:top w:val="single" w:sz="4" w:space="0" w:color="auto"/>
              <w:left w:val="single" w:sz="4" w:space="0" w:color="auto"/>
              <w:bottom w:val="single" w:sz="4" w:space="0" w:color="auto"/>
              <w:right w:val="single" w:sz="4" w:space="0" w:color="auto"/>
            </w:tcBorders>
          </w:tcPr>
          <w:p w:rsidR="00FC3217" w:rsidRDefault="00FC3217" w:rsidP="007E5952">
            <w:pPr>
              <w:widowControl/>
              <w:jc w:val="left"/>
              <w:rPr>
                <w:rFonts w:ascii="仿宋_GB2312" w:eastAsia="仿宋_GB2312" w:hAnsi="宋体" w:cs="宋体"/>
                <w:color w:val="000000"/>
                <w:kern w:val="0"/>
                <w:sz w:val="18"/>
                <w:szCs w:val="21"/>
              </w:rPr>
            </w:pPr>
            <w:r>
              <w:rPr>
                <w:rFonts w:ascii="仿宋_GB2312" w:eastAsia="仿宋_GB2312" w:hAnsi="宋体" w:cs="宋体" w:hint="eastAsia"/>
                <w:color w:val="000000"/>
                <w:kern w:val="0"/>
                <w:szCs w:val="21"/>
              </w:rPr>
              <w:t>经综合考虑，建议授予投资者</w:t>
            </w:r>
            <w:r>
              <w:rPr>
                <w:rFonts w:ascii="仿宋_GB2312" w:eastAsia="仿宋_GB2312" w:hAnsi="宋体" w:cs="宋体"/>
                <w:color w:val="000000"/>
                <w:kern w:val="0"/>
                <w:szCs w:val="21"/>
                <w:u w:val="single"/>
              </w:rPr>
              <w:t xml:space="preserve">    </w:t>
            </w:r>
            <w:r>
              <w:rPr>
                <w:rFonts w:ascii="仿宋_GB2312" w:eastAsia="仿宋_GB2312" w:hAnsi="宋体" w:cs="宋体" w:hint="eastAsia"/>
                <w:color w:val="000000"/>
                <w:kern w:val="0"/>
                <w:szCs w:val="21"/>
              </w:rPr>
              <w:t>级股票期权交易权限。</w:t>
            </w:r>
          </w:p>
        </w:tc>
      </w:tr>
      <w:tr w:rsidR="00FC3217" w:rsidTr="007E5952">
        <w:trPr>
          <w:trHeight w:val="285"/>
        </w:trPr>
        <w:tc>
          <w:tcPr>
            <w:tcW w:w="8600" w:type="dxa"/>
            <w:gridSpan w:val="3"/>
            <w:tcBorders>
              <w:top w:val="single" w:sz="4" w:space="0" w:color="auto"/>
              <w:left w:val="single" w:sz="4" w:space="0" w:color="auto"/>
              <w:bottom w:val="single" w:sz="4" w:space="0" w:color="auto"/>
              <w:right w:val="single" w:sz="4" w:space="0" w:color="auto"/>
            </w:tcBorders>
          </w:tcPr>
          <w:p w:rsidR="00FC3217" w:rsidRDefault="00FC3217" w:rsidP="007E5952">
            <w:pPr>
              <w:widowControl/>
              <w:jc w:val="left"/>
              <w:rPr>
                <w:rFonts w:ascii="仿宋_GB2312" w:eastAsia="仿宋_GB2312" w:hAnsi="宋体" w:cs="宋体"/>
                <w:b/>
                <w:bCs/>
                <w:color w:val="000000"/>
                <w:kern w:val="0"/>
                <w:szCs w:val="21"/>
              </w:rPr>
            </w:pPr>
            <w:r>
              <w:rPr>
                <w:rFonts w:ascii="仿宋_GB2312" w:eastAsia="仿宋_GB2312" w:hAnsi="宋体" w:cs="宋体" w:hint="eastAsia"/>
                <w:b/>
                <w:bCs/>
                <w:color w:val="000000"/>
                <w:kern w:val="0"/>
                <w:szCs w:val="21"/>
              </w:rPr>
              <w:t>提示：评估意见不构成投资建议，亦不构成对投资者的获利保证。</w:t>
            </w:r>
          </w:p>
        </w:tc>
      </w:tr>
    </w:tbl>
    <w:p w:rsidR="00FC3217" w:rsidRDefault="00FC3217" w:rsidP="00FC3217">
      <w:pPr>
        <w:widowControl/>
        <w:jc w:val="left"/>
        <w:rPr>
          <w:rFonts w:ascii="仿宋_GB2312" w:eastAsia="仿宋_GB2312" w:hAnsi="黑体"/>
          <w:color w:val="000000"/>
          <w:szCs w:val="20"/>
        </w:rPr>
      </w:pPr>
    </w:p>
    <w:p w:rsidR="00FC3217" w:rsidRDefault="00FC3217" w:rsidP="00FC3217">
      <w:pPr>
        <w:pStyle w:val="2"/>
        <w:ind w:firstLine="562"/>
      </w:pPr>
      <w:bookmarkStart w:id="576" w:name="_Toc406436508"/>
      <w:bookmarkStart w:id="577" w:name="_Toc406438935"/>
      <w:bookmarkStart w:id="578" w:name="_Toc406438957"/>
      <w:bookmarkStart w:id="579" w:name="_Toc406439142"/>
      <w:bookmarkStart w:id="580" w:name="_Toc408301011"/>
      <w:bookmarkStart w:id="581" w:name="_Toc408749948"/>
      <w:bookmarkStart w:id="582" w:name="_Toc9196"/>
      <w:bookmarkStart w:id="583" w:name="_Toc22026"/>
      <w:bookmarkStart w:id="584" w:name="_Toc4650"/>
      <w:bookmarkStart w:id="585" w:name="_Toc22267"/>
      <w:bookmarkStart w:id="586" w:name="_Toc23947041"/>
      <w:bookmarkEnd w:id="558"/>
      <w:bookmarkEnd w:id="559"/>
      <w:bookmarkEnd w:id="560"/>
      <w:bookmarkEnd w:id="561"/>
      <w:r>
        <w:rPr>
          <w:rFonts w:hint="eastAsia"/>
        </w:rPr>
        <w:lastRenderedPageBreak/>
        <w:t>附件三：上海证券交易所股票期权经纪业务申请流程</w:t>
      </w:r>
      <w:bookmarkEnd w:id="576"/>
      <w:bookmarkEnd w:id="577"/>
      <w:bookmarkEnd w:id="578"/>
      <w:bookmarkEnd w:id="579"/>
      <w:bookmarkEnd w:id="580"/>
      <w:r>
        <w:rPr>
          <w:rFonts w:hint="eastAsia"/>
        </w:rPr>
        <w:t>图</w:t>
      </w:r>
      <w:bookmarkEnd w:id="581"/>
      <w:bookmarkEnd w:id="582"/>
      <w:bookmarkEnd w:id="583"/>
      <w:bookmarkEnd w:id="584"/>
      <w:bookmarkEnd w:id="585"/>
      <w:bookmarkEnd w:id="586"/>
    </w:p>
    <w:p w:rsidR="00FC3217" w:rsidRDefault="00FC3217" w:rsidP="00FC3217">
      <w:r>
        <w:object w:dxaOrig="10408" w:dyaOrig="185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1" o:spid="_x0000_i1025" type="#_x0000_t75" style="width:389.25pt;height:604.5pt;mso-position-horizontal-relative:page;mso-position-vertical-relative:page" o:ole="">
            <v:imagedata r:id="rId19" o:title=""/>
          </v:shape>
          <o:OLEObject Type="Embed" ProgID="Visio.Drawing.11" ShapeID="对象 1" DrawAspect="Content" ObjectID="_1658917386" r:id="rId20"/>
        </w:object>
      </w:r>
    </w:p>
    <w:p w:rsidR="00FC3217" w:rsidRDefault="00FC3217" w:rsidP="00FC3217"/>
    <w:p w:rsidR="00FC3217" w:rsidRDefault="00FC3217" w:rsidP="00FC3217"/>
    <w:p w:rsidR="00FC3217" w:rsidRDefault="00FC3217" w:rsidP="00FC3217">
      <w:pPr>
        <w:pStyle w:val="2"/>
        <w:ind w:firstLine="562"/>
        <w:rPr>
          <w:rFonts w:ascii="仿宋_GB2312" w:hAnsi="Times New Roman" w:cs="宋体"/>
          <w:kern w:val="0"/>
          <w:sz w:val="24"/>
          <w:szCs w:val="28"/>
        </w:rPr>
      </w:pPr>
      <w:bookmarkStart w:id="587" w:name="_Toc7759"/>
      <w:bookmarkStart w:id="588" w:name="_Toc23947042"/>
      <w:r>
        <w:rPr>
          <w:rFonts w:hint="eastAsia"/>
        </w:rPr>
        <w:lastRenderedPageBreak/>
        <w:t>附件四</w:t>
      </w:r>
      <w:bookmarkEnd w:id="587"/>
      <w:bookmarkEnd w:id="588"/>
      <w:r>
        <w:rPr>
          <w:rFonts w:hint="eastAsia"/>
        </w:rPr>
        <w:t xml:space="preserve"> </w:t>
      </w:r>
    </w:p>
    <w:p w:rsidR="00FC3217" w:rsidRDefault="00FC3217" w:rsidP="00FC3217">
      <w:pPr>
        <w:pStyle w:val="2"/>
        <w:ind w:firstLineChars="0" w:firstLine="0"/>
        <w:rPr>
          <w:rFonts w:ascii="仿宋_GB2312" w:hAnsi="Times New Roman" w:cs="宋体"/>
          <w:kern w:val="0"/>
          <w:sz w:val="24"/>
          <w:szCs w:val="28"/>
        </w:rPr>
      </w:pPr>
    </w:p>
    <w:p w:rsidR="00FC3217" w:rsidRDefault="00FC3217" w:rsidP="00FC3217">
      <w:pPr>
        <w:pStyle w:val="2"/>
        <w:ind w:firstLineChars="0" w:firstLine="0"/>
        <w:rPr>
          <w:rFonts w:ascii="仿宋_GB2312" w:hAnsi="Times New Roman" w:cs="宋体"/>
          <w:kern w:val="0"/>
          <w:sz w:val="24"/>
          <w:szCs w:val="28"/>
        </w:rPr>
      </w:pPr>
    </w:p>
    <w:p w:rsidR="00FC3217" w:rsidRDefault="00FC3217" w:rsidP="00FC3217">
      <w:pPr>
        <w:pStyle w:val="2"/>
        <w:ind w:firstLineChars="0" w:firstLine="0"/>
        <w:jc w:val="center"/>
        <w:rPr>
          <w:rFonts w:ascii="仿宋_GB2312" w:hAnsi="Times New Roman" w:cs="宋体"/>
          <w:b w:val="0"/>
          <w:kern w:val="0"/>
          <w:sz w:val="36"/>
          <w:szCs w:val="36"/>
        </w:rPr>
      </w:pPr>
      <w:bookmarkStart w:id="589" w:name="_Toc452021534"/>
      <w:bookmarkStart w:id="590" w:name="_Toc2778"/>
      <w:bookmarkStart w:id="591" w:name="_Toc1376"/>
      <w:bookmarkStart w:id="592" w:name="_Toc23947043"/>
      <w:r>
        <w:rPr>
          <w:rFonts w:ascii="仿宋_GB2312" w:hAnsi="Times New Roman" w:cs="宋体" w:hint="eastAsia"/>
          <w:kern w:val="0"/>
          <w:sz w:val="36"/>
          <w:szCs w:val="36"/>
        </w:rPr>
        <w:t>股票期权业务程序交易报备表</w:t>
      </w:r>
      <w:bookmarkEnd w:id="589"/>
      <w:bookmarkEnd w:id="590"/>
      <w:bookmarkEnd w:id="591"/>
      <w:bookmarkEnd w:id="592"/>
    </w:p>
    <w:tbl>
      <w:tblPr>
        <w:tblW w:w="0" w:type="auto"/>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
        <w:gridCol w:w="708"/>
        <w:gridCol w:w="1133"/>
        <w:gridCol w:w="848"/>
        <w:gridCol w:w="566"/>
        <w:gridCol w:w="1274"/>
        <w:gridCol w:w="849"/>
        <w:gridCol w:w="566"/>
        <w:gridCol w:w="636"/>
        <w:gridCol w:w="71"/>
        <w:gridCol w:w="1132"/>
        <w:gridCol w:w="283"/>
        <w:gridCol w:w="142"/>
        <w:gridCol w:w="2264"/>
      </w:tblGrid>
      <w:tr w:rsidR="00FC3217" w:rsidTr="007E5952">
        <w:trPr>
          <w:gridBefore w:val="1"/>
          <w:wBefore w:w="20" w:type="dxa"/>
          <w:trHeight w:val="552"/>
        </w:trPr>
        <w:tc>
          <w:tcPr>
            <w:tcW w:w="2689" w:type="dxa"/>
            <w:gridSpan w:val="3"/>
          </w:tcPr>
          <w:p w:rsidR="00FC3217" w:rsidRDefault="00FC3217" w:rsidP="00021BE0">
            <w:pPr>
              <w:spacing w:beforeLines="50" w:afterLines="50"/>
              <w:rPr>
                <w:rFonts w:ascii="仿宋_GB2312" w:eastAsia="仿宋_GB2312" w:hAnsi="Times New Roman" w:cs="宋体"/>
                <w:sz w:val="24"/>
                <w:szCs w:val="24"/>
              </w:rPr>
            </w:pPr>
            <w:r>
              <w:rPr>
                <w:rFonts w:ascii="仿宋_GB2312" w:eastAsia="仿宋_GB2312" w:hAnsi="Times New Roman" w:cs="宋体" w:hint="eastAsia"/>
                <w:sz w:val="24"/>
                <w:szCs w:val="24"/>
              </w:rPr>
              <w:t>期权经营机构名称</w:t>
            </w:r>
          </w:p>
        </w:tc>
        <w:tc>
          <w:tcPr>
            <w:tcW w:w="2689" w:type="dxa"/>
            <w:gridSpan w:val="3"/>
          </w:tcPr>
          <w:p w:rsidR="00173848" w:rsidRDefault="00173848" w:rsidP="00021BE0">
            <w:pPr>
              <w:spacing w:beforeLines="50" w:afterLines="50"/>
              <w:rPr>
                <w:rFonts w:ascii="仿宋_GB2312" w:eastAsia="仿宋_GB2312" w:hAnsi="Times New Roman" w:cs="宋体"/>
                <w:sz w:val="24"/>
                <w:szCs w:val="24"/>
              </w:rPr>
            </w:pPr>
          </w:p>
        </w:tc>
        <w:tc>
          <w:tcPr>
            <w:tcW w:w="2405" w:type="dxa"/>
            <w:gridSpan w:val="4"/>
          </w:tcPr>
          <w:p w:rsidR="00173848" w:rsidRDefault="00FC3217" w:rsidP="00021BE0">
            <w:pPr>
              <w:spacing w:beforeLines="50" w:afterLines="50"/>
              <w:rPr>
                <w:rFonts w:ascii="仿宋_GB2312" w:eastAsia="仿宋_GB2312" w:hAnsi="Times New Roman" w:cs="宋体"/>
                <w:sz w:val="24"/>
                <w:szCs w:val="24"/>
              </w:rPr>
            </w:pPr>
            <w:r>
              <w:rPr>
                <w:rFonts w:ascii="仿宋_GB2312" w:eastAsia="仿宋_GB2312" w:hAnsi="Times New Roman" w:cs="宋体" w:hint="eastAsia"/>
                <w:sz w:val="24"/>
                <w:szCs w:val="24"/>
              </w:rPr>
              <w:t>期权经营机构编码</w:t>
            </w:r>
          </w:p>
        </w:tc>
        <w:tc>
          <w:tcPr>
            <w:tcW w:w="2689" w:type="dxa"/>
            <w:gridSpan w:val="3"/>
          </w:tcPr>
          <w:p w:rsidR="00173848" w:rsidRDefault="00173848" w:rsidP="00021BE0">
            <w:pPr>
              <w:spacing w:beforeLines="50" w:afterLines="50"/>
              <w:rPr>
                <w:rFonts w:ascii="仿宋_GB2312" w:eastAsia="仿宋_GB2312" w:hAnsi="Times New Roman" w:cs="宋体"/>
                <w:sz w:val="24"/>
                <w:szCs w:val="24"/>
              </w:rPr>
            </w:pPr>
          </w:p>
        </w:tc>
      </w:tr>
      <w:tr w:rsidR="00FC3217" w:rsidTr="007E5952">
        <w:trPr>
          <w:gridBefore w:val="1"/>
          <w:wBefore w:w="20" w:type="dxa"/>
        </w:trPr>
        <w:tc>
          <w:tcPr>
            <w:tcW w:w="2689" w:type="dxa"/>
            <w:gridSpan w:val="3"/>
            <w:tcBorders>
              <w:bottom w:val="single" w:sz="4" w:space="0" w:color="auto"/>
            </w:tcBorders>
          </w:tcPr>
          <w:p w:rsidR="00FC3217" w:rsidRDefault="00FC3217" w:rsidP="00021BE0">
            <w:pPr>
              <w:spacing w:beforeLines="50" w:afterLines="50"/>
              <w:rPr>
                <w:rFonts w:ascii="仿宋_GB2312" w:eastAsia="仿宋_GB2312" w:hAnsi="Times New Roman" w:cs="宋体"/>
                <w:sz w:val="24"/>
                <w:szCs w:val="24"/>
              </w:rPr>
            </w:pPr>
            <w:r>
              <w:rPr>
                <w:rFonts w:ascii="仿宋_GB2312" w:eastAsia="仿宋_GB2312" w:hAnsi="Times New Roman" w:cs="宋体" w:hint="eastAsia"/>
                <w:sz w:val="24"/>
                <w:szCs w:val="24"/>
              </w:rPr>
              <w:t>报备账户类型</w:t>
            </w:r>
          </w:p>
        </w:tc>
        <w:tc>
          <w:tcPr>
            <w:tcW w:w="2689" w:type="dxa"/>
            <w:gridSpan w:val="3"/>
            <w:tcBorders>
              <w:bottom w:val="single" w:sz="4" w:space="0" w:color="auto"/>
            </w:tcBorders>
          </w:tcPr>
          <w:p w:rsidR="00173848" w:rsidRDefault="00FC3217" w:rsidP="00021BE0">
            <w:pPr>
              <w:pStyle w:val="af2"/>
              <w:numPr>
                <w:ilvl w:val="0"/>
                <w:numId w:val="6"/>
              </w:numPr>
              <w:spacing w:beforeLines="50" w:afterLines="50"/>
              <w:ind w:firstLineChars="0"/>
              <w:rPr>
                <w:rFonts w:hAnsi="Times New Roman" w:cs="宋体"/>
                <w:sz w:val="24"/>
              </w:rPr>
            </w:pPr>
            <w:r>
              <w:rPr>
                <w:rFonts w:hAnsi="Times New Roman" w:cs="宋体" w:hint="eastAsia"/>
                <w:sz w:val="24"/>
              </w:rPr>
              <w:t>首次报备</w:t>
            </w:r>
          </w:p>
          <w:p w:rsidR="00173848" w:rsidRDefault="00FC3217" w:rsidP="00021BE0">
            <w:pPr>
              <w:pStyle w:val="af2"/>
              <w:numPr>
                <w:ilvl w:val="0"/>
                <w:numId w:val="6"/>
              </w:numPr>
              <w:spacing w:beforeLines="50" w:afterLines="50"/>
              <w:ind w:firstLineChars="0"/>
              <w:rPr>
                <w:rFonts w:hAnsi="Times New Roman" w:cs="宋体"/>
                <w:sz w:val="24"/>
              </w:rPr>
            </w:pPr>
            <w:r>
              <w:rPr>
                <w:rFonts w:hAnsi="Times New Roman" w:cs="宋体" w:hint="eastAsia"/>
                <w:sz w:val="24"/>
              </w:rPr>
              <w:t>变更报备</w:t>
            </w:r>
          </w:p>
          <w:p w:rsidR="00173848" w:rsidRDefault="00FC3217" w:rsidP="00021BE0">
            <w:pPr>
              <w:pStyle w:val="af2"/>
              <w:numPr>
                <w:ilvl w:val="0"/>
                <w:numId w:val="6"/>
              </w:numPr>
              <w:spacing w:beforeLines="50" w:afterLines="50"/>
              <w:ind w:firstLineChars="0"/>
              <w:rPr>
                <w:rFonts w:hAnsi="Times New Roman" w:cs="宋体"/>
                <w:sz w:val="24"/>
              </w:rPr>
            </w:pPr>
            <w:r>
              <w:rPr>
                <w:rFonts w:hAnsi="Times New Roman" w:cs="宋体" w:hint="eastAsia"/>
                <w:sz w:val="24"/>
              </w:rPr>
              <w:t>撤销报备</w:t>
            </w:r>
          </w:p>
        </w:tc>
        <w:tc>
          <w:tcPr>
            <w:tcW w:w="2405" w:type="dxa"/>
            <w:gridSpan w:val="4"/>
            <w:tcBorders>
              <w:bottom w:val="single" w:sz="4" w:space="0" w:color="auto"/>
            </w:tcBorders>
          </w:tcPr>
          <w:p w:rsidR="00173848" w:rsidRDefault="00FC3217" w:rsidP="00021BE0">
            <w:pPr>
              <w:spacing w:beforeLines="50" w:afterLines="50"/>
              <w:rPr>
                <w:rFonts w:ascii="仿宋_GB2312" w:eastAsia="仿宋_GB2312" w:hAnsi="Times New Roman" w:cs="宋体"/>
                <w:sz w:val="24"/>
                <w:szCs w:val="24"/>
              </w:rPr>
            </w:pPr>
            <w:r>
              <w:rPr>
                <w:rFonts w:ascii="仿宋_GB2312" w:eastAsia="仿宋_GB2312" w:hAnsi="Times New Roman" w:cs="宋体" w:hint="eastAsia"/>
                <w:sz w:val="24"/>
                <w:szCs w:val="24"/>
              </w:rPr>
              <w:t>报备账户类型</w:t>
            </w:r>
          </w:p>
        </w:tc>
        <w:tc>
          <w:tcPr>
            <w:tcW w:w="2689" w:type="dxa"/>
            <w:gridSpan w:val="3"/>
            <w:tcBorders>
              <w:bottom w:val="single" w:sz="4" w:space="0" w:color="auto"/>
            </w:tcBorders>
          </w:tcPr>
          <w:p w:rsidR="00173848" w:rsidRDefault="00FC3217" w:rsidP="00021BE0">
            <w:pPr>
              <w:pStyle w:val="af2"/>
              <w:numPr>
                <w:ilvl w:val="0"/>
                <w:numId w:val="6"/>
              </w:numPr>
              <w:spacing w:beforeLines="50" w:afterLines="50"/>
              <w:ind w:firstLineChars="0"/>
              <w:rPr>
                <w:rFonts w:hAnsi="Times New Roman" w:cs="宋体"/>
                <w:sz w:val="24"/>
              </w:rPr>
            </w:pPr>
            <w:r>
              <w:rPr>
                <w:rFonts w:hAnsi="Times New Roman" w:cs="宋体" w:hint="eastAsia"/>
                <w:sz w:val="24"/>
              </w:rPr>
              <w:t>个人账户</w:t>
            </w:r>
          </w:p>
          <w:p w:rsidR="00173848" w:rsidRDefault="00FC3217" w:rsidP="00021BE0">
            <w:pPr>
              <w:pStyle w:val="af2"/>
              <w:numPr>
                <w:ilvl w:val="0"/>
                <w:numId w:val="6"/>
              </w:numPr>
              <w:spacing w:beforeLines="50" w:afterLines="50"/>
              <w:ind w:firstLineChars="0"/>
              <w:rPr>
                <w:rFonts w:hAnsi="Times New Roman" w:cs="宋体"/>
                <w:sz w:val="24"/>
              </w:rPr>
            </w:pPr>
            <w:r>
              <w:rPr>
                <w:rFonts w:hAnsi="Times New Roman" w:cs="宋体" w:hint="eastAsia"/>
                <w:sz w:val="24"/>
              </w:rPr>
              <w:t>机构账户</w:t>
            </w:r>
          </w:p>
        </w:tc>
      </w:tr>
      <w:tr w:rsidR="00FC3217" w:rsidTr="007E5952">
        <w:trPr>
          <w:gridBefore w:val="1"/>
          <w:wBefore w:w="20" w:type="dxa"/>
        </w:trPr>
        <w:tc>
          <w:tcPr>
            <w:tcW w:w="10472" w:type="dxa"/>
            <w:gridSpan w:val="13"/>
            <w:shd w:val="clear" w:color="auto" w:fill="63B86C"/>
          </w:tcPr>
          <w:p w:rsidR="00FC3217" w:rsidRDefault="00FC3217" w:rsidP="00021BE0">
            <w:pPr>
              <w:spacing w:beforeLines="50" w:afterLines="50"/>
              <w:jc w:val="center"/>
              <w:rPr>
                <w:rFonts w:ascii="仿宋_GB2312" w:eastAsia="仿宋_GB2312" w:hAnsi="Times New Roman" w:cs="宋体"/>
                <w:b/>
                <w:sz w:val="24"/>
                <w:szCs w:val="24"/>
              </w:rPr>
            </w:pPr>
            <w:r>
              <w:rPr>
                <w:rFonts w:ascii="仿宋_GB2312" w:eastAsia="仿宋_GB2312" w:hAnsi="Times New Roman" w:cs="宋体" w:hint="eastAsia"/>
                <w:b/>
                <w:sz w:val="24"/>
                <w:szCs w:val="24"/>
              </w:rPr>
              <w:t>个人账户报备信息（个人账户填写）</w:t>
            </w:r>
          </w:p>
        </w:tc>
      </w:tr>
      <w:tr w:rsidR="00FC3217" w:rsidTr="007E5952">
        <w:trPr>
          <w:gridBefore w:val="1"/>
          <w:wBefore w:w="20" w:type="dxa"/>
        </w:trPr>
        <w:tc>
          <w:tcPr>
            <w:tcW w:w="2689" w:type="dxa"/>
            <w:gridSpan w:val="3"/>
          </w:tcPr>
          <w:p w:rsidR="00FC3217" w:rsidRDefault="00FC3217" w:rsidP="00021BE0">
            <w:pPr>
              <w:spacing w:beforeLines="50" w:afterLines="50"/>
              <w:rPr>
                <w:rFonts w:ascii="仿宋_GB2312" w:eastAsia="仿宋_GB2312" w:hAnsi="Times New Roman" w:cs="宋体"/>
                <w:sz w:val="24"/>
                <w:szCs w:val="24"/>
              </w:rPr>
            </w:pPr>
            <w:r>
              <w:rPr>
                <w:rFonts w:ascii="仿宋_GB2312" w:eastAsia="仿宋_GB2312" w:hAnsi="Times New Roman" w:cs="宋体" w:hint="eastAsia"/>
                <w:sz w:val="24"/>
                <w:szCs w:val="24"/>
              </w:rPr>
              <w:t>账户名称</w:t>
            </w:r>
          </w:p>
        </w:tc>
        <w:tc>
          <w:tcPr>
            <w:tcW w:w="2689" w:type="dxa"/>
            <w:gridSpan w:val="3"/>
          </w:tcPr>
          <w:p w:rsidR="00173848" w:rsidRDefault="00173848" w:rsidP="00021BE0">
            <w:pPr>
              <w:spacing w:beforeLines="50" w:afterLines="50"/>
              <w:rPr>
                <w:rFonts w:ascii="仿宋_GB2312" w:eastAsia="仿宋_GB2312" w:hAnsi="Times New Roman" w:cs="宋体"/>
                <w:sz w:val="24"/>
                <w:szCs w:val="24"/>
              </w:rPr>
            </w:pPr>
          </w:p>
        </w:tc>
        <w:tc>
          <w:tcPr>
            <w:tcW w:w="2405" w:type="dxa"/>
            <w:gridSpan w:val="4"/>
          </w:tcPr>
          <w:p w:rsidR="00173848" w:rsidRDefault="00FC3217" w:rsidP="00021BE0">
            <w:pPr>
              <w:spacing w:beforeLines="50" w:afterLines="50"/>
              <w:rPr>
                <w:rFonts w:ascii="仿宋_GB2312" w:eastAsia="仿宋_GB2312" w:hAnsi="Times New Roman" w:cs="宋体"/>
                <w:sz w:val="24"/>
                <w:szCs w:val="24"/>
              </w:rPr>
            </w:pPr>
            <w:r>
              <w:rPr>
                <w:rFonts w:ascii="仿宋_GB2312" w:eastAsia="仿宋_GB2312" w:hAnsi="Times New Roman" w:cs="宋体" w:hint="eastAsia"/>
                <w:sz w:val="24"/>
                <w:szCs w:val="24"/>
              </w:rPr>
              <w:t>合约账户</w:t>
            </w:r>
          </w:p>
        </w:tc>
        <w:tc>
          <w:tcPr>
            <w:tcW w:w="2689" w:type="dxa"/>
            <w:gridSpan w:val="3"/>
          </w:tcPr>
          <w:p w:rsidR="00173848" w:rsidRDefault="00173848" w:rsidP="00021BE0">
            <w:pPr>
              <w:spacing w:beforeLines="50" w:afterLines="50"/>
              <w:rPr>
                <w:rFonts w:ascii="仿宋_GB2312" w:eastAsia="仿宋_GB2312" w:hAnsi="Times New Roman" w:cs="宋体"/>
                <w:sz w:val="24"/>
                <w:szCs w:val="24"/>
              </w:rPr>
            </w:pPr>
          </w:p>
        </w:tc>
      </w:tr>
      <w:tr w:rsidR="00FC3217" w:rsidTr="007E5952">
        <w:trPr>
          <w:gridBefore w:val="1"/>
          <w:wBefore w:w="20" w:type="dxa"/>
        </w:trPr>
        <w:tc>
          <w:tcPr>
            <w:tcW w:w="2689" w:type="dxa"/>
            <w:gridSpan w:val="3"/>
          </w:tcPr>
          <w:p w:rsidR="00FC3217" w:rsidRDefault="00FC3217" w:rsidP="00021BE0">
            <w:pPr>
              <w:spacing w:beforeLines="50" w:afterLines="50"/>
              <w:rPr>
                <w:rFonts w:ascii="仿宋_GB2312" w:eastAsia="仿宋_GB2312" w:hAnsi="Times New Roman" w:cs="宋体"/>
                <w:sz w:val="24"/>
                <w:szCs w:val="24"/>
              </w:rPr>
            </w:pPr>
            <w:r>
              <w:rPr>
                <w:rFonts w:ascii="仿宋_GB2312" w:eastAsia="仿宋_GB2312" w:hAnsi="Times New Roman" w:cs="宋体" w:hint="eastAsia"/>
                <w:sz w:val="24"/>
                <w:szCs w:val="24"/>
              </w:rPr>
              <w:t>两融账户</w:t>
            </w:r>
          </w:p>
        </w:tc>
        <w:tc>
          <w:tcPr>
            <w:tcW w:w="2689" w:type="dxa"/>
            <w:gridSpan w:val="3"/>
          </w:tcPr>
          <w:p w:rsidR="00173848" w:rsidRDefault="00173848" w:rsidP="00021BE0">
            <w:pPr>
              <w:spacing w:beforeLines="50" w:afterLines="50"/>
              <w:rPr>
                <w:rFonts w:ascii="仿宋_GB2312" w:eastAsia="仿宋_GB2312" w:hAnsi="Times New Roman" w:cs="宋体"/>
                <w:sz w:val="24"/>
                <w:szCs w:val="24"/>
              </w:rPr>
            </w:pPr>
          </w:p>
        </w:tc>
        <w:tc>
          <w:tcPr>
            <w:tcW w:w="2405" w:type="dxa"/>
            <w:gridSpan w:val="4"/>
          </w:tcPr>
          <w:p w:rsidR="00173848" w:rsidRDefault="00FC3217" w:rsidP="00021BE0">
            <w:pPr>
              <w:spacing w:beforeLines="50" w:afterLines="50"/>
              <w:rPr>
                <w:rFonts w:ascii="仿宋_GB2312" w:eastAsia="仿宋_GB2312" w:hAnsi="Times New Roman" w:cs="宋体"/>
                <w:sz w:val="24"/>
                <w:szCs w:val="24"/>
              </w:rPr>
            </w:pPr>
            <w:r>
              <w:rPr>
                <w:rFonts w:ascii="仿宋_GB2312" w:eastAsia="仿宋_GB2312" w:hAnsi="Times New Roman" w:cs="宋体" w:hint="eastAsia"/>
                <w:sz w:val="24"/>
                <w:szCs w:val="24"/>
              </w:rPr>
              <w:t>期货账户</w:t>
            </w:r>
          </w:p>
        </w:tc>
        <w:tc>
          <w:tcPr>
            <w:tcW w:w="2689" w:type="dxa"/>
            <w:gridSpan w:val="3"/>
          </w:tcPr>
          <w:p w:rsidR="00173848" w:rsidRDefault="00173848" w:rsidP="00021BE0">
            <w:pPr>
              <w:spacing w:beforeLines="50" w:afterLines="50"/>
              <w:rPr>
                <w:rFonts w:ascii="仿宋_GB2312" w:eastAsia="仿宋_GB2312" w:hAnsi="Times New Roman" w:cs="宋体"/>
                <w:sz w:val="24"/>
                <w:szCs w:val="24"/>
              </w:rPr>
            </w:pPr>
          </w:p>
        </w:tc>
      </w:tr>
      <w:tr w:rsidR="00FC3217" w:rsidTr="007E5952">
        <w:trPr>
          <w:gridBefore w:val="1"/>
          <w:wBefore w:w="20" w:type="dxa"/>
        </w:trPr>
        <w:tc>
          <w:tcPr>
            <w:tcW w:w="2689" w:type="dxa"/>
            <w:gridSpan w:val="3"/>
          </w:tcPr>
          <w:p w:rsidR="00FC3217" w:rsidRDefault="00FC3217" w:rsidP="00021BE0">
            <w:pPr>
              <w:spacing w:beforeLines="50" w:afterLines="50"/>
              <w:rPr>
                <w:rFonts w:ascii="仿宋_GB2312" w:eastAsia="仿宋_GB2312" w:hAnsi="Times New Roman" w:cs="宋体"/>
                <w:sz w:val="24"/>
                <w:szCs w:val="24"/>
              </w:rPr>
            </w:pPr>
            <w:r>
              <w:rPr>
                <w:rFonts w:ascii="仿宋_GB2312" w:eastAsia="仿宋_GB2312" w:hAnsi="Times New Roman" w:cs="宋体" w:hint="eastAsia"/>
                <w:sz w:val="24"/>
                <w:szCs w:val="24"/>
              </w:rPr>
              <w:t>身份证或开户有效证件</w:t>
            </w:r>
          </w:p>
        </w:tc>
        <w:tc>
          <w:tcPr>
            <w:tcW w:w="2689" w:type="dxa"/>
            <w:gridSpan w:val="3"/>
          </w:tcPr>
          <w:p w:rsidR="00173848" w:rsidRDefault="00173848" w:rsidP="00021BE0">
            <w:pPr>
              <w:spacing w:beforeLines="50" w:afterLines="50"/>
              <w:rPr>
                <w:rFonts w:ascii="仿宋_GB2312" w:eastAsia="仿宋_GB2312" w:hAnsi="Times New Roman" w:cs="宋体"/>
                <w:sz w:val="24"/>
                <w:szCs w:val="24"/>
              </w:rPr>
            </w:pPr>
          </w:p>
        </w:tc>
        <w:tc>
          <w:tcPr>
            <w:tcW w:w="2405" w:type="dxa"/>
            <w:gridSpan w:val="4"/>
          </w:tcPr>
          <w:p w:rsidR="00173848" w:rsidRDefault="00FC3217" w:rsidP="00021BE0">
            <w:pPr>
              <w:spacing w:beforeLines="50" w:afterLines="50"/>
              <w:rPr>
                <w:rFonts w:ascii="仿宋_GB2312" w:eastAsia="仿宋_GB2312" w:hAnsi="Times New Roman" w:cs="宋体"/>
                <w:sz w:val="24"/>
                <w:szCs w:val="24"/>
              </w:rPr>
            </w:pPr>
            <w:r>
              <w:rPr>
                <w:rFonts w:ascii="仿宋_GB2312" w:eastAsia="仿宋_GB2312" w:hAnsi="Times New Roman" w:cs="宋体" w:hint="eastAsia"/>
                <w:sz w:val="24"/>
                <w:szCs w:val="24"/>
              </w:rPr>
              <w:t>交易单元</w:t>
            </w:r>
          </w:p>
        </w:tc>
        <w:tc>
          <w:tcPr>
            <w:tcW w:w="2689" w:type="dxa"/>
            <w:gridSpan w:val="3"/>
          </w:tcPr>
          <w:p w:rsidR="00173848" w:rsidRDefault="00173848" w:rsidP="00021BE0">
            <w:pPr>
              <w:spacing w:beforeLines="50" w:afterLines="50"/>
              <w:rPr>
                <w:rFonts w:ascii="仿宋_GB2312" w:eastAsia="仿宋_GB2312" w:hAnsi="Times New Roman" w:cs="宋体"/>
                <w:sz w:val="24"/>
                <w:szCs w:val="24"/>
              </w:rPr>
            </w:pPr>
          </w:p>
        </w:tc>
      </w:tr>
      <w:tr w:rsidR="00FC3217" w:rsidTr="007E5952">
        <w:trPr>
          <w:gridBefore w:val="1"/>
          <w:wBefore w:w="20" w:type="dxa"/>
        </w:trPr>
        <w:tc>
          <w:tcPr>
            <w:tcW w:w="2689" w:type="dxa"/>
            <w:gridSpan w:val="3"/>
          </w:tcPr>
          <w:p w:rsidR="00FC3217" w:rsidRDefault="00FC3217" w:rsidP="00021BE0">
            <w:pPr>
              <w:spacing w:beforeLines="50" w:afterLines="50"/>
              <w:rPr>
                <w:rFonts w:ascii="仿宋_GB2312" w:eastAsia="仿宋_GB2312" w:hAnsi="Times New Roman" w:cs="宋体"/>
                <w:sz w:val="24"/>
                <w:szCs w:val="24"/>
              </w:rPr>
            </w:pPr>
            <w:r>
              <w:rPr>
                <w:rFonts w:ascii="仿宋_GB2312" w:eastAsia="仿宋_GB2312" w:hAnsi="Times New Roman" w:cs="宋体" w:hint="eastAsia"/>
                <w:sz w:val="24"/>
                <w:szCs w:val="24"/>
              </w:rPr>
              <w:t>联系电话</w:t>
            </w:r>
          </w:p>
        </w:tc>
        <w:tc>
          <w:tcPr>
            <w:tcW w:w="2689" w:type="dxa"/>
            <w:gridSpan w:val="3"/>
          </w:tcPr>
          <w:p w:rsidR="00173848" w:rsidRDefault="00173848" w:rsidP="00021BE0">
            <w:pPr>
              <w:spacing w:beforeLines="50" w:afterLines="50"/>
              <w:rPr>
                <w:rFonts w:ascii="仿宋_GB2312" w:eastAsia="仿宋_GB2312" w:hAnsi="Times New Roman" w:cs="宋体"/>
                <w:sz w:val="24"/>
                <w:szCs w:val="24"/>
              </w:rPr>
            </w:pPr>
          </w:p>
        </w:tc>
        <w:tc>
          <w:tcPr>
            <w:tcW w:w="2405" w:type="dxa"/>
            <w:gridSpan w:val="4"/>
          </w:tcPr>
          <w:p w:rsidR="00173848" w:rsidRDefault="00FC3217" w:rsidP="00021BE0">
            <w:pPr>
              <w:spacing w:beforeLines="50" w:afterLines="50"/>
              <w:rPr>
                <w:rFonts w:ascii="仿宋_GB2312" w:eastAsia="仿宋_GB2312" w:hAnsi="Times New Roman" w:cs="宋体"/>
                <w:sz w:val="24"/>
                <w:szCs w:val="24"/>
              </w:rPr>
            </w:pPr>
            <w:r>
              <w:rPr>
                <w:rFonts w:ascii="仿宋_GB2312" w:eastAsia="仿宋_GB2312" w:hAnsi="Times New Roman" w:cs="宋体" w:hint="eastAsia"/>
                <w:sz w:val="24"/>
                <w:szCs w:val="24"/>
              </w:rPr>
              <w:t>电子邮箱</w:t>
            </w:r>
          </w:p>
        </w:tc>
        <w:tc>
          <w:tcPr>
            <w:tcW w:w="2689" w:type="dxa"/>
            <w:gridSpan w:val="3"/>
          </w:tcPr>
          <w:p w:rsidR="00173848" w:rsidRDefault="00173848" w:rsidP="00021BE0">
            <w:pPr>
              <w:spacing w:beforeLines="50" w:afterLines="50"/>
              <w:rPr>
                <w:rFonts w:ascii="仿宋_GB2312" w:eastAsia="仿宋_GB2312" w:hAnsi="Times New Roman" w:cs="宋体"/>
                <w:sz w:val="24"/>
                <w:szCs w:val="24"/>
              </w:rPr>
            </w:pPr>
          </w:p>
        </w:tc>
      </w:tr>
      <w:tr w:rsidR="00FC3217" w:rsidTr="007E5952">
        <w:trPr>
          <w:gridBefore w:val="1"/>
          <w:wBefore w:w="20" w:type="dxa"/>
        </w:trPr>
        <w:tc>
          <w:tcPr>
            <w:tcW w:w="2689" w:type="dxa"/>
            <w:gridSpan w:val="3"/>
            <w:tcBorders>
              <w:bottom w:val="single" w:sz="4" w:space="0" w:color="auto"/>
            </w:tcBorders>
          </w:tcPr>
          <w:p w:rsidR="00FC3217" w:rsidRDefault="00FC3217" w:rsidP="00021BE0">
            <w:pPr>
              <w:spacing w:beforeLines="50" w:afterLines="50"/>
              <w:rPr>
                <w:rFonts w:ascii="仿宋_GB2312" w:eastAsia="仿宋_GB2312" w:hAnsi="Times New Roman" w:cs="宋体"/>
                <w:sz w:val="24"/>
                <w:szCs w:val="24"/>
              </w:rPr>
            </w:pPr>
            <w:r>
              <w:rPr>
                <w:rFonts w:ascii="仿宋_GB2312" w:eastAsia="仿宋_GB2312" w:hAnsi="Times New Roman" w:cs="宋体" w:hint="eastAsia"/>
                <w:sz w:val="24"/>
                <w:szCs w:val="24"/>
              </w:rPr>
              <w:t>资金规模</w:t>
            </w:r>
          </w:p>
        </w:tc>
        <w:tc>
          <w:tcPr>
            <w:tcW w:w="2689" w:type="dxa"/>
            <w:gridSpan w:val="3"/>
            <w:tcBorders>
              <w:bottom w:val="single" w:sz="4" w:space="0" w:color="auto"/>
            </w:tcBorders>
          </w:tcPr>
          <w:p w:rsidR="00173848" w:rsidRDefault="00173848" w:rsidP="00021BE0">
            <w:pPr>
              <w:spacing w:beforeLines="50" w:afterLines="50"/>
              <w:rPr>
                <w:rFonts w:ascii="仿宋_GB2312" w:eastAsia="仿宋_GB2312" w:hAnsi="Times New Roman" w:cs="宋体"/>
                <w:sz w:val="24"/>
                <w:szCs w:val="24"/>
              </w:rPr>
            </w:pPr>
          </w:p>
        </w:tc>
        <w:tc>
          <w:tcPr>
            <w:tcW w:w="2405" w:type="dxa"/>
            <w:gridSpan w:val="4"/>
            <w:tcBorders>
              <w:bottom w:val="single" w:sz="4" w:space="0" w:color="auto"/>
            </w:tcBorders>
          </w:tcPr>
          <w:p w:rsidR="00173848" w:rsidRDefault="00FC3217" w:rsidP="00021BE0">
            <w:pPr>
              <w:spacing w:beforeLines="50" w:afterLines="50"/>
              <w:rPr>
                <w:rFonts w:ascii="仿宋_GB2312" w:eastAsia="仿宋_GB2312" w:hAnsi="Times New Roman" w:cs="宋体"/>
                <w:sz w:val="24"/>
                <w:szCs w:val="24"/>
              </w:rPr>
            </w:pPr>
            <w:r>
              <w:rPr>
                <w:rFonts w:ascii="仿宋_GB2312" w:eastAsia="仿宋_GB2312" w:hAnsi="Times New Roman" w:cs="宋体" w:hint="eastAsia"/>
                <w:sz w:val="24"/>
                <w:szCs w:val="24"/>
              </w:rPr>
              <w:t>资金来源</w:t>
            </w:r>
          </w:p>
          <w:p w:rsidR="00173848" w:rsidRDefault="00173848" w:rsidP="00021BE0">
            <w:pPr>
              <w:spacing w:beforeLines="50" w:afterLines="50"/>
              <w:rPr>
                <w:rFonts w:ascii="仿宋_GB2312" w:eastAsia="仿宋_GB2312" w:hAnsi="Times New Roman" w:cs="宋体"/>
                <w:sz w:val="24"/>
                <w:szCs w:val="24"/>
              </w:rPr>
            </w:pPr>
          </w:p>
        </w:tc>
        <w:tc>
          <w:tcPr>
            <w:tcW w:w="2689" w:type="dxa"/>
            <w:gridSpan w:val="3"/>
            <w:tcBorders>
              <w:bottom w:val="single" w:sz="4" w:space="0" w:color="auto"/>
            </w:tcBorders>
          </w:tcPr>
          <w:p w:rsidR="00173848" w:rsidRDefault="00FC3217" w:rsidP="00021BE0">
            <w:pPr>
              <w:spacing w:beforeLines="50" w:afterLines="50"/>
              <w:rPr>
                <w:rFonts w:ascii="仿宋_GB2312" w:eastAsia="仿宋_GB2312" w:hAnsi="Times New Roman" w:cs="宋体"/>
                <w:sz w:val="24"/>
                <w:szCs w:val="24"/>
              </w:rPr>
            </w:pPr>
            <w:r>
              <w:rPr>
                <w:rFonts w:ascii="仿宋_GB2312" w:eastAsia="仿宋_GB2312" w:hAnsi="Times New Roman" w:cs="宋体" w:hint="eastAsia"/>
                <w:sz w:val="24"/>
                <w:szCs w:val="28"/>
              </w:rPr>
              <w:t xml:space="preserve">□ </w:t>
            </w:r>
            <w:r>
              <w:rPr>
                <w:rFonts w:ascii="仿宋_GB2312" w:eastAsia="仿宋_GB2312" w:hAnsi="Times New Roman" w:cs="宋体" w:hint="eastAsia"/>
                <w:sz w:val="24"/>
                <w:szCs w:val="24"/>
              </w:rPr>
              <w:t>个人自有资金</w:t>
            </w:r>
          </w:p>
          <w:p w:rsidR="00173848" w:rsidRDefault="00FC3217" w:rsidP="00021BE0">
            <w:pPr>
              <w:spacing w:beforeLines="50" w:afterLines="50"/>
              <w:rPr>
                <w:rFonts w:ascii="仿宋_GB2312" w:eastAsia="仿宋_GB2312" w:hAnsi="Times New Roman" w:cs="宋体"/>
                <w:sz w:val="24"/>
                <w:szCs w:val="24"/>
              </w:rPr>
            </w:pPr>
            <w:r>
              <w:rPr>
                <w:rFonts w:ascii="仿宋_GB2312" w:eastAsia="仿宋_GB2312" w:hAnsi="Times New Roman" w:cs="宋体" w:hint="eastAsia"/>
                <w:sz w:val="24"/>
                <w:szCs w:val="28"/>
              </w:rPr>
              <w:t xml:space="preserve">□ </w:t>
            </w:r>
            <w:r>
              <w:rPr>
                <w:rFonts w:ascii="仿宋_GB2312" w:eastAsia="仿宋_GB2312" w:hAnsi="Times New Roman" w:cs="宋体" w:hint="eastAsia"/>
                <w:sz w:val="24"/>
                <w:szCs w:val="24"/>
              </w:rPr>
              <w:t>其他（请填写）</w:t>
            </w:r>
          </w:p>
          <w:p w:rsidR="00173848" w:rsidRDefault="00FC3217" w:rsidP="00021BE0">
            <w:pPr>
              <w:spacing w:beforeLines="50" w:afterLines="50"/>
              <w:rPr>
                <w:rFonts w:ascii="仿宋_GB2312" w:eastAsia="仿宋_GB2312" w:hAnsi="Times New Roman" w:cs="宋体"/>
                <w:sz w:val="24"/>
                <w:szCs w:val="24"/>
              </w:rPr>
            </w:pPr>
            <w:r>
              <w:rPr>
                <w:rFonts w:ascii="仿宋_GB2312" w:eastAsia="仿宋_GB2312" w:hAnsi="Times New Roman" w:cs="宋体" w:hint="eastAsia"/>
                <w:sz w:val="24"/>
                <w:szCs w:val="24"/>
                <w:u w:val="single"/>
              </w:rPr>
              <w:t xml:space="preserve">                   </w:t>
            </w:r>
          </w:p>
        </w:tc>
      </w:tr>
      <w:tr w:rsidR="00FC3217" w:rsidTr="007E5952">
        <w:trPr>
          <w:gridBefore w:val="1"/>
          <w:wBefore w:w="20" w:type="dxa"/>
        </w:trPr>
        <w:tc>
          <w:tcPr>
            <w:tcW w:w="10472" w:type="dxa"/>
            <w:gridSpan w:val="13"/>
            <w:shd w:val="clear" w:color="auto" w:fill="63B86C"/>
          </w:tcPr>
          <w:p w:rsidR="00FC3217" w:rsidRDefault="00FC3217" w:rsidP="00021BE0">
            <w:pPr>
              <w:spacing w:beforeLines="50" w:afterLines="50"/>
              <w:jc w:val="center"/>
              <w:rPr>
                <w:rFonts w:ascii="仿宋_GB2312" w:eastAsia="仿宋_GB2312" w:hAnsi="Times New Roman" w:cs="宋体"/>
                <w:b/>
                <w:sz w:val="24"/>
                <w:szCs w:val="24"/>
              </w:rPr>
            </w:pPr>
            <w:r>
              <w:rPr>
                <w:rFonts w:ascii="仿宋_GB2312" w:eastAsia="仿宋_GB2312" w:hAnsi="Times New Roman" w:cs="宋体" w:hint="eastAsia"/>
                <w:b/>
                <w:sz w:val="24"/>
                <w:szCs w:val="24"/>
              </w:rPr>
              <w:t>机构账户报备信息（机构账户填写）</w:t>
            </w:r>
          </w:p>
        </w:tc>
      </w:tr>
      <w:tr w:rsidR="00FC3217" w:rsidTr="007E5952">
        <w:trPr>
          <w:gridBefore w:val="1"/>
          <w:wBefore w:w="20" w:type="dxa"/>
        </w:trPr>
        <w:tc>
          <w:tcPr>
            <w:tcW w:w="2689" w:type="dxa"/>
            <w:gridSpan w:val="3"/>
          </w:tcPr>
          <w:p w:rsidR="00FC3217" w:rsidRDefault="00FC3217" w:rsidP="00021BE0">
            <w:pPr>
              <w:spacing w:beforeLines="50" w:afterLines="50"/>
              <w:rPr>
                <w:rFonts w:ascii="仿宋_GB2312" w:eastAsia="仿宋_GB2312" w:hAnsi="Times New Roman" w:cs="宋体"/>
                <w:sz w:val="24"/>
                <w:szCs w:val="24"/>
              </w:rPr>
            </w:pPr>
            <w:r>
              <w:rPr>
                <w:rFonts w:ascii="仿宋_GB2312" w:eastAsia="仿宋_GB2312" w:hAnsi="Times New Roman" w:cs="宋体" w:hint="eastAsia"/>
                <w:sz w:val="24"/>
                <w:szCs w:val="24"/>
              </w:rPr>
              <w:t>账户名称</w:t>
            </w:r>
          </w:p>
        </w:tc>
        <w:tc>
          <w:tcPr>
            <w:tcW w:w="2689" w:type="dxa"/>
            <w:gridSpan w:val="3"/>
          </w:tcPr>
          <w:p w:rsidR="00173848" w:rsidRDefault="00173848" w:rsidP="00021BE0">
            <w:pPr>
              <w:spacing w:beforeLines="50" w:afterLines="50"/>
              <w:rPr>
                <w:rFonts w:ascii="仿宋_GB2312" w:eastAsia="仿宋_GB2312" w:hAnsi="Times New Roman" w:cs="宋体"/>
                <w:sz w:val="24"/>
                <w:szCs w:val="24"/>
              </w:rPr>
            </w:pPr>
          </w:p>
        </w:tc>
        <w:tc>
          <w:tcPr>
            <w:tcW w:w="2405" w:type="dxa"/>
            <w:gridSpan w:val="4"/>
          </w:tcPr>
          <w:p w:rsidR="00173848" w:rsidRDefault="00FC3217" w:rsidP="00021BE0">
            <w:pPr>
              <w:spacing w:beforeLines="50" w:afterLines="50"/>
              <w:rPr>
                <w:rFonts w:ascii="仿宋_GB2312" w:eastAsia="仿宋_GB2312" w:hAnsi="Times New Roman" w:cs="宋体"/>
                <w:sz w:val="24"/>
                <w:szCs w:val="24"/>
              </w:rPr>
            </w:pPr>
            <w:r>
              <w:rPr>
                <w:rFonts w:ascii="仿宋_GB2312" w:eastAsia="仿宋_GB2312" w:hAnsi="Times New Roman" w:cs="宋体" w:hint="eastAsia"/>
                <w:sz w:val="24"/>
                <w:szCs w:val="24"/>
              </w:rPr>
              <w:t>合约账户</w:t>
            </w:r>
          </w:p>
        </w:tc>
        <w:tc>
          <w:tcPr>
            <w:tcW w:w="2689" w:type="dxa"/>
            <w:gridSpan w:val="3"/>
          </w:tcPr>
          <w:p w:rsidR="00173848" w:rsidRDefault="00173848" w:rsidP="00021BE0">
            <w:pPr>
              <w:spacing w:beforeLines="50" w:afterLines="50"/>
              <w:rPr>
                <w:rFonts w:ascii="仿宋_GB2312" w:eastAsia="仿宋_GB2312" w:hAnsi="Times New Roman" w:cs="宋体"/>
                <w:sz w:val="24"/>
                <w:szCs w:val="24"/>
              </w:rPr>
            </w:pPr>
          </w:p>
        </w:tc>
      </w:tr>
      <w:tr w:rsidR="00FC3217" w:rsidTr="007E5952">
        <w:trPr>
          <w:gridBefore w:val="1"/>
          <w:wBefore w:w="20" w:type="dxa"/>
        </w:trPr>
        <w:tc>
          <w:tcPr>
            <w:tcW w:w="2689" w:type="dxa"/>
            <w:gridSpan w:val="3"/>
          </w:tcPr>
          <w:p w:rsidR="00FC3217" w:rsidRDefault="00FC3217" w:rsidP="00021BE0">
            <w:pPr>
              <w:spacing w:beforeLines="50" w:afterLines="50"/>
              <w:rPr>
                <w:rFonts w:ascii="仿宋_GB2312" w:eastAsia="仿宋_GB2312" w:hAnsi="Times New Roman" w:cs="宋体"/>
                <w:sz w:val="24"/>
                <w:szCs w:val="24"/>
              </w:rPr>
            </w:pPr>
            <w:r>
              <w:rPr>
                <w:rFonts w:ascii="仿宋_GB2312" w:eastAsia="仿宋_GB2312" w:hAnsi="Times New Roman" w:cs="宋体" w:hint="eastAsia"/>
                <w:sz w:val="24"/>
                <w:szCs w:val="24"/>
              </w:rPr>
              <w:t>两融账户</w:t>
            </w:r>
          </w:p>
        </w:tc>
        <w:tc>
          <w:tcPr>
            <w:tcW w:w="2689" w:type="dxa"/>
            <w:gridSpan w:val="3"/>
          </w:tcPr>
          <w:p w:rsidR="00173848" w:rsidRDefault="00173848" w:rsidP="00021BE0">
            <w:pPr>
              <w:spacing w:beforeLines="50" w:afterLines="50"/>
              <w:rPr>
                <w:rFonts w:ascii="仿宋_GB2312" w:eastAsia="仿宋_GB2312" w:hAnsi="Times New Roman" w:cs="宋体"/>
                <w:sz w:val="24"/>
                <w:szCs w:val="24"/>
              </w:rPr>
            </w:pPr>
          </w:p>
        </w:tc>
        <w:tc>
          <w:tcPr>
            <w:tcW w:w="2405" w:type="dxa"/>
            <w:gridSpan w:val="4"/>
          </w:tcPr>
          <w:p w:rsidR="00173848" w:rsidRDefault="00FC3217" w:rsidP="00021BE0">
            <w:pPr>
              <w:spacing w:beforeLines="50" w:afterLines="50"/>
              <w:rPr>
                <w:rFonts w:ascii="仿宋_GB2312" w:eastAsia="仿宋_GB2312" w:hAnsi="Times New Roman" w:cs="宋体"/>
                <w:sz w:val="24"/>
                <w:szCs w:val="24"/>
              </w:rPr>
            </w:pPr>
            <w:r>
              <w:rPr>
                <w:rFonts w:ascii="仿宋_GB2312" w:eastAsia="仿宋_GB2312" w:hAnsi="Times New Roman" w:cs="宋体" w:hint="eastAsia"/>
                <w:sz w:val="24"/>
                <w:szCs w:val="24"/>
              </w:rPr>
              <w:t>期货账户</w:t>
            </w:r>
          </w:p>
        </w:tc>
        <w:tc>
          <w:tcPr>
            <w:tcW w:w="2689" w:type="dxa"/>
            <w:gridSpan w:val="3"/>
          </w:tcPr>
          <w:p w:rsidR="00173848" w:rsidRDefault="00173848" w:rsidP="00021BE0">
            <w:pPr>
              <w:spacing w:beforeLines="50" w:afterLines="50"/>
              <w:rPr>
                <w:rFonts w:ascii="仿宋_GB2312" w:eastAsia="仿宋_GB2312" w:hAnsi="Times New Roman" w:cs="宋体"/>
                <w:sz w:val="24"/>
                <w:szCs w:val="24"/>
              </w:rPr>
            </w:pPr>
          </w:p>
        </w:tc>
      </w:tr>
      <w:tr w:rsidR="00FC3217" w:rsidTr="007E5952">
        <w:trPr>
          <w:gridBefore w:val="1"/>
          <w:wBefore w:w="20" w:type="dxa"/>
        </w:trPr>
        <w:tc>
          <w:tcPr>
            <w:tcW w:w="2689" w:type="dxa"/>
            <w:gridSpan w:val="3"/>
          </w:tcPr>
          <w:p w:rsidR="00FC3217" w:rsidRDefault="00FC3217" w:rsidP="00021BE0">
            <w:pPr>
              <w:spacing w:beforeLines="50" w:afterLines="50"/>
              <w:rPr>
                <w:rFonts w:ascii="仿宋_GB2312" w:eastAsia="仿宋_GB2312" w:hAnsi="Times New Roman" w:cs="宋体"/>
                <w:sz w:val="24"/>
                <w:szCs w:val="24"/>
              </w:rPr>
            </w:pPr>
            <w:r>
              <w:rPr>
                <w:rFonts w:ascii="仿宋_GB2312" w:eastAsia="仿宋_GB2312" w:hAnsi="Times New Roman" w:cs="宋体" w:hint="eastAsia"/>
                <w:sz w:val="24"/>
                <w:szCs w:val="24"/>
              </w:rPr>
              <w:t>机构组织代码</w:t>
            </w:r>
          </w:p>
        </w:tc>
        <w:tc>
          <w:tcPr>
            <w:tcW w:w="2689" w:type="dxa"/>
            <w:gridSpan w:val="3"/>
          </w:tcPr>
          <w:p w:rsidR="00173848" w:rsidRDefault="00173848" w:rsidP="00021BE0">
            <w:pPr>
              <w:spacing w:beforeLines="50" w:afterLines="50"/>
              <w:rPr>
                <w:rFonts w:ascii="仿宋_GB2312" w:eastAsia="仿宋_GB2312" w:hAnsi="Times New Roman" w:cs="宋体"/>
                <w:sz w:val="24"/>
                <w:szCs w:val="24"/>
              </w:rPr>
            </w:pPr>
          </w:p>
        </w:tc>
        <w:tc>
          <w:tcPr>
            <w:tcW w:w="2405" w:type="dxa"/>
            <w:gridSpan w:val="4"/>
          </w:tcPr>
          <w:p w:rsidR="00173848" w:rsidRDefault="00FC3217" w:rsidP="00021BE0">
            <w:pPr>
              <w:spacing w:beforeLines="50" w:afterLines="50"/>
              <w:rPr>
                <w:rFonts w:ascii="仿宋_GB2312" w:eastAsia="仿宋_GB2312" w:hAnsi="Times New Roman" w:cs="宋体"/>
                <w:sz w:val="24"/>
                <w:szCs w:val="24"/>
              </w:rPr>
            </w:pPr>
            <w:r>
              <w:rPr>
                <w:rFonts w:ascii="仿宋_GB2312" w:eastAsia="仿宋_GB2312" w:hAnsi="Times New Roman" w:cs="宋体" w:hint="eastAsia"/>
                <w:sz w:val="24"/>
                <w:szCs w:val="24"/>
              </w:rPr>
              <w:t>交易单元</w:t>
            </w:r>
          </w:p>
        </w:tc>
        <w:tc>
          <w:tcPr>
            <w:tcW w:w="2689" w:type="dxa"/>
            <w:gridSpan w:val="3"/>
          </w:tcPr>
          <w:p w:rsidR="00173848" w:rsidRDefault="00173848" w:rsidP="00021BE0">
            <w:pPr>
              <w:spacing w:beforeLines="50" w:afterLines="50"/>
              <w:rPr>
                <w:rFonts w:ascii="仿宋_GB2312" w:eastAsia="仿宋_GB2312" w:hAnsi="Times New Roman" w:cs="宋体"/>
                <w:sz w:val="24"/>
                <w:szCs w:val="24"/>
              </w:rPr>
            </w:pPr>
          </w:p>
        </w:tc>
      </w:tr>
      <w:tr w:rsidR="00FC3217" w:rsidTr="007E5952">
        <w:trPr>
          <w:gridBefore w:val="1"/>
          <w:wBefore w:w="20" w:type="dxa"/>
        </w:trPr>
        <w:tc>
          <w:tcPr>
            <w:tcW w:w="2689" w:type="dxa"/>
            <w:gridSpan w:val="3"/>
          </w:tcPr>
          <w:p w:rsidR="00FC3217" w:rsidRDefault="00FC3217" w:rsidP="00021BE0">
            <w:pPr>
              <w:spacing w:beforeLines="50" w:afterLines="50"/>
              <w:rPr>
                <w:rFonts w:ascii="仿宋_GB2312" w:eastAsia="仿宋_GB2312" w:hAnsi="Times New Roman" w:cs="宋体"/>
                <w:sz w:val="24"/>
                <w:szCs w:val="24"/>
              </w:rPr>
            </w:pPr>
            <w:r>
              <w:rPr>
                <w:rFonts w:ascii="仿宋_GB2312" w:eastAsia="仿宋_GB2312" w:hAnsi="Times New Roman" w:cs="宋体" w:hint="eastAsia"/>
                <w:sz w:val="24"/>
                <w:szCs w:val="24"/>
              </w:rPr>
              <w:t>联系人电话</w:t>
            </w:r>
          </w:p>
        </w:tc>
        <w:tc>
          <w:tcPr>
            <w:tcW w:w="2689" w:type="dxa"/>
            <w:gridSpan w:val="3"/>
          </w:tcPr>
          <w:p w:rsidR="00173848" w:rsidRDefault="00173848" w:rsidP="00021BE0">
            <w:pPr>
              <w:spacing w:beforeLines="50" w:afterLines="50"/>
              <w:rPr>
                <w:rFonts w:ascii="仿宋_GB2312" w:eastAsia="仿宋_GB2312" w:hAnsi="Times New Roman" w:cs="宋体"/>
                <w:sz w:val="24"/>
                <w:szCs w:val="24"/>
              </w:rPr>
            </w:pPr>
          </w:p>
        </w:tc>
        <w:tc>
          <w:tcPr>
            <w:tcW w:w="2405" w:type="dxa"/>
            <w:gridSpan w:val="4"/>
          </w:tcPr>
          <w:p w:rsidR="00173848" w:rsidRDefault="00FC3217" w:rsidP="00021BE0">
            <w:pPr>
              <w:spacing w:beforeLines="50" w:afterLines="50"/>
              <w:rPr>
                <w:rFonts w:ascii="仿宋_GB2312" w:eastAsia="仿宋_GB2312" w:hAnsi="Times New Roman" w:cs="宋体"/>
                <w:sz w:val="24"/>
                <w:szCs w:val="24"/>
              </w:rPr>
            </w:pPr>
            <w:r>
              <w:rPr>
                <w:rFonts w:ascii="仿宋_GB2312" w:eastAsia="仿宋_GB2312" w:hAnsi="Times New Roman" w:cs="宋体" w:hint="eastAsia"/>
                <w:sz w:val="24"/>
                <w:szCs w:val="24"/>
              </w:rPr>
              <w:t>联系人邮箱</w:t>
            </w:r>
          </w:p>
        </w:tc>
        <w:tc>
          <w:tcPr>
            <w:tcW w:w="2689" w:type="dxa"/>
            <w:gridSpan w:val="3"/>
          </w:tcPr>
          <w:p w:rsidR="00173848" w:rsidRDefault="00173848" w:rsidP="00021BE0">
            <w:pPr>
              <w:spacing w:beforeLines="50" w:afterLines="50"/>
              <w:rPr>
                <w:rFonts w:ascii="仿宋_GB2312" w:eastAsia="仿宋_GB2312" w:hAnsi="Times New Roman" w:cs="宋体"/>
                <w:sz w:val="24"/>
                <w:szCs w:val="24"/>
              </w:rPr>
            </w:pPr>
          </w:p>
        </w:tc>
      </w:tr>
      <w:tr w:rsidR="00FC3217" w:rsidTr="007E5952">
        <w:trPr>
          <w:gridBefore w:val="1"/>
          <w:wBefore w:w="20" w:type="dxa"/>
        </w:trPr>
        <w:tc>
          <w:tcPr>
            <w:tcW w:w="2689" w:type="dxa"/>
            <w:gridSpan w:val="3"/>
          </w:tcPr>
          <w:p w:rsidR="00FC3217" w:rsidRDefault="00FC3217" w:rsidP="00021BE0">
            <w:pPr>
              <w:spacing w:beforeLines="50" w:afterLines="50"/>
              <w:rPr>
                <w:rFonts w:ascii="仿宋_GB2312" w:eastAsia="仿宋_GB2312" w:hAnsi="Times New Roman" w:cs="宋体"/>
                <w:sz w:val="24"/>
                <w:szCs w:val="24"/>
              </w:rPr>
            </w:pPr>
            <w:r>
              <w:rPr>
                <w:rFonts w:ascii="仿宋_GB2312" w:eastAsia="仿宋_GB2312" w:hAnsi="Times New Roman" w:cs="宋体" w:hint="eastAsia"/>
                <w:sz w:val="24"/>
                <w:szCs w:val="24"/>
              </w:rPr>
              <w:t>账户类型</w:t>
            </w:r>
          </w:p>
        </w:tc>
        <w:tc>
          <w:tcPr>
            <w:tcW w:w="7783" w:type="dxa"/>
            <w:gridSpan w:val="10"/>
          </w:tcPr>
          <w:p w:rsidR="00173848" w:rsidRDefault="00FC3217" w:rsidP="00021BE0">
            <w:pPr>
              <w:spacing w:beforeLines="50" w:afterLines="50"/>
              <w:rPr>
                <w:rFonts w:ascii="仿宋_GB2312" w:eastAsia="仿宋_GB2312" w:hAnsi="Times New Roman" w:cs="宋体"/>
                <w:sz w:val="24"/>
                <w:szCs w:val="24"/>
              </w:rPr>
            </w:pPr>
            <w:r>
              <w:rPr>
                <w:rFonts w:ascii="仿宋_GB2312" w:eastAsia="仿宋_GB2312" w:hAnsi="Times New Roman" w:cs="宋体" w:hint="eastAsia"/>
                <w:sz w:val="24"/>
                <w:szCs w:val="28"/>
              </w:rPr>
              <w:t>□</w:t>
            </w:r>
            <w:r>
              <w:rPr>
                <w:rFonts w:ascii="仿宋_GB2312" w:eastAsia="仿宋_GB2312" w:hAnsi="Times New Roman" w:cs="宋体" w:hint="eastAsia"/>
                <w:sz w:val="24"/>
                <w:szCs w:val="24"/>
              </w:rPr>
              <w:t xml:space="preserve">一般机构                         </w:t>
            </w:r>
            <w:r>
              <w:rPr>
                <w:rFonts w:ascii="仿宋_GB2312" w:eastAsia="仿宋_GB2312" w:hAnsi="Times New Roman" w:cs="宋体" w:hint="eastAsia"/>
                <w:sz w:val="24"/>
                <w:szCs w:val="28"/>
              </w:rPr>
              <w:t>□</w:t>
            </w:r>
            <w:r>
              <w:rPr>
                <w:rFonts w:ascii="仿宋_GB2312" w:eastAsia="仿宋_GB2312" w:hAnsi="Times New Roman" w:cs="宋体" w:hint="eastAsia"/>
                <w:sz w:val="24"/>
                <w:szCs w:val="24"/>
              </w:rPr>
              <w:t xml:space="preserve">券商自营               </w:t>
            </w:r>
          </w:p>
          <w:p w:rsidR="00173848" w:rsidRDefault="00FC3217" w:rsidP="00021BE0">
            <w:pPr>
              <w:spacing w:beforeLines="50" w:afterLines="50"/>
              <w:rPr>
                <w:rFonts w:ascii="仿宋_GB2312" w:eastAsia="仿宋_GB2312" w:hAnsi="Times New Roman" w:cs="宋体"/>
                <w:sz w:val="24"/>
                <w:szCs w:val="24"/>
              </w:rPr>
            </w:pPr>
            <w:r>
              <w:rPr>
                <w:rFonts w:ascii="仿宋_GB2312" w:eastAsia="仿宋_GB2312" w:hAnsi="Times New Roman" w:cs="宋体" w:hint="eastAsia"/>
                <w:sz w:val="24"/>
                <w:szCs w:val="28"/>
              </w:rPr>
              <w:lastRenderedPageBreak/>
              <w:t>□</w:t>
            </w:r>
            <w:r>
              <w:rPr>
                <w:rFonts w:ascii="仿宋_GB2312" w:eastAsia="仿宋_GB2312" w:hAnsi="Times New Roman" w:cs="宋体" w:hint="eastAsia"/>
                <w:sz w:val="24"/>
                <w:szCs w:val="24"/>
              </w:rPr>
              <w:t xml:space="preserve">券商集合理财                     </w:t>
            </w:r>
            <w:r>
              <w:rPr>
                <w:rFonts w:ascii="仿宋_GB2312" w:eastAsia="仿宋_GB2312" w:hAnsi="Times New Roman" w:cs="宋体" w:hint="eastAsia"/>
                <w:sz w:val="24"/>
                <w:szCs w:val="28"/>
              </w:rPr>
              <w:t>□</w:t>
            </w:r>
            <w:r>
              <w:rPr>
                <w:rFonts w:ascii="仿宋_GB2312" w:eastAsia="仿宋_GB2312" w:hAnsi="Times New Roman" w:cs="宋体" w:hint="eastAsia"/>
                <w:sz w:val="24"/>
                <w:szCs w:val="24"/>
              </w:rPr>
              <w:t xml:space="preserve">公募基金                         </w:t>
            </w:r>
          </w:p>
          <w:p w:rsidR="00173848" w:rsidRDefault="00FC3217" w:rsidP="00021BE0">
            <w:pPr>
              <w:spacing w:beforeLines="50" w:afterLines="50"/>
              <w:rPr>
                <w:rFonts w:ascii="仿宋_GB2312" w:eastAsia="仿宋_GB2312" w:hAnsi="Times New Roman" w:cs="宋体"/>
                <w:sz w:val="24"/>
                <w:szCs w:val="24"/>
              </w:rPr>
            </w:pPr>
            <w:r>
              <w:rPr>
                <w:rFonts w:ascii="仿宋_GB2312" w:eastAsia="仿宋_GB2312" w:hAnsi="Times New Roman" w:cs="宋体" w:hint="eastAsia"/>
                <w:sz w:val="24"/>
                <w:szCs w:val="28"/>
              </w:rPr>
              <w:t>□</w:t>
            </w:r>
            <w:r>
              <w:rPr>
                <w:rFonts w:ascii="仿宋_GB2312" w:eastAsia="仿宋_GB2312" w:hAnsi="Times New Roman" w:cs="宋体" w:hint="eastAsia"/>
                <w:sz w:val="24"/>
                <w:szCs w:val="24"/>
              </w:rPr>
              <w:t xml:space="preserve">公募专户                         </w:t>
            </w:r>
            <w:r>
              <w:rPr>
                <w:rFonts w:ascii="仿宋_GB2312" w:eastAsia="仿宋_GB2312" w:hAnsi="Times New Roman" w:cs="宋体" w:hint="eastAsia"/>
                <w:sz w:val="24"/>
                <w:szCs w:val="28"/>
              </w:rPr>
              <w:t>□</w:t>
            </w:r>
            <w:r>
              <w:rPr>
                <w:rFonts w:ascii="仿宋_GB2312" w:eastAsia="仿宋_GB2312" w:hAnsi="Times New Roman" w:cs="宋体" w:hint="eastAsia"/>
                <w:sz w:val="24"/>
                <w:szCs w:val="24"/>
              </w:rPr>
              <w:t xml:space="preserve">保险产品                         </w:t>
            </w:r>
          </w:p>
          <w:p w:rsidR="00173848" w:rsidRDefault="00FC3217" w:rsidP="00021BE0">
            <w:pPr>
              <w:spacing w:beforeLines="50" w:afterLines="50"/>
              <w:rPr>
                <w:rFonts w:ascii="仿宋_GB2312" w:eastAsia="仿宋_GB2312" w:hAnsi="Times New Roman" w:cs="宋体"/>
                <w:sz w:val="24"/>
                <w:szCs w:val="24"/>
              </w:rPr>
            </w:pPr>
            <w:r>
              <w:rPr>
                <w:rFonts w:ascii="仿宋_GB2312" w:eastAsia="仿宋_GB2312" w:hAnsi="Times New Roman" w:cs="宋体" w:hint="eastAsia"/>
                <w:sz w:val="24"/>
                <w:szCs w:val="28"/>
              </w:rPr>
              <w:t>□</w:t>
            </w:r>
            <w:r>
              <w:rPr>
                <w:rFonts w:ascii="仿宋_GB2312" w:eastAsia="仿宋_GB2312" w:hAnsi="Times New Roman" w:cs="宋体" w:hint="eastAsia"/>
                <w:sz w:val="24"/>
                <w:szCs w:val="24"/>
              </w:rPr>
              <w:t xml:space="preserve">信托产品                         </w:t>
            </w:r>
            <w:r>
              <w:rPr>
                <w:rFonts w:ascii="仿宋_GB2312" w:eastAsia="仿宋_GB2312" w:hAnsi="Times New Roman" w:cs="宋体" w:hint="eastAsia"/>
                <w:sz w:val="24"/>
                <w:szCs w:val="28"/>
              </w:rPr>
              <w:t>□</w:t>
            </w:r>
            <w:r>
              <w:rPr>
                <w:rFonts w:ascii="仿宋_GB2312" w:eastAsia="仿宋_GB2312" w:hAnsi="Times New Roman" w:cs="宋体" w:hint="eastAsia"/>
                <w:sz w:val="24"/>
                <w:szCs w:val="24"/>
              </w:rPr>
              <w:t xml:space="preserve">私募基金                         </w:t>
            </w:r>
          </w:p>
          <w:p w:rsidR="00173848" w:rsidRDefault="00FC3217" w:rsidP="00021BE0">
            <w:pPr>
              <w:spacing w:beforeLines="50" w:afterLines="50"/>
              <w:rPr>
                <w:rFonts w:ascii="仿宋_GB2312" w:eastAsia="仿宋_GB2312" w:hAnsi="Times New Roman" w:cs="宋体"/>
                <w:sz w:val="24"/>
                <w:szCs w:val="24"/>
              </w:rPr>
            </w:pPr>
            <w:r>
              <w:rPr>
                <w:rFonts w:ascii="仿宋_GB2312" w:eastAsia="仿宋_GB2312" w:hAnsi="Times New Roman" w:cs="宋体" w:hint="eastAsia"/>
                <w:sz w:val="24"/>
                <w:szCs w:val="28"/>
              </w:rPr>
              <w:t>□</w:t>
            </w:r>
            <w:r>
              <w:rPr>
                <w:rFonts w:ascii="仿宋_GB2312" w:eastAsia="仿宋_GB2312" w:hAnsi="Times New Roman" w:cs="宋体" w:hint="eastAsia"/>
                <w:sz w:val="24"/>
                <w:szCs w:val="24"/>
              </w:rPr>
              <w:t>其他（请填写）</w:t>
            </w:r>
            <w:r>
              <w:rPr>
                <w:rFonts w:ascii="仿宋_GB2312" w:eastAsia="仿宋_GB2312" w:hAnsi="Times New Roman" w:cs="宋体" w:hint="eastAsia"/>
                <w:sz w:val="24"/>
                <w:szCs w:val="24"/>
                <w:u w:val="single"/>
              </w:rPr>
              <w:t xml:space="preserve">           </w:t>
            </w:r>
          </w:p>
        </w:tc>
      </w:tr>
      <w:tr w:rsidR="00FC3217" w:rsidTr="007E5952">
        <w:trPr>
          <w:gridBefore w:val="1"/>
          <w:wBefore w:w="20" w:type="dxa"/>
          <w:trHeight w:val="746"/>
        </w:trPr>
        <w:tc>
          <w:tcPr>
            <w:tcW w:w="2689" w:type="dxa"/>
            <w:gridSpan w:val="3"/>
            <w:vAlign w:val="center"/>
          </w:tcPr>
          <w:p w:rsidR="00FC3217" w:rsidRDefault="00FC3217" w:rsidP="007E5952">
            <w:pPr>
              <w:widowControl/>
              <w:jc w:val="left"/>
              <w:rPr>
                <w:rFonts w:ascii="仿宋_GB2312" w:eastAsia="仿宋_GB2312" w:hAnsi="Times New Roman" w:cs="宋体"/>
                <w:color w:val="000000"/>
                <w:sz w:val="24"/>
                <w:szCs w:val="28"/>
              </w:rPr>
            </w:pPr>
            <w:r>
              <w:rPr>
                <w:rFonts w:ascii="仿宋_GB2312" w:eastAsia="仿宋_GB2312" w:hAnsi="Times New Roman" w:cs="宋体" w:hint="eastAsia"/>
                <w:color w:val="000000"/>
                <w:sz w:val="24"/>
                <w:szCs w:val="28"/>
              </w:rPr>
              <w:lastRenderedPageBreak/>
              <w:t>资产规模</w:t>
            </w:r>
          </w:p>
        </w:tc>
        <w:tc>
          <w:tcPr>
            <w:tcW w:w="3255" w:type="dxa"/>
            <w:gridSpan w:val="4"/>
          </w:tcPr>
          <w:p w:rsidR="00FC3217" w:rsidRDefault="00FC3217" w:rsidP="007E5952">
            <w:pPr>
              <w:widowControl/>
              <w:rPr>
                <w:rFonts w:ascii="仿宋_GB2312" w:eastAsia="仿宋_GB2312" w:hAnsi="Times New Roman" w:cs="宋体"/>
                <w:color w:val="000000"/>
                <w:sz w:val="24"/>
                <w:szCs w:val="28"/>
              </w:rPr>
            </w:pPr>
          </w:p>
        </w:tc>
        <w:tc>
          <w:tcPr>
            <w:tcW w:w="2264" w:type="dxa"/>
            <w:gridSpan w:val="5"/>
            <w:vAlign w:val="center"/>
          </w:tcPr>
          <w:p w:rsidR="00FC3217" w:rsidRDefault="00FC3217" w:rsidP="007E5952">
            <w:pPr>
              <w:widowControl/>
              <w:jc w:val="left"/>
              <w:rPr>
                <w:rFonts w:ascii="仿宋_GB2312" w:eastAsia="仿宋_GB2312" w:hAnsi="Times New Roman" w:cs="宋体"/>
                <w:color w:val="000000"/>
                <w:sz w:val="24"/>
                <w:szCs w:val="28"/>
              </w:rPr>
            </w:pPr>
            <w:r>
              <w:rPr>
                <w:rFonts w:ascii="仿宋_GB2312" w:eastAsia="仿宋_GB2312" w:hAnsi="Times New Roman" w:cs="宋体" w:hint="eastAsia"/>
                <w:color w:val="000000"/>
                <w:sz w:val="24"/>
                <w:szCs w:val="28"/>
              </w:rPr>
              <w:t>期权交易资金规模</w:t>
            </w:r>
          </w:p>
        </w:tc>
        <w:tc>
          <w:tcPr>
            <w:tcW w:w="2264" w:type="dxa"/>
          </w:tcPr>
          <w:p w:rsidR="00FC3217" w:rsidRDefault="00FC3217" w:rsidP="007E5952">
            <w:pPr>
              <w:pStyle w:val="af2"/>
              <w:widowControl/>
              <w:ind w:left="360" w:firstLineChars="0" w:firstLine="0"/>
              <w:rPr>
                <w:rFonts w:hAnsi="Times New Roman" w:cs="宋体"/>
                <w:color w:val="000000"/>
                <w:sz w:val="24"/>
                <w:szCs w:val="28"/>
                <w:u w:val="single"/>
              </w:rPr>
            </w:pPr>
          </w:p>
        </w:tc>
      </w:tr>
      <w:tr w:rsidR="00FC3217" w:rsidTr="007E5952">
        <w:trPr>
          <w:gridBefore w:val="1"/>
          <w:wBefore w:w="20" w:type="dxa"/>
          <w:trHeight w:val="746"/>
        </w:trPr>
        <w:tc>
          <w:tcPr>
            <w:tcW w:w="2689" w:type="dxa"/>
            <w:gridSpan w:val="3"/>
          </w:tcPr>
          <w:p w:rsidR="00FC3217" w:rsidRDefault="00FC3217" w:rsidP="00021BE0">
            <w:pPr>
              <w:spacing w:beforeLines="50" w:afterLines="50"/>
              <w:rPr>
                <w:rFonts w:ascii="仿宋_GB2312" w:eastAsia="仿宋_GB2312" w:hAnsi="Times New Roman" w:cs="宋体"/>
                <w:sz w:val="24"/>
                <w:szCs w:val="24"/>
              </w:rPr>
            </w:pPr>
            <w:r>
              <w:rPr>
                <w:rFonts w:ascii="仿宋_GB2312" w:eastAsia="仿宋_GB2312" w:hAnsi="Times New Roman" w:cs="宋体" w:hint="eastAsia"/>
                <w:sz w:val="24"/>
                <w:szCs w:val="24"/>
              </w:rPr>
              <w:t>资金来源</w:t>
            </w:r>
          </w:p>
        </w:tc>
        <w:tc>
          <w:tcPr>
            <w:tcW w:w="7783" w:type="dxa"/>
            <w:gridSpan w:val="10"/>
          </w:tcPr>
          <w:p w:rsidR="00173848" w:rsidRDefault="00FC3217" w:rsidP="00021BE0">
            <w:pPr>
              <w:spacing w:beforeLines="50" w:afterLines="50"/>
              <w:rPr>
                <w:rFonts w:ascii="仿宋_GB2312" w:eastAsia="仿宋_GB2312" w:hAnsi="Times New Roman" w:cs="宋体"/>
                <w:sz w:val="24"/>
                <w:szCs w:val="24"/>
              </w:rPr>
            </w:pPr>
            <w:r>
              <w:rPr>
                <w:rFonts w:ascii="仿宋_GB2312" w:eastAsia="仿宋_GB2312" w:hAnsi="Times New Roman" w:cs="宋体" w:hint="eastAsia"/>
                <w:sz w:val="24"/>
                <w:szCs w:val="28"/>
              </w:rPr>
              <w:t>□</w:t>
            </w:r>
            <w:r>
              <w:rPr>
                <w:rFonts w:ascii="仿宋_GB2312" w:eastAsia="仿宋_GB2312" w:hAnsi="Times New Roman" w:hint="eastAsia"/>
                <w:sz w:val="24"/>
              </w:rPr>
              <w:t>自有资金（一般法人）；</w:t>
            </w:r>
            <w:r>
              <w:rPr>
                <w:rFonts w:ascii="仿宋_GB2312" w:eastAsia="仿宋_GB2312" w:hAnsi="Times New Roman" w:cs="宋体" w:hint="eastAsia"/>
                <w:sz w:val="24"/>
                <w:szCs w:val="28"/>
              </w:rPr>
              <w:t>□</w:t>
            </w:r>
            <w:r>
              <w:rPr>
                <w:rFonts w:ascii="仿宋_GB2312" w:eastAsia="仿宋_GB2312" w:hAnsi="Times New Roman" w:hint="eastAsia"/>
                <w:sz w:val="24"/>
              </w:rPr>
              <w:t>券商自营；</w:t>
            </w:r>
            <w:r>
              <w:rPr>
                <w:rFonts w:ascii="仿宋_GB2312" w:eastAsia="仿宋_GB2312" w:hAnsi="Times New Roman" w:cs="宋体" w:hint="eastAsia"/>
                <w:sz w:val="24"/>
                <w:szCs w:val="28"/>
              </w:rPr>
              <w:t>□公募基金；□私募基金；□证券公司定向计划;□证券公司集合计划; □</w:t>
            </w:r>
            <w:r>
              <w:rPr>
                <w:rFonts w:ascii="仿宋_GB2312" w:eastAsia="仿宋_GB2312" w:hAnsi="Times New Roman" w:hint="eastAsia"/>
                <w:sz w:val="24"/>
              </w:rPr>
              <w:t>基金公司特定客户资管计划;</w:t>
            </w:r>
            <w:r>
              <w:rPr>
                <w:rFonts w:ascii="仿宋_GB2312" w:eastAsia="仿宋_GB2312" w:hAnsi="Times New Roman" w:cs="宋体" w:hint="eastAsia"/>
                <w:sz w:val="24"/>
                <w:szCs w:val="28"/>
              </w:rPr>
              <w:t xml:space="preserve"> □</w:t>
            </w:r>
            <w:r>
              <w:rPr>
                <w:rFonts w:ascii="仿宋_GB2312" w:eastAsia="仿宋_GB2312" w:hAnsi="Times New Roman" w:hint="eastAsia"/>
                <w:sz w:val="24"/>
              </w:rPr>
              <w:t>商业银行理财产品;</w:t>
            </w:r>
            <w:r>
              <w:rPr>
                <w:rFonts w:ascii="仿宋_GB2312" w:eastAsia="仿宋_GB2312" w:hAnsi="Times New Roman" w:cs="宋体" w:hint="eastAsia"/>
                <w:sz w:val="24"/>
                <w:szCs w:val="28"/>
              </w:rPr>
              <w:t>□</w:t>
            </w:r>
            <w:r>
              <w:rPr>
                <w:rFonts w:ascii="仿宋_GB2312" w:eastAsia="仿宋_GB2312" w:hAnsi="Times New Roman" w:hint="eastAsia"/>
                <w:sz w:val="24"/>
              </w:rPr>
              <w:t>保险公司资管计划;</w:t>
            </w:r>
            <w:r>
              <w:rPr>
                <w:rFonts w:ascii="仿宋_GB2312" w:eastAsia="仿宋_GB2312" w:hAnsi="Times New Roman" w:cs="宋体" w:hint="eastAsia"/>
                <w:sz w:val="24"/>
                <w:szCs w:val="28"/>
              </w:rPr>
              <w:t>□</w:t>
            </w:r>
            <w:r>
              <w:rPr>
                <w:rFonts w:ascii="仿宋_GB2312" w:eastAsia="仿宋_GB2312" w:hAnsi="Times New Roman" w:hint="eastAsia"/>
                <w:sz w:val="24"/>
              </w:rPr>
              <w:t>保险产品;</w:t>
            </w:r>
            <w:r>
              <w:rPr>
                <w:rFonts w:ascii="仿宋_GB2312" w:eastAsia="仿宋_GB2312" w:hAnsi="Times New Roman" w:cs="宋体" w:hint="eastAsia"/>
                <w:sz w:val="24"/>
                <w:szCs w:val="28"/>
              </w:rPr>
              <w:t>□</w:t>
            </w:r>
            <w:r>
              <w:rPr>
                <w:rFonts w:ascii="仿宋_GB2312" w:eastAsia="仿宋_GB2312" w:hAnsi="Times New Roman" w:hint="eastAsia"/>
                <w:sz w:val="24"/>
              </w:rPr>
              <w:t>信托产品;</w:t>
            </w:r>
            <w:r>
              <w:rPr>
                <w:rFonts w:ascii="仿宋_GB2312" w:eastAsia="仿宋_GB2312" w:hAnsi="Times New Roman" w:cs="宋体" w:hint="eastAsia"/>
                <w:sz w:val="24"/>
                <w:szCs w:val="28"/>
              </w:rPr>
              <w:t>□</w:t>
            </w:r>
            <w:r>
              <w:rPr>
                <w:rFonts w:ascii="仿宋_GB2312" w:eastAsia="仿宋_GB2312" w:hAnsi="Times New Roman" w:hint="eastAsia"/>
                <w:sz w:val="24"/>
              </w:rPr>
              <w:t>期货公司资管计划;</w:t>
            </w:r>
            <w:r>
              <w:rPr>
                <w:rFonts w:ascii="仿宋_GB2312" w:eastAsia="仿宋_GB2312" w:hAnsi="Times New Roman" w:cs="宋体" w:hint="eastAsia"/>
                <w:sz w:val="24"/>
                <w:szCs w:val="28"/>
              </w:rPr>
              <w:t>□</w:t>
            </w:r>
            <w:r>
              <w:rPr>
                <w:rFonts w:ascii="仿宋_GB2312" w:eastAsia="仿宋_GB2312" w:hAnsi="Times New Roman" w:hint="eastAsia"/>
                <w:sz w:val="24"/>
              </w:rPr>
              <w:t>QFII;</w:t>
            </w:r>
            <w:r>
              <w:rPr>
                <w:rFonts w:ascii="仿宋_GB2312" w:eastAsia="仿宋_GB2312" w:hAnsi="Times New Roman" w:cs="宋体" w:hint="eastAsia"/>
                <w:sz w:val="24"/>
                <w:szCs w:val="28"/>
              </w:rPr>
              <w:t>□</w:t>
            </w:r>
            <w:r>
              <w:rPr>
                <w:rFonts w:ascii="仿宋_GB2312" w:eastAsia="仿宋_GB2312" w:hAnsi="Times New Roman" w:hint="eastAsia"/>
                <w:sz w:val="24"/>
              </w:rPr>
              <w:t>RQFII;</w:t>
            </w:r>
            <w:r>
              <w:rPr>
                <w:rFonts w:ascii="仿宋_GB2312" w:eastAsia="仿宋_GB2312" w:hAnsi="Times New Roman" w:cs="宋体" w:hint="eastAsia"/>
                <w:sz w:val="24"/>
                <w:szCs w:val="28"/>
              </w:rPr>
              <w:t>□</w:t>
            </w:r>
            <w:r>
              <w:rPr>
                <w:rFonts w:ascii="仿宋_GB2312" w:eastAsia="仿宋_GB2312" w:hAnsi="Times New Roman" w:hint="eastAsia"/>
                <w:sz w:val="24"/>
              </w:rPr>
              <w:t>企业年金;</w:t>
            </w:r>
            <w:r>
              <w:rPr>
                <w:rFonts w:ascii="仿宋_GB2312" w:eastAsia="仿宋_GB2312" w:hAnsi="Times New Roman" w:cs="宋体" w:hint="eastAsia"/>
                <w:sz w:val="24"/>
                <w:szCs w:val="28"/>
              </w:rPr>
              <w:t>□</w:t>
            </w:r>
            <w:r>
              <w:rPr>
                <w:rFonts w:ascii="仿宋_GB2312" w:eastAsia="仿宋_GB2312" w:hAnsi="Times New Roman" w:hint="eastAsia"/>
                <w:sz w:val="24"/>
              </w:rPr>
              <w:t>其他</w:t>
            </w:r>
            <w:r>
              <w:rPr>
                <w:rFonts w:ascii="仿宋_GB2312" w:eastAsia="仿宋_GB2312" w:hAnsi="Times New Roman" w:cs="宋体" w:hint="eastAsia"/>
                <w:sz w:val="24"/>
                <w:szCs w:val="28"/>
              </w:rPr>
              <w:t xml:space="preserve">   </w:t>
            </w:r>
          </w:p>
        </w:tc>
      </w:tr>
      <w:tr w:rsidR="00FC3217" w:rsidTr="007E5952">
        <w:trPr>
          <w:gridBefore w:val="1"/>
          <w:wBefore w:w="20" w:type="dxa"/>
          <w:trHeight w:val="828"/>
        </w:trPr>
        <w:tc>
          <w:tcPr>
            <w:tcW w:w="2689" w:type="dxa"/>
            <w:gridSpan w:val="3"/>
            <w:vAlign w:val="center"/>
          </w:tcPr>
          <w:p w:rsidR="00FC3217" w:rsidRDefault="00FC3217" w:rsidP="007E5952">
            <w:pPr>
              <w:widowControl/>
              <w:jc w:val="left"/>
              <w:rPr>
                <w:rFonts w:ascii="仿宋_GB2312" w:eastAsia="仿宋_GB2312" w:hAnsi="Times New Roman" w:cs="宋体"/>
                <w:color w:val="000000"/>
                <w:sz w:val="24"/>
                <w:szCs w:val="28"/>
              </w:rPr>
            </w:pPr>
            <w:r>
              <w:rPr>
                <w:rFonts w:ascii="仿宋_GB2312" w:eastAsia="仿宋_GB2312" w:hAnsi="Times New Roman" w:cs="宋体" w:hint="eastAsia"/>
                <w:color w:val="000000"/>
                <w:sz w:val="24"/>
                <w:szCs w:val="28"/>
              </w:rPr>
              <w:t>资金是否使用杠杆</w:t>
            </w:r>
          </w:p>
        </w:tc>
        <w:tc>
          <w:tcPr>
            <w:tcW w:w="3255" w:type="dxa"/>
            <w:gridSpan w:val="4"/>
          </w:tcPr>
          <w:p w:rsidR="00FC3217" w:rsidRDefault="00FC3217" w:rsidP="007E5952">
            <w:pPr>
              <w:widowControl/>
              <w:rPr>
                <w:rFonts w:ascii="仿宋_GB2312" w:eastAsia="仿宋_GB2312" w:hAnsi="Times New Roman" w:cs="宋体"/>
                <w:color w:val="000000"/>
                <w:sz w:val="24"/>
                <w:szCs w:val="28"/>
              </w:rPr>
            </w:pPr>
          </w:p>
        </w:tc>
        <w:tc>
          <w:tcPr>
            <w:tcW w:w="2264" w:type="dxa"/>
            <w:gridSpan w:val="5"/>
            <w:vAlign w:val="center"/>
          </w:tcPr>
          <w:p w:rsidR="00FC3217" w:rsidRDefault="00FC3217" w:rsidP="007E5952">
            <w:pPr>
              <w:widowControl/>
              <w:jc w:val="left"/>
              <w:rPr>
                <w:rFonts w:ascii="仿宋_GB2312" w:eastAsia="仿宋_GB2312" w:hAnsi="Times New Roman" w:cs="宋体"/>
                <w:color w:val="000000"/>
                <w:sz w:val="24"/>
                <w:szCs w:val="28"/>
              </w:rPr>
            </w:pPr>
            <w:r>
              <w:rPr>
                <w:rFonts w:ascii="仿宋_GB2312" w:eastAsia="仿宋_GB2312" w:hAnsi="Times New Roman" w:cs="宋体" w:hint="eastAsia"/>
                <w:color w:val="000000"/>
                <w:sz w:val="24"/>
                <w:szCs w:val="28"/>
              </w:rPr>
              <w:t>资金杠杆倍数</w:t>
            </w:r>
          </w:p>
        </w:tc>
        <w:tc>
          <w:tcPr>
            <w:tcW w:w="2264" w:type="dxa"/>
          </w:tcPr>
          <w:p w:rsidR="00FC3217" w:rsidRDefault="00FC3217" w:rsidP="007E5952">
            <w:pPr>
              <w:widowControl/>
              <w:rPr>
                <w:rFonts w:ascii="仿宋_GB2312" w:eastAsia="仿宋_GB2312" w:hAnsi="Times New Roman" w:cs="宋体"/>
                <w:color w:val="000000"/>
                <w:sz w:val="24"/>
                <w:szCs w:val="28"/>
              </w:rPr>
            </w:pPr>
          </w:p>
        </w:tc>
      </w:tr>
      <w:tr w:rsidR="00FC3217" w:rsidTr="007E5952">
        <w:trPr>
          <w:gridBefore w:val="1"/>
          <w:wBefore w:w="20" w:type="dxa"/>
        </w:trPr>
        <w:tc>
          <w:tcPr>
            <w:tcW w:w="2689" w:type="dxa"/>
            <w:gridSpan w:val="3"/>
            <w:tcBorders>
              <w:bottom w:val="single" w:sz="4" w:space="0" w:color="auto"/>
            </w:tcBorders>
            <w:vAlign w:val="center"/>
          </w:tcPr>
          <w:p w:rsidR="00FC3217" w:rsidRDefault="00FC3217" w:rsidP="007E5952">
            <w:pPr>
              <w:widowControl/>
              <w:jc w:val="left"/>
              <w:rPr>
                <w:rFonts w:ascii="仿宋_GB2312" w:eastAsia="仿宋_GB2312" w:hAnsi="Times New Roman" w:cs="宋体"/>
                <w:color w:val="000000"/>
                <w:sz w:val="24"/>
                <w:szCs w:val="28"/>
              </w:rPr>
            </w:pPr>
            <w:r>
              <w:rPr>
                <w:rFonts w:ascii="仿宋_GB2312" w:eastAsia="仿宋_GB2312" w:hAnsi="Times New Roman" w:cs="宋体" w:hint="eastAsia"/>
                <w:color w:val="000000"/>
                <w:sz w:val="24"/>
                <w:szCs w:val="28"/>
              </w:rPr>
              <w:t>企业性质</w:t>
            </w:r>
          </w:p>
        </w:tc>
        <w:tc>
          <w:tcPr>
            <w:tcW w:w="3255" w:type="dxa"/>
            <w:gridSpan w:val="4"/>
            <w:tcBorders>
              <w:bottom w:val="single" w:sz="4" w:space="0" w:color="auto"/>
            </w:tcBorders>
          </w:tcPr>
          <w:p w:rsidR="00FC3217" w:rsidRDefault="00FC3217" w:rsidP="007E5952">
            <w:pPr>
              <w:pStyle w:val="af2"/>
              <w:widowControl/>
              <w:numPr>
                <w:ilvl w:val="0"/>
                <w:numId w:val="7"/>
              </w:numPr>
              <w:ind w:firstLineChars="0"/>
              <w:rPr>
                <w:rFonts w:ascii="仿宋_GB2312" w:eastAsia="仿宋_GB2312" w:hAnsi="Times New Roman"/>
                <w:sz w:val="24"/>
              </w:rPr>
            </w:pPr>
            <w:r>
              <w:rPr>
                <w:rFonts w:ascii="仿宋_GB2312" w:eastAsia="仿宋_GB2312" w:hAnsi="Times New Roman" w:hint="eastAsia"/>
                <w:sz w:val="24"/>
              </w:rPr>
              <w:t>国有企业</w:t>
            </w:r>
          </w:p>
          <w:p w:rsidR="00FC3217" w:rsidRDefault="00FC3217" w:rsidP="007E5952">
            <w:pPr>
              <w:pStyle w:val="af2"/>
              <w:widowControl/>
              <w:numPr>
                <w:ilvl w:val="0"/>
                <w:numId w:val="7"/>
              </w:numPr>
              <w:ind w:firstLineChars="0"/>
              <w:rPr>
                <w:rFonts w:ascii="仿宋_GB2312" w:eastAsia="仿宋_GB2312" w:hAnsi="Times New Roman"/>
                <w:sz w:val="24"/>
              </w:rPr>
            </w:pPr>
            <w:r>
              <w:rPr>
                <w:rFonts w:ascii="仿宋_GB2312" w:eastAsia="仿宋_GB2312" w:hAnsi="Times New Roman" w:hint="eastAsia"/>
                <w:sz w:val="24"/>
              </w:rPr>
              <w:t>国有控股</w:t>
            </w:r>
          </w:p>
          <w:p w:rsidR="00FC3217" w:rsidRDefault="00FC3217" w:rsidP="007E5952">
            <w:pPr>
              <w:pStyle w:val="af2"/>
              <w:widowControl/>
              <w:numPr>
                <w:ilvl w:val="0"/>
                <w:numId w:val="7"/>
              </w:numPr>
              <w:ind w:firstLineChars="0"/>
              <w:rPr>
                <w:rFonts w:ascii="仿宋_GB2312" w:eastAsia="仿宋_GB2312" w:hAnsi="Times New Roman"/>
                <w:sz w:val="24"/>
              </w:rPr>
            </w:pPr>
            <w:r>
              <w:rPr>
                <w:rFonts w:ascii="仿宋_GB2312" w:eastAsia="仿宋_GB2312" w:hAnsi="Times New Roman" w:hint="eastAsia"/>
                <w:sz w:val="24"/>
              </w:rPr>
              <w:t>合资企业</w:t>
            </w:r>
          </w:p>
          <w:p w:rsidR="00FC3217" w:rsidRDefault="00FC3217" w:rsidP="007E5952">
            <w:pPr>
              <w:pStyle w:val="af2"/>
              <w:widowControl/>
              <w:numPr>
                <w:ilvl w:val="0"/>
                <w:numId w:val="7"/>
              </w:numPr>
              <w:ind w:firstLineChars="0"/>
              <w:rPr>
                <w:rFonts w:ascii="仿宋_GB2312" w:eastAsia="仿宋_GB2312" w:hAnsi="Times New Roman"/>
                <w:sz w:val="24"/>
              </w:rPr>
            </w:pPr>
            <w:r>
              <w:rPr>
                <w:rFonts w:ascii="仿宋_GB2312" w:eastAsia="仿宋_GB2312" w:hAnsi="Times New Roman" w:hint="eastAsia"/>
                <w:sz w:val="24"/>
              </w:rPr>
              <w:t>私营企业</w:t>
            </w:r>
          </w:p>
          <w:p w:rsidR="00FC3217" w:rsidRDefault="00FC3217" w:rsidP="007E5952">
            <w:pPr>
              <w:pStyle w:val="af2"/>
              <w:widowControl/>
              <w:numPr>
                <w:ilvl w:val="0"/>
                <w:numId w:val="7"/>
              </w:numPr>
              <w:ind w:firstLineChars="0"/>
              <w:rPr>
                <w:rFonts w:hAnsi="Times New Roman" w:cs="宋体"/>
                <w:color w:val="000000"/>
                <w:sz w:val="24"/>
                <w:szCs w:val="28"/>
              </w:rPr>
            </w:pPr>
            <w:r>
              <w:rPr>
                <w:rFonts w:ascii="仿宋_GB2312" w:eastAsia="仿宋_GB2312" w:hAnsi="Times New Roman" w:hint="eastAsia"/>
                <w:sz w:val="24"/>
              </w:rPr>
              <w:t xml:space="preserve">其他 (请填写)        </w:t>
            </w:r>
          </w:p>
        </w:tc>
        <w:tc>
          <w:tcPr>
            <w:tcW w:w="2264" w:type="dxa"/>
            <w:gridSpan w:val="5"/>
            <w:tcBorders>
              <w:bottom w:val="single" w:sz="4" w:space="0" w:color="auto"/>
            </w:tcBorders>
            <w:vAlign w:val="center"/>
          </w:tcPr>
          <w:p w:rsidR="00FC3217" w:rsidRDefault="00FC3217" w:rsidP="007E5952">
            <w:pPr>
              <w:widowControl/>
              <w:jc w:val="left"/>
              <w:rPr>
                <w:rFonts w:ascii="仿宋_GB2312" w:eastAsia="仿宋_GB2312" w:hAnsi="Times New Roman" w:cs="宋体"/>
                <w:color w:val="000000"/>
                <w:sz w:val="24"/>
                <w:szCs w:val="28"/>
              </w:rPr>
            </w:pPr>
            <w:r>
              <w:rPr>
                <w:rFonts w:ascii="仿宋_GB2312" w:eastAsia="仿宋_GB2312" w:hAnsi="Times New Roman" w:cs="宋体" w:hint="eastAsia"/>
                <w:color w:val="000000"/>
                <w:sz w:val="24"/>
                <w:szCs w:val="28"/>
              </w:rPr>
              <w:t>实际控制人</w:t>
            </w:r>
          </w:p>
        </w:tc>
        <w:tc>
          <w:tcPr>
            <w:tcW w:w="2264" w:type="dxa"/>
            <w:tcBorders>
              <w:bottom w:val="single" w:sz="4" w:space="0" w:color="auto"/>
            </w:tcBorders>
          </w:tcPr>
          <w:p w:rsidR="00FC3217" w:rsidRDefault="00FC3217" w:rsidP="007E5952">
            <w:pPr>
              <w:pStyle w:val="af2"/>
              <w:widowControl/>
              <w:numPr>
                <w:ilvl w:val="0"/>
                <w:numId w:val="7"/>
              </w:numPr>
              <w:ind w:firstLineChars="0"/>
              <w:rPr>
                <w:rFonts w:ascii="仿宋_GB2312" w:eastAsia="仿宋_GB2312" w:hAnsi="Times New Roman"/>
                <w:sz w:val="24"/>
              </w:rPr>
            </w:pPr>
            <w:r>
              <w:rPr>
                <w:rFonts w:ascii="仿宋_GB2312" w:eastAsia="仿宋_GB2312" w:hAnsi="Times New Roman" w:hint="eastAsia"/>
                <w:sz w:val="24"/>
              </w:rPr>
              <w:t>国有</w:t>
            </w:r>
          </w:p>
          <w:p w:rsidR="00FC3217" w:rsidRDefault="00FC3217" w:rsidP="007E5952">
            <w:pPr>
              <w:pStyle w:val="af2"/>
              <w:widowControl/>
              <w:numPr>
                <w:ilvl w:val="0"/>
                <w:numId w:val="7"/>
              </w:numPr>
              <w:ind w:firstLineChars="0"/>
              <w:rPr>
                <w:rFonts w:ascii="仿宋_GB2312" w:eastAsia="仿宋_GB2312" w:hAnsi="Times New Roman"/>
                <w:sz w:val="24"/>
              </w:rPr>
            </w:pPr>
            <w:r>
              <w:rPr>
                <w:rFonts w:ascii="仿宋_GB2312" w:eastAsia="仿宋_GB2312" w:hAnsi="Times New Roman" w:hint="eastAsia"/>
                <w:sz w:val="24"/>
              </w:rPr>
              <w:t>私营</w:t>
            </w:r>
          </w:p>
          <w:p w:rsidR="00FC3217" w:rsidRDefault="00FC3217" w:rsidP="007E5952">
            <w:pPr>
              <w:pStyle w:val="af2"/>
              <w:widowControl/>
              <w:numPr>
                <w:ilvl w:val="0"/>
                <w:numId w:val="7"/>
              </w:numPr>
              <w:ind w:firstLineChars="0"/>
              <w:rPr>
                <w:rFonts w:ascii="仿宋_GB2312" w:eastAsia="仿宋_GB2312" w:hAnsi="Times New Roman"/>
                <w:sz w:val="24"/>
              </w:rPr>
            </w:pPr>
            <w:r>
              <w:rPr>
                <w:rFonts w:ascii="仿宋_GB2312" w:eastAsia="仿宋_GB2312" w:hAnsi="Times New Roman" w:hint="eastAsia"/>
                <w:sz w:val="24"/>
              </w:rPr>
              <w:t>外资</w:t>
            </w:r>
          </w:p>
          <w:p w:rsidR="00FC3217" w:rsidRDefault="00FC3217" w:rsidP="007E5952">
            <w:pPr>
              <w:pStyle w:val="af2"/>
              <w:widowControl/>
              <w:numPr>
                <w:ilvl w:val="0"/>
                <w:numId w:val="7"/>
              </w:numPr>
              <w:ind w:firstLineChars="0"/>
              <w:rPr>
                <w:rFonts w:ascii="仿宋_GB2312" w:eastAsia="仿宋_GB2312" w:hAnsi="Times New Roman"/>
                <w:sz w:val="24"/>
              </w:rPr>
            </w:pPr>
            <w:r>
              <w:rPr>
                <w:rFonts w:ascii="仿宋_GB2312" w:eastAsia="仿宋_GB2312" w:hAnsi="Times New Roman" w:hint="eastAsia"/>
                <w:sz w:val="24"/>
              </w:rPr>
              <w:t>其他(请填写)</w:t>
            </w:r>
          </w:p>
          <w:p w:rsidR="00FC3217" w:rsidRDefault="00FC3217" w:rsidP="007E5952">
            <w:pPr>
              <w:pStyle w:val="af2"/>
              <w:widowControl/>
              <w:ind w:left="360" w:firstLineChars="0" w:firstLine="0"/>
              <w:rPr>
                <w:rFonts w:hAnsi="Times New Roman" w:cs="宋体"/>
                <w:color w:val="000000"/>
                <w:sz w:val="24"/>
                <w:szCs w:val="28"/>
                <w:u w:val="single"/>
              </w:rPr>
            </w:pPr>
            <w:r>
              <w:rPr>
                <w:rFonts w:ascii="仿宋_GB2312" w:eastAsia="仿宋_GB2312" w:hAnsi="Times New Roman" w:hint="eastAsia"/>
                <w:sz w:val="24"/>
              </w:rPr>
              <w:t xml:space="preserve">             </w:t>
            </w:r>
          </w:p>
        </w:tc>
      </w:tr>
      <w:tr w:rsidR="00FC3217" w:rsidTr="007E5952">
        <w:trPr>
          <w:gridBefore w:val="1"/>
          <w:wBefore w:w="20" w:type="dxa"/>
          <w:trHeight w:val="692"/>
        </w:trPr>
        <w:tc>
          <w:tcPr>
            <w:tcW w:w="10472" w:type="dxa"/>
            <w:gridSpan w:val="13"/>
            <w:shd w:val="clear" w:color="auto" w:fill="63B86C"/>
            <w:vAlign w:val="center"/>
          </w:tcPr>
          <w:p w:rsidR="00FC3217" w:rsidRDefault="00FC3217" w:rsidP="007E5952">
            <w:pPr>
              <w:widowControl/>
              <w:jc w:val="center"/>
              <w:rPr>
                <w:rFonts w:ascii="仿宋_GB2312" w:eastAsia="仿宋_GB2312" w:hAnsi="Times New Roman" w:cs="宋体"/>
                <w:b/>
                <w:color w:val="000000"/>
                <w:sz w:val="24"/>
                <w:szCs w:val="28"/>
              </w:rPr>
            </w:pPr>
            <w:r>
              <w:rPr>
                <w:rFonts w:ascii="仿宋_GB2312" w:eastAsia="仿宋_GB2312" w:hAnsi="Times New Roman" w:cs="宋体" w:hint="eastAsia"/>
                <w:b/>
                <w:sz w:val="24"/>
                <w:szCs w:val="24"/>
              </w:rPr>
              <w:t>机构账户主要交易员信息（机构账户填写）</w:t>
            </w:r>
          </w:p>
        </w:tc>
      </w:tr>
      <w:tr w:rsidR="00FC3217" w:rsidTr="007E5952">
        <w:trPr>
          <w:gridBefore w:val="1"/>
          <w:wBefore w:w="20" w:type="dxa"/>
          <w:trHeight w:val="513"/>
        </w:trPr>
        <w:tc>
          <w:tcPr>
            <w:tcW w:w="708" w:type="dxa"/>
            <w:vAlign w:val="center"/>
          </w:tcPr>
          <w:p w:rsidR="00FC3217" w:rsidRDefault="00FC3217" w:rsidP="007E5952">
            <w:pPr>
              <w:widowControl/>
              <w:rPr>
                <w:rFonts w:ascii="仿宋_GB2312" w:eastAsia="仿宋_GB2312" w:hAnsi="Times New Roman" w:cs="宋体"/>
                <w:color w:val="000000"/>
                <w:sz w:val="24"/>
                <w:szCs w:val="28"/>
              </w:rPr>
            </w:pPr>
            <w:r>
              <w:rPr>
                <w:rFonts w:ascii="仿宋_GB2312" w:eastAsia="仿宋_GB2312" w:hAnsi="Times New Roman" w:cs="宋体" w:hint="eastAsia"/>
                <w:color w:val="000000"/>
                <w:sz w:val="24"/>
                <w:szCs w:val="28"/>
              </w:rPr>
              <w:t>序号</w:t>
            </w:r>
          </w:p>
        </w:tc>
        <w:tc>
          <w:tcPr>
            <w:tcW w:w="1133" w:type="dxa"/>
            <w:vAlign w:val="center"/>
          </w:tcPr>
          <w:p w:rsidR="00FC3217" w:rsidRDefault="00FC3217" w:rsidP="007E5952">
            <w:pPr>
              <w:widowControl/>
              <w:rPr>
                <w:rFonts w:ascii="仿宋_GB2312" w:eastAsia="仿宋_GB2312" w:hAnsi="Times New Roman" w:cs="宋体"/>
                <w:color w:val="000000"/>
                <w:sz w:val="24"/>
                <w:szCs w:val="28"/>
              </w:rPr>
            </w:pPr>
            <w:r>
              <w:rPr>
                <w:rFonts w:ascii="仿宋_GB2312" w:eastAsia="仿宋_GB2312" w:hAnsi="Times New Roman" w:cs="宋体" w:hint="eastAsia"/>
                <w:color w:val="000000"/>
                <w:sz w:val="24"/>
                <w:szCs w:val="28"/>
              </w:rPr>
              <w:t>名字</w:t>
            </w:r>
          </w:p>
        </w:tc>
        <w:tc>
          <w:tcPr>
            <w:tcW w:w="1414" w:type="dxa"/>
            <w:gridSpan w:val="2"/>
            <w:vAlign w:val="center"/>
          </w:tcPr>
          <w:p w:rsidR="00FC3217" w:rsidRDefault="00FC3217" w:rsidP="007E5952">
            <w:pPr>
              <w:widowControl/>
              <w:rPr>
                <w:rFonts w:ascii="仿宋_GB2312" w:eastAsia="仿宋_GB2312" w:hAnsi="Times New Roman" w:cs="宋体"/>
                <w:color w:val="000000"/>
                <w:sz w:val="24"/>
                <w:szCs w:val="28"/>
              </w:rPr>
            </w:pPr>
            <w:r>
              <w:rPr>
                <w:rFonts w:ascii="仿宋_GB2312" w:eastAsia="仿宋_GB2312" w:hAnsi="Times New Roman" w:cs="宋体" w:hint="eastAsia"/>
                <w:color w:val="000000"/>
                <w:sz w:val="24"/>
                <w:szCs w:val="28"/>
              </w:rPr>
              <w:t>工作城市</w:t>
            </w:r>
          </w:p>
        </w:tc>
        <w:tc>
          <w:tcPr>
            <w:tcW w:w="1274" w:type="dxa"/>
            <w:vAlign w:val="center"/>
          </w:tcPr>
          <w:p w:rsidR="00FC3217" w:rsidRDefault="00FC3217" w:rsidP="007E5952">
            <w:pPr>
              <w:widowControl/>
              <w:rPr>
                <w:rFonts w:ascii="仿宋_GB2312" w:eastAsia="仿宋_GB2312" w:hAnsi="Times New Roman" w:cs="宋体"/>
                <w:color w:val="000000"/>
                <w:sz w:val="24"/>
                <w:szCs w:val="28"/>
              </w:rPr>
            </w:pPr>
            <w:r>
              <w:rPr>
                <w:rFonts w:ascii="仿宋_GB2312" w:eastAsia="仿宋_GB2312" w:hAnsi="Times New Roman" w:cs="宋体" w:hint="eastAsia"/>
                <w:color w:val="000000"/>
                <w:sz w:val="24"/>
                <w:szCs w:val="28"/>
              </w:rPr>
              <w:t>工作年限</w:t>
            </w:r>
          </w:p>
        </w:tc>
        <w:tc>
          <w:tcPr>
            <w:tcW w:w="1415" w:type="dxa"/>
            <w:gridSpan w:val="2"/>
            <w:vAlign w:val="center"/>
          </w:tcPr>
          <w:p w:rsidR="00FC3217" w:rsidRDefault="00FC3217" w:rsidP="007E5952">
            <w:pPr>
              <w:widowControl/>
              <w:rPr>
                <w:rFonts w:ascii="仿宋_GB2312" w:eastAsia="仿宋_GB2312" w:hAnsi="Times New Roman" w:cs="宋体"/>
                <w:color w:val="000000"/>
                <w:sz w:val="24"/>
                <w:szCs w:val="28"/>
              </w:rPr>
            </w:pPr>
            <w:r>
              <w:rPr>
                <w:rFonts w:ascii="仿宋_GB2312" w:eastAsia="仿宋_GB2312" w:hAnsi="Times New Roman" w:cs="宋体" w:hint="eastAsia"/>
                <w:color w:val="000000"/>
                <w:sz w:val="24"/>
                <w:szCs w:val="28"/>
              </w:rPr>
              <w:t>联系方式</w:t>
            </w:r>
          </w:p>
        </w:tc>
        <w:tc>
          <w:tcPr>
            <w:tcW w:w="1839" w:type="dxa"/>
            <w:gridSpan w:val="3"/>
            <w:vAlign w:val="center"/>
          </w:tcPr>
          <w:p w:rsidR="00FC3217" w:rsidRDefault="00FC3217" w:rsidP="007E5952">
            <w:pPr>
              <w:widowControl/>
              <w:rPr>
                <w:rFonts w:ascii="仿宋_GB2312" w:eastAsia="仿宋_GB2312" w:hAnsi="Times New Roman" w:cs="宋体"/>
                <w:color w:val="000000"/>
                <w:sz w:val="24"/>
                <w:szCs w:val="28"/>
              </w:rPr>
            </w:pPr>
            <w:r>
              <w:rPr>
                <w:rFonts w:ascii="仿宋_GB2312" w:eastAsia="仿宋_GB2312" w:hAnsi="Times New Roman" w:cs="宋体" w:hint="eastAsia"/>
                <w:color w:val="000000"/>
                <w:sz w:val="24"/>
                <w:szCs w:val="28"/>
              </w:rPr>
              <w:t>是否有境外交易经历（是/否）</w:t>
            </w:r>
          </w:p>
        </w:tc>
        <w:tc>
          <w:tcPr>
            <w:tcW w:w="2689" w:type="dxa"/>
            <w:gridSpan w:val="3"/>
            <w:vAlign w:val="center"/>
          </w:tcPr>
          <w:p w:rsidR="00FC3217" w:rsidRDefault="00FC3217" w:rsidP="007E5952">
            <w:pPr>
              <w:widowControl/>
              <w:rPr>
                <w:rFonts w:ascii="仿宋_GB2312" w:eastAsia="仿宋_GB2312" w:hAnsi="Times New Roman" w:cs="宋体"/>
                <w:color w:val="000000"/>
                <w:sz w:val="24"/>
                <w:szCs w:val="28"/>
              </w:rPr>
            </w:pPr>
            <w:r>
              <w:rPr>
                <w:rFonts w:ascii="仿宋_GB2312" w:eastAsia="仿宋_GB2312" w:hAnsi="Times New Roman" w:cs="宋体" w:hint="eastAsia"/>
                <w:color w:val="000000"/>
                <w:sz w:val="24"/>
                <w:szCs w:val="28"/>
              </w:rPr>
              <w:t>期权交易经历简介</w:t>
            </w:r>
          </w:p>
        </w:tc>
      </w:tr>
      <w:tr w:rsidR="00FC3217" w:rsidTr="007E5952">
        <w:trPr>
          <w:gridBefore w:val="1"/>
          <w:wBefore w:w="20" w:type="dxa"/>
          <w:trHeight w:val="548"/>
        </w:trPr>
        <w:tc>
          <w:tcPr>
            <w:tcW w:w="708" w:type="dxa"/>
            <w:vAlign w:val="center"/>
          </w:tcPr>
          <w:p w:rsidR="00FC3217" w:rsidRDefault="00FC3217" w:rsidP="007E5952">
            <w:pPr>
              <w:widowControl/>
              <w:rPr>
                <w:rFonts w:ascii="仿宋_GB2312" w:eastAsia="仿宋_GB2312" w:hAnsi="Times New Roman" w:cs="宋体"/>
                <w:color w:val="000000"/>
                <w:sz w:val="24"/>
                <w:szCs w:val="28"/>
              </w:rPr>
            </w:pPr>
            <w:r>
              <w:rPr>
                <w:rFonts w:ascii="仿宋_GB2312" w:eastAsia="仿宋_GB2312" w:hAnsi="Times New Roman" w:cs="宋体" w:hint="eastAsia"/>
                <w:color w:val="000000"/>
                <w:sz w:val="24"/>
                <w:szCs w:val="28"/>
              </w:rPr>
              <w:t>1</w:t>
            </w:r>
          </w:p>
        </w:tc>
        <w:tc>
          <w:tcPr>
            <w:tcW w:w="1133" w:type="dxa"/>
            <w:vAlign w:val="center"/>
          </w:tcPr>
          <w:p w:rsidR="00FC3217" w:rsidRDefault="00FC3217" w:rsidP="007E5952">
            <w:pPr>
              <w:widowControl/>
              <w:rPr>
                <w:rFonts w:ascii="仿宋_GB2312" w:eastAsia="仿宋_GB2312" w:hAnsi="Times New Roman" w:cs="宋体"/>
                <w:color w:val="000000"/>
                <w:sz w:val="24"/>
                <w:szCs w:val="28"/>
              </w:rPr>
            </w:pPr>
          </w:p>
        </w:tc>
        <w:tc>
          <w:tcPr>
            <w:tcW w:w="1414" w:type="dxa"/>
            <w:gridSpan w:val="2"/>
            <w:vAlign w:val="center"/>
          </w:tcPr>
          <w:p w:rsidR="00FC3217" w:rsidRDefault="00FC3217" w:rsidP="007E5952">
            <w:pPr>
              <w:widowControl/>
              <w:rPr>
                <w:rFonts w:ascii="仿宋_GB2312" w:eastAsia="仿宋_GB2312" w:hAnsi="Times New Roman" w:cs="宋体"/>
                <w:color w:val="000000"/>
                <w:sz w:val="24"/>
                <w:szCs w:val="28"/>
              </w:rPr>
            </w:pPr>
          </w:p>
        </w:tc>
        <w:tc>
          <w:tcPr>
            <w:tcW w:w="1274" w:type="dxa"/>
            <w:vAlign w:val="center"/>
          </w:tcPr>
          <w:p w:rsidR="00FC3217" w:rsidRDefault="00FC3217" w:rsidP="007E5952">
            <w:pPr>
              <w:widowControl/>
              <w:rPr>
                <w:rFonts w:ascii="仿宋_GB2312" w:eastAsia="仿宋_GB2312" w:hAnsi="Times New Roman" w:cs="宋体"/>
                <w:color w:val="000000"/>
                <w:sz w:val="24"/>
                <w:szCs w:val="28"/>
              </w:rPr>
            </w:pPr>
          </w:p>
        </w:tc>
        <w:tc>
          <w:tcPr>
            <w:tcW w:w="1415" w:type="dxa"/>
            <w:gridSpan w:val="2"/>
            <w:vAlign w:val="center"/>
          </w:tcPr>
          <w:p w:rsidR="00FC3217" w:rsidRDefault="00FC3217" w:rsidP="007E5952">
            <w:pPr>
              <w:widowControl/>
              <w:rPr>
                <w:rFonts w:ascii="仿宋_GB2312" w:eastAsia="仿宋_GB2312" w:hAnsi="Times New Roman" w:cs="宋体"/>
                <w:color w:val="000000"/>
                <w:sz w:val="24"/>
                <w:szCs w:val="28"/>
              </w:rPr>
            </w:pPr>
          </w:p>
        </w:tc>
        <w:tc>
          <w:tcPr>
            <w:tcW w:w="1839" w:type="dxa"/>
            <w:gridSpan w:val="3"/>
            <w:vAlign w:val="center"/>
          </w:tcPr>
          <w:p w:rsidR="00FC3217" w:rsidRDefault="00FC3217" w:rsidP="007E5952">
            <w:pPr>
              <w:widowControl/>
              <w:rPr>
                <w:rFonts w:ascii="仿宋_GB2312" w:eastAsia="仿宋_GB2312" w:hAnsi="Times New Roman" w:cs="宋体"/>
                <w:color w:val="000000"/>
                <w:sz w:val="24"/>
                <w:szCs w:val="28"/>
              </w:rPr>
            </w:pPr>
          </w:p>
        </w:tc>
        <w:tc>
          <w:tcPr>
            <w:tcW w:w="2689" w:type="dxa"/>
            <w:gridSpan w:val="3"/>
            <w:vAlign w:val="center"/>
          </w:tcPr>
          <w:p w:rsidR="00FC3217" w:rsidRDefault="00FC3217" w:rsidP="007E5952">
            <w:pPr>
              <w:widowControl/>
              <w:rPr>
                <w:rFonts w:ascii="仿宋_GB2312" w:eastAsia="仿宋_GB2312" w:hAnsi="Times New Roman" w:cs="宋体"/>
                <w:color w:val="000000"/>
                <w:sz w:val="24"/>
                <w:szCs w:val="28"/>
              </w:rPr>
            </w:pPr>
          </w:p>
        </w:tc>
      </w:tr>
      <w:tr w:rsidR="00FC3217" w:rsidTr="007E5952">
        <w:trPr>
          <w:gridBefore w:val="1"/>
          <w:wBefore w:w="20" w:type="dxa"/>
          <w:trHeight w:val="570"/>
        </w:trPr>
        <w:tc>
          <w:tcPr>
            <w:tcW w:w="708" w:type="dxa"/>
            <w:vAlign w:val="center"/>
          </w:tcPr>
          <w:p w:rsidR="00FC3217" w:rsidRDefault="00FC3217" w:rsidP="007E5952">
            <w:pPr>
              <w:widowControl/>
              <w:rPr>
                <w:rFonts w:ascii="仿宋_GB2312" w:eastAsia="仿宋_GB2312" w:hAnsi="Times New Roman" w:cs="宋体"/>
                <w:color w:val="000000"/>
                <w:sz w:val="24"/>
                <w:szCs w:val="28"/>
              </w:rPr>
            </w:pPr>
            <w:r>
              <w:rPr>
                <w:rFonts w:ascii="仿宋_GB2312" w:eastAsia="仿宋_GB2312" w:hAnsi="Times New Roman" w:cs="宋体" w:hint="eastAsia"/>
                <w:color w:val="000000"/>
                <w:sz w:val="24"/>
                <w:szCs w:val="28"/>
              </w:rPr>
              <w:t>2</w:t>
            </w:r>
          </w:p>
        </w:tc>
        <w:tc>
          <w:tcPr>
            <w:tcW w:w="1133" w:type="dxa"/>
            <w:vAlign w:val="center"/>
          </w:tcPr>
          <w:p w:rsidR="00FC3217" w:rsidRDefault="00FC3217" w:rsidP="007E5952">
            <w:pPr>
              <w:widowControl/>
              <w:rPr>
                <w:rFonts w:ascii="仿宋_GB2312" w:eastAsia="仿宋_GB2312" w:hAnsi="Times New Roman" w:cs="宋体"/>
                <w:color w:val="000000"/>
                <w:sz w:val="24"/>
                <w:szCs w:val="28"/>
              </w:rPr>
            </w:pPr>
          </w:p>
        </w:tc>
        <w:tc>
          <w:tcPr>
            <w:tcW w:w="1414" w:type="dxa"/>
            <w:gridSpan w:val="2"/>
            <w:vAlign w:val="center"/>
          </w:tcPr>
          <w:p w:rsidR="00FC3217" w:rsidRDefault="00FC3217" w:rsidP="007E5952">
            <w:pPr>
              <w:widowControl/>
              <w:rPr>
                <w:rFonts w:ascii="仿宋_GB2312" w:eastAsia="仿宋_GB2312" w:hAnsi="Times New Roman" w:cs="宋体"/>
                <w:color w:val="000000"/>
                <w:sz w:val="24"/>
                <w:szCs w:val="28"/>
              </w:rPr>
            </w:pPr>
          </w:p>
        </w:tc>
        <w:tc>
          <w:tcPr>
            <w:tcW w:w="1274" w:type="dxa"/>
            <w:vAlign w:val="center"/>
          </w:tcPr>
          <w:p w:rsidR="00FC3217" w:rsidRDefault="00FC3217" w:rsidP="007E5952">
            <w:pPr>
              <w:widowControl/>
              <w:rPr>
                <w:rFonts w:ascii="仿宋_GB2312" w:eastAsia="仿宋_GB2312" w:hAnsi="Times New Roman" w:cs="宋体"/>
                <w:color w:val="000000"/>
                <w:sz w:val="24"/>
                <w:szCs w:val="28"/>
              </w:rPr>
            </w:pPr>
          </w:p>
        </w:tc>
        <w:tc>
          <w:tcPr>
            <w:tcW w:w="1415" w:type="dxa"/>
            <w:gridSpan w:val="2"/>
            <w:vAlign w:val="center"/>
          </w:tcPr>
          <w:p w:rsidR="00FC3217" w:rsidRDefault="00FC3217" w:rsidP="007E5952">
            <w:pPr>
              <w:widowControl/>
              <w:rPr>
                <w:rFonts w:ascii="仿宋_GB2312" w:eastAsia="仿宋_GB2312" w:hAnsi="Times New Roman" w:cs="宋体"/>
                <w:color w:val="000000"/>
                <w:sz w:val="24"/>
                <w:szCs w:val="28"/>
              </w:rPr>
            </w:pPr>
          </w:p>
        </w:tc>
        <w:tc>
          <w:tcPr>
            <w:tcW w:w="1839" w:type="dxa"/>
            <w:gridSpan w:val="3"/>
            <w:vAlign w:val="center"/>
          </w:tcPr>
          <w:p w:rsidR="00FC3217" w:rsidRDefault="00FC3217" w:rsidP="007E5952">
            <w:pPr>
              <w:widowControl/>
              <w:rPr>
                <w:rFonts w:ascii="仿宋_GB2312" w:eastAsia="仿宋_GB2312" w:hAnsi="Times New Roman" w:cs="宋体"/>
                <w:color w:val="000000"/>
                <w:sz w:val="24"/>
                <w:szCs w:val="28"/>
              </w:rPr>
            </w:pPr>
          </w:p>
        </w:tc>
        <w:tc>
          <w:tcPr>
            <w:tcW w:w="2689" w:type="dxa"/>
            <w:gridSpan w:val="3"/>
            <w:vAlign w:val="center"/>
          </w:tcPr>
          <w:p w:rsidR="00FC3217" w:rsidRDefault="00FC3217" w:rsidP="007E5952">
            <w:pPr>
              <w:widowControl/>
              <w:rPr>
                <w:rFonts w:ascii="仿宋_GB2312" w:eastAsia="仿宋_GB2312" w:hAnsi="Times New Roman" w:cs="宋体"/>
                <w:color w:val="000000"/>
                <w:sz w:val="24"/>
                <w:szCs w:val="28"/>
              </w:rPr>
            </w:pPr>
          </w:p>
        </w:tc>
      </w:tr>
      <w:tr w:rsidR="00FC3217" w:rsidTr="007E5952">
        <w:trPr>
          <w:gridBefore w:val="1"/>
          <w:wBefore w:w="20" w:type="dxa"/>
          <w:trHeight w:val="564"/>
        </w:trPr>
        <w:tc>
          <w:tcPr>
            <w:tcW w:w="708" w:type="dxa"/>
            <w:vAlign w:val="center"/>
          </w:tcPr>
          <w:p w:rsidR="00FC3217" w:rsidRDefault="00FC3217" w:rsidP="007E5952">
            <w:pPr>
              <w:widowControl/>
              <w:rPr>
                <w:rFonts w:ascii="仿宋_GB2312" w:eastAsia="仿宋_GB2312" w:hAnsi="Times New Roman" w:cs="宋体"/>
                <w:color w:val="000000"/>
                <w:sz w:val="24"/>
                <w:szCs w:val="28"/>
              </w:rPr>
            </w:pPr>
            <w:r>
              <w:rPr>
                <w:rFonts w:ascii="仿宋_GB2312" w:eastAsia="仿宋_GB2312" w:hAnsi="Times New Roman" w:cs="宋体" w:hint="eastAsia"/>
                <w:color w:val="000000"/>
                <w:sz w:val="24"/>
                <w:szCs w:val="28"/>
              </w:rPr>
              <w:t>3</w:t>
            </w:r>
          </w:p>
        </w:tc>
        <w:tc>
          <w:tcPr>
            <w:tcW w:w="1133" w:type="dxa"/>
            <w:vAlign w:val="center"/>
          </w:tcPr>
          <w:p w:rsidR="00FC3217" w:rsidRDefault="00FC3217" w:rsidP="007E5952">
            <w:pPr>
              <w:widowControl/>
              <w:rPr>
                <w:rFonts w:ascii="仿宋_GB2312" w:eastAsia="仿宋_GB2312" w:hAnsi="Times New Roman" w:cs="宋体"/>
                <w:color w:val="000000"/>
                <w:sz w:val="24"/>
                <w:szCs w:val="28"/>
              </w:rPr>
            </w:pPr>
          </w:p>
        </w:tc>
        <w:tc>
          <w:tcPr>
            <w:tcW w:w="1414" w:type="dxa"/>
            <w:gridSpan w:val="2"/>
            <w:vAlign w:val="center"/>
          </w:tcPr>
          <w:p w:rsidR="00FC3217" w:rsidRDefault="00FC3217" w:rsidP="007E5952">
            <w:pPr>
              <w:widowControl/>
              <w:rPr>
                <w:rFonts w:ascii="仿宋_GB2312" w:eastAsia="仿宋_GB2312" w:hAnsi="Times New Roman" w:cs="宋体"/>
                <w:color w:val="000000"/>
                <w:sz w:val="24"/>
                <w:szCs w:val="28"/>
              </w:rPr>
            </w:pPr>
          </w:p>
        </w:tc>
        <w:tc>
          <w:tcPr>
            <w:tcW w:w="1274" w:type="dxa"/>
            <w:vAlign w:val="center"/>
          </w:tcPr>
          <w:p w:rsidR="00FC3217" w:rsidRDefault="00FC3217" w:rsidP="007E5952">
            <w:pPr>
              <w:widowControl/>
              <w:rPr>
                <w:rFonts w:ascii="仿宋_GB2312" w:eastAsia="仿宋_GB2312" w:hAnsi="Times New Roman" w:cs="宋体"/>
                <w:color w:val="000000"/>
                <w:sz w:val="24"/>
                <w:szCs w:val="28"/>
              </w:rPr>
            </w:pPr>
          </w:p>
        </w:tc>
        <w:tc>
          <w:tcPr>
            <w:tcW w:w="1415" w:type="dxa"/>
            <w:gridSpan w:val="2"/>
            <w:vAlign w:val="center"/>
          </w:tcPr>
          <w:p w:rsidR="00FC3217" w:rsidRDefault="00FC3217" w:rsidP="007E5952">
            <w:pPr>
              <w:widowControl/>
              <w:rPr>
                <w:rFonts w:ascii="仿宋_GB2312" w:eastAsia="仿宋_GB2312" w:hAnsi="Times New Roman" w:cs="宋体"/>
                <w:color w:val="000000"/>
                <w:sz w:val="24"/>
                <w:szCs w:val="28"/>
              </w:rPr>
            </w:pPr>
          </w:p>
        </w:tc>
        <w:tc>
          <w:tcPr>
            <w:tcW w:w="1839" w:type="dxa"/>
            <w:gridSpan w:val="3"/>
            <w:vAlign w:val="center"/>
          </w:tcPr>
          <w:p w:rsidR="00FC3217" w:rsidRDefault="00FC3217" w:rsidP="007E5952">
            <w:pPr>
              <w:widowControl/>
              <w:rPr>
                <w:rFonts w:ascii="仿宋_GB2312" w:eastAsia="仿宋_GB2312" w:hAnsi="Times New Roman" w:cs="宋体"/>
                <w:color w:val="000000"/>
                <w:sz w:val="24"/>
                <w:szCs w:val="28"/>
              </w:rPr>
            </w:pPr>
          </w:p>
        </w:tc>
        <w:tc>
          <w:tcPr>
            <w:tcW w:w="2689" w:type="dxa"/>
            <w:gridSpan w:val="3"/>
            <w:vAlign w:val="center"/>
          </w:tcPr>
          <w:p w:rsidR="00FC3217" w:rsidRDefault="00FC3217" w:rsidP="007E5952">
            <w:pPr>
              <w:widowControl/>
              <w:rPr>
                <w:rFonts w:ascii="仿宋_GB2312" w:eastAsia="仿宋_GB2312" w:hAnsi="Times New Roman" w:cs="宋体"/>
                <w:color w:val="000000"/>
                <w:sz w:val="24"/>
                <w:szCs w:val="28"/>
              </w:rPr>
            </w:pPr>
          </w:p>
        </w:tc>
      </w:tr>
      <w:tr w:rsidR="00FC3217" w:rsidTr="007E5952">
        <w:trPr>
          <w:gridBefore w:val="1"/>
          <w:wBefore w:w="20" w:type="dxa"/>
          <w:trHeight w:val="544"/>
        </w:trPr>
        <w:tc>
          <w:tcPr>
            <w:tcW w:w="708" w:type="dxa"/>
            <w:tcBorders>
              <w:bottom w:val="single" w:sz="4" w:space="0" w:color="auto"/>
            </w:tcBorders>
            <w:vAlign w:val="center"/>
          </w:tcPr>
          <w:p w:rsidR="00FC3217" w:rsidRDefault="00FC3217" w:rsidP="007E5952">
            <w:pPr>
              <w:widowControl/>
              <w:rPr>
                <w:rFonts w:ascii="仿宋_GB2312" w:eastAsia="仿宋_GB2312" w:hAnsi="Times New Roman" w:cs="宋体"/>
                <w:color w:val="000000"/>
                <w:sz w:val="24"/>
                <w:szCs w:val="28"/>
              </w:rPr>
            </w:pPr>
            <w:r>
              <w:rPr>
                <w:rFonts w:ascii="仿宋_GB2312" w:eastAsia="仿宋_GB2312" w:hAnsi="Times New Roman" w:cs="宋体" w:hint="eastAsia"/>
                <w:color w:val="000000"/>
                <w:sz w:val="24"/>
                <w:szCs w:val="28"/>
              </w:rPr>
              <w:t>4</w:t>
            </w:r>
          </w:p>
        </w:tc>
        <w:tc>
          <w:tcPr>
            <w:tcW w:w="1133" w:type="dxa"/>
            <w:tcBorders>
              <w:bottom w:val="single" w:sz="4" w:space="0" w:color="auto"/>
            </w:tcBorders>
            <w:vAlign w:val="center"/>
          </w:tcPr>
          <w:p w:rsidR="00FC3217" w:rsidRDefault="00FC3217" w:rsidP="007E5952">
            <w:pPr>
              <w:widowControl/>
              <w:rPr>
                <w:rFonts w:ascii="仿宋_GB2312" w:eastAsia="仿宋_GB2312" w:hAnsi="Times New Roman" w:cs="宋体"/>
                <w:color w:val="000000"/>
                <w:sz w:val="24"/>
                <w:szCs w:val="28"/>
              </w:rPr>
            </w:pPr>
          </w:p>
        </w:tc>
        <w:tc>
          <w:tcPr>
            <w:tcW w:w="1414" w:type="dxa"/>
            <w:gridSpan w:val="2"/>
            <w:tcBorders>
              <w:bottom w:val="single" w:sz="4" w:space="0" w:color="auto"/>
            </w:tcBorders>
            <w:vAlign w:val="center"/>
          </w:tcPr>
          <w:p w:rsidR="00FC3217" w:rsidRDefault="00FC3217" w:rsidP="007E5952">
            <w:pPr>
              <w:widowControl/>
              <w:rPr>
                <w:rFonts w:ascii="仿宋_GB2312" w:eastAsia="仿宋_GB2312" w:hAnsi="Times New Roman" w:cs="宋体"/>
                <w:color w:val="000000"/>
                <w:sz w:val="24"/>
                <w:szCs w:val="28"/>
              </w:rPr>
            </w:pPr>
          </w:p>
        </w:tc>
        <w:tc>
          <w:tcPr>
            <w:tcW w:w="1274" w:type="dxa"/>
            <w:tcBorders>
              <w:bottom w:val="single" w:sz="4" w:space="0" w:color="auto"/>
            </w:tcBorders>
            <w:vAlign w:val="center"/>
          </w:tcPr>
          <w:p w:rsidR="00FC3217" w:rsidRDefault="00FC3217" w:rsidP="007E5952">
            <w:pPr>
              <w:widowControl/>
              <w:rPr>
                <w:rFonts w:ascii="仿宋_GB2312" w:eastAsia="仿宋_GB2312" w:hAnsi="Times New Roman" w:cs="宋体"/>
                <w:color w:val="000000"/>
                <w:sz w:val="24"/>
                <w:szCs w:val="28"/>
              </w:rPr>
            </w:pPr>
          </w:p>
        </w:tc>
        <w:tc>
          <w:tcPr>
            <w:tcW w:w="1415" w:type="dxa"/>
            <w:gridSpan w:val="2"/>
            <w:tcBorders>
              <w:bottom w:val="single" w:sz="4" w:space="0" w:color="auto"/>
            </w:tcBorders>
            <w:vAlign w:val="center"/>
          </w:tcPr>
          <w:p w:rsidR="00FC3217" w:rsidRDefault="00FC3217" w:rsidP="007E5952">
            <w:pPr>
              <w:widowControl/>
              <w:rPr>
                <w:rFonts w:ascii="仿宋_GB2312" w:eastAsia="仿宋_GB2312" w:hAnsi="Times New Roman" w:cs="宋体"/>
                <w:color w:val="000000"/>
                <w:sz w:val="24"/>
                <w:szCs w:val="28"/>
              </w:rPr>
            </w:pPr>
          </w:p>
        </w:tc>
        <w:tc>
          <w:tcPr>
            <w:tcW w:w="1839" w:type="dxa"/>
            <w:gridSpan w:val="3"/>
            <w:tcBorders>
              <w:bottom w:val="single" w:sz="4" w:space="0" w:color="auto"/>
            </w:tcBorders>
            <w:vAlign w:val="center"/>
          </w:tcPr>
          <w:p w:rsidR="00FC3217" w:rsidRDefault="00FC3217" w:rsidP="007E5952">
            <w:pPr>
              <w:widowControl/>
              <w:rPr>
                <w:rFonts w:ascii="仿宋_GB2312" w:eastAsia="仿宋_GB2312" w:hAnsi="Times New Roman" w:cs="宋体"/>
                <w:color w:val="000000"/>
                <w:sz w:val="24"/>
                <w:szCs w:val="28"/>
              </w:rPr>
            </w:pPr>
          </w:p>
        </w:tc>
        <w:tc>
          <w:tcPr>
            <w:tcW w:w="2689" w:type="dxa"/>
            <w:gridSpan w:val="3"/>
            <w:tcBorders>
              <w:bottom w:val="single" w:sz="4" w:space="0" w:color="auto"/>
            </w:tcBorders>
            <w:vAlign w:val="center"/>
          </w:tcPr>
          <w:p w:rsidR="00FC3217" w:rsidRDefault="00FC3217" w:rsidP="007E5952">
            <w:pPr>
              <w:widowControl/>
              <w:rPr>
                <w:rFonts w:ascii="仿宋_GB2312" w:eastAsia="仿宋_GB2312" w:hAnsi="Times New Roman" w:cs="宋体"/>
                <w:color w:val="000000"/>
                <w:sz w:val="24"/>
                <w:szCs w:val="28"/>
              </w:rPr>
            </w:pPr>
          </w:p>
        </w:tc>
      </w:tr>
      <w:tr w:rsidR="00FC3217" w:rsidTr="007E5952">
        <w:trPr>
          <w:gridBefore w:val="1"/>
          <w:wBefore w:w="20" w:type="dxa"/>
        </w:trPr>
        <w:tc>
          <w:tcPr>
            <w:tcW w:w="10472" w:type="dxa"/>
            <w:gridSpan w:val="13"/>
            <w:shd w:val="clear" w:color="auto" w:fill="63B86C"/>
          </w:tcPr>
          <w:p w:rsidR="00FC3217" w:rsidRDefault="00FC3217" w:rsidP="00021BE0">
            <w:pPr>
              <w:spacing w:beforeLines="50" w:afterLines="50"/>
              <w:jc w:val="center"/>
              <w:rPr>
                <w:rFonts w:ascii="仿宋_GB2312" w:eastAsia="仿宋_GB2312" w:hAnsi="Times New Roman" w:cs="宋体"/>
                <w:b/>
                <w:sz w:val="24"/>
                <w:szCs w:val="24"/>
              </w:rPr>
            </w:pPr>
            <w:r>
              <w:rPr>
                <w:rFonts w:ascii="仿宋_GB2312" w:eastAsia="仿宋_GB2312" w:hAnsi="Times New Roman" w:cs="宋体" w:hint="eastAsia"/>
                <w:b/>
                <w:sz w:val="24"/>
                <w:szCs w:val="24"/>
              </w:rPr>
              <w:t>程序交易相关信息</w:t>
            </w:r>
          </w:p>
        </w:tc>
      </w:tr>
      <w:tr w:rsidR="00FC3217" w:rsidTr="007E5952">
        <w:trPr>
          <w:gridBefore w:val="1"/>
          <w:wBefore w:w="20" w:type="dxa"/>
        </w:trPr>
        <w:tc>
          <w:tcPr>
            <w:tcW w:w="2689" w:type="dxa"/>
            <w:gridSpan w:val="3"/>
          </w:tcPr>
          <w:p w:rsidR="00FC3217" w:rsidRDefault="00FC3217" w:rsidP="00021BE0">
            <w:pPr>
              <w:spacing w:beforeLines="50" w:afterLines="50"/>
              <w:rPr>
                <w:rFonts w:ascii="仿宋_GB2312" w:eastAsia="仿宋_GB2312" w:hAnsi="Times New Roman" w:cs="宋体"/>
                <w:sz w:val="24"/>
                <w:szCs w:val="24"/>
              </w:rPr>
            </w:pPr>
            <w:r>
              <w:rPr>
                <w:rFonts w:ascii="仿宋_GB2312" w:eastAsia="仿宋_GB2312" w:hAnsi="Times New Roman" w:cs="宋体" w:hint="eastAsia"/>
                <w:sz w:val="24"/>
                <w:szCs w:val="24"/>
              </w:rPr>
              <w:t>交易系统服务器</w:t>
            </w:r>
          </w:p>
          <w:p w:rsidR="00173848" w:rsidRDefault="00FC3217" w:rsidP="00021BE0">
            <w:pPr>
              <w:spacing w:beforeLines="50" w:afterLines="50"/>
              <w:rPr>
                <w:rFonts w:ascii="仿宋_GB2312" w:eastAsia="仿宋_GB2312" w:hAnsi="Times New Roman" w:cs="宋体"/>
                <w:sz w:val="24"/>
                <w:szCs w:val="24"/>
              </w:rPr>
            </w:pPr>
            <w:r>
              <w:rPr>
                <w:rFonts w:ascii="仿宋_GB2312" w:eastAsia="仿宋_GB2312" w:hAnsi="Times New Roman" w:cs="宋体" w:hint="eastAsia"/>
                <w:sz w:val="24"/>
                <w:szCs w:val="24"/>
              </w:rPr>
              <w:t>所在城市</w:t>
            </w:r>
          </w:p>
        </w:tc>
        <w:tc>
          <w:tcPr>
            <w:tcW w:w="3255" w:type="dxa"/>
            <w:gridSpan w:val="4"/>
          </w:tcPr>
          <w:p w:rsidR="00173848" w:rsidRDefault="00173848" w:rsidP="00021BE0">
            <w:pPr>
              <w:spacing w:beforeLines="50" w:afterLines="50"/>
              <w:rPr>
                <w:rFonts w:ascii="仿宋_GB2312" w:eastAsia="仿宋_GB2312" w:hAnsi="Times New Roman" w:cs="宋体"/>
                <w:sz w:val="24"/>
                <w:szCs w:val="24"/>
              </w:rPr>
            </w:pPr>
          </w:p>
        </w:tc>
        <w:tc>
          <w:tcPr>
            <w:tcW w:w="2264" w:type="dxa"/>
            <w:gridSpan w:val="5"/>
          </w:tcPr>
          <w:p w:rsidR="00173848" w:rsidRDefault="00FC3217" w:rsidP="00021BE0">
            <w:pPr>
              <w:spacing w:beforeLines="50" w:afterLines="50"/>
              <w:rPr>
                <w:rFonts w:ascii="仿宋_GB2312" w:eastAsia="仿宋_GB2312" w:hAnsi="Times New Roman" w:cs="宋体"/>
                <w:sz w:val="24"/>
                <w:szCs w:val="24"/>
              </w:rPr>
            </w:pPr>
            <w:r>
              <w:rPr>
                <w:rFonts w:ascii="仿宋_GB2312" w:eastAsia="仿宋_GB2312" w:hAnsi="Times New Roman" w:cs="宋体" w:hint="eastAsia"/>
                <w:sz w:val="24"/>
                <w:szCs w:val="24"/>
              </w:rPr>
              <w:t>下单系统服务器</w:t>
            </w:r>
          </w:p>
          <w:p w:rsidR="00173848" w:rsidRDefault="00FC3217" w:rsidP="00021BE0">
            <w:pPr>
              <w:spacing w:beforeLines="50" w:afterLines="50"/>
              <w:rPr>
                <w:rFonts w:ascii="仿宋_GB2312" w:eastAsia="仿宋_GB2312" w:hAnsi="Times New Roman" w:cs="宋体"/>
                <w:sz w:val="24"/>
                <w:szCs w:val="24"/>
              </w:rPr>
            </w:pPr>
            <w:r>
              <w:rPr>
                <w:rFonts w:ascii="仿宋_GB2312" w:eastAsia="仿宋_GB2312" w:hAnsi="Times New Roman" w:cs="宋体" w:hint="eastAsia"/>
                <w:sz w:val="24"/>
                <w:szCs w:val="24"/>
              </w:rPr>
              <w:t>所在城市</w:t>
            </w:r>
          </w:p>
        </w:tc>
        <w:tc>
          <w:tcPr>
            <w:tcW w:w="2264" w:type="dxa"/>
          </w:tcPr>
          <w:p w:rsidR="00173848" w:rsidRDefault="00173848" w:rsidP="00021BE0">
            <w:pPr>
              <w:spacing w:beforeLines="50" w:afterLines="50"/>
              <w:rPr>
                <w:rFonts w:ascii="仿宋_GB2312" w:eastAsia="仿宋_GB2312" w:hAnsi="Times New Roman" w:cs="宋体"/>
                <w:sz w:val="24"/>
                <w:szCs w:val="24"/>
              </w:rPr>
            </w:pPr>
          </w:p>
        </w:tc>
      </w:tr>
      <w:tr w:rsidR="00FC3217" w:rsidTr="007E5952">
        <w:trPr>
          <w:gridBefore w:val="1"/>
          <w:wBefore w:w="20" w:type="dxa"/>
          <w:trHeight w:val="802"/>
        </w:trPr>
        <w:tc>
          <w:tcPr>
            <w:tcW w:w="2689" w:type="dxa"/>
            <w:gridSpan w:val="3"/>
            <w:vAlign w:val="center"/>
          </w:tcPr>
          <w:p w:rsidR="00FC3217" w:rsidRDefault="00FC3217" w:rsidP="007E5952">
            <w:pPr>
              <w:widowControl/>
              <w:jc w:val="left"/>
              <w:rPr>
                <w:rFonts w:ascii="仿宋_GB2312" w:eastAsia="仿宋_GB2312" w:hAnsi="Times New Roman" w:cs="宋体"/>
                <w:sz w:val="24"/>
                <w:szCs w:val="28"/>
              </w:rPr>
            </w:pPr>
            <w:r>
              <w:rPr>
                <w:rFonts w:ascii="仿宋_GB2312" w:eastAsia="仿宋_GB2312" w:hAnsi="Times New Roman" w:cs="宋体" w:hint="eastAsia"/>
                <w:sz w:val="24"/>
                <w:szCs w:val="28"/>
              </w:rPr>
              <w:t>订单申报峰值</w:t>
            </w:r>
          </w:p>
        </w:tc>
        <w:tc>
          <w:tcPr>
            <w:tcW w:w="7783" w:type="dxa"/>
            <w:gridSpan w:val="10"/>
            <w:vAlign w:val="center"/>
          </w:tcPr>
          <w:p w:rsidR="00FC3217" w:rsidRDefault="00FC3217" w:rsidP="007E5952">
            <w:pPr>
              <w:widowControl/>
              <w:ind w:firstLineChars="150" w:firstLine="360"/>
              <w:jc w:val="left"/>
              <w:rPr>
                <w:rFonts w:ascii="仿宋_GB2312" w:eastAsia="仿宋_GB2312" w:hAnsi="Times New Roman" w:cs="宋体"/>
                <w:sz w:val="24"/>
                <w:szCs w:val="28"/>
              </w:rPr>
            </w:pPr>
            <w:r>
              <w:rPr>
                <w:rFonts w:ascii="仿宋_GB2312" w:eastAsia="仿宋_GB2312" w:hAnsi="Times New Roman" w:cs="宋体" w:hint="eastAsia"/>
                <w:sz w:val="24"/>
                <w:szCs w:val="28"/>
                <w:u w:val="single"/>
              </w:rPr>
              <w:t xml:space="preserve">    </w:t>
            </w:r>
            <w:r>
              <w:rPr>
                <w:rFonts w:ascii="仿宋_GB2312" w:eastAsia="仿宋_GB2312" w:hAnsi="Times New Roman" w:cs="宋体" w:hint="eastAsia"/>
                <w:sz w:val="24"/>
                <w:szCs w:val="28"/>
              </w:rPr>
              <w:t>笔/每秒</w:t>
            </w:r>
          </w:p>
          <w:p w:rsidR="00FC3217" w:rsidRDefault="00FC3217" w:rsidP="007E5952">
            <w:pPr>
              <w:widowControl/>
              <w:ind w:firstLineChars="150" w:firstLine="360"/>
              <w:jc w:val="left"/>
              <w:rPr>
                <w:rFonts w:ascii="仿宋_GB2312" w:eastAsia="仿宋_GB2312" w:hAnsi="Times New Roman" w:cs="宋体"/>
                <w:sz w:val="24"/>
                <w:szCs w:val="28"/>
              </w:rPr>
            </w:pPr>
            <w:r>
              <w:rPr>
                <w:rFonts w:ascii="仿宋_GB2312" w:eastAsia="仿宋_GB2312" w:hAnsi="Times New Roman" w:cs="宋体" w:hint="eastAsia"/>
                <w:sz w:val="24"/>
                <w:szCs w:val="28"/>
                <w:u w:val="single"/>
              </w:rPr>
              <w:t xml:space="preserve">    </w:t>
            </w:r>
            <w:r>
              <w:rPr>
                <w:rFonts w:ascii="仿宋_GB2312" w:eastAsia="仿宋_GB2312" w:hAnsi="Times New Roman" w:cs="宋体" w:hint="eastAsia"/>
                <w:sz w:val="24"/>
                <w:szCs w:val="28"/>
              </w:rPr>
              <w:t>笔/每天</w:t>
            </w:r>
          </w:p>
        </w:tc>
      </w:tr>
      <w:tr w:rsidR="00FC3217" w:rsidTr="007E5952">
        <w:trPr>
          <w:gridBefore w:val="1"/>
          <w:wBefore w:w="20" w:type="dxa"/>
        </w:trPr>
        <w:tc>
          <w:tcPr>
            <w:tcW w:w="2689" w:type="dxa"/>
            <w:gridSpan w:val="3"/>
          </w:tcPr>
          <w:p w:rsidR="00FC3217" w:rsidRDefault="00FC3217" w:rsidP="00021BE0">
            <w:pPr>
              <w:spacing w:beforeLines="50" w:afterLines="50"/>
              <w:rPr>
                <w:rFonts w:ascii="仿宋_GB2312" w:eastAsia="仿宋_GB2312" w:hAnsi="Times New Roman" w:cs="宋体"/>
                <w:sz w:val="24"/>
                <w:szCs w:val="24"/>
              </w:rPr>
            </w:pPr>
            <w:r>
              <w:rPr>
                <w:rFonts w:ascii="仿宋_GB2312" w:eastAsia="仿宋_GB2312" w:hAnsi="Times New Roman" w:cs="宋体" w:hint="eastAsia"/>
                <w:sz w:val="24"/>
                <w:szCs w:val="28"/>
              </w:rPr>
              <w:t>交易模式</w:t>
            </w:r>
          </w:p>
        </w:tc>
        <w:tc>
          <w:tcPr>
            <w:tcW w:w="7783" w:type="dxa"/>
            <w:gridSpan w:val="10"/>
          </w:tcPr>
          <w:p w:rsidR="00FC3217" w:rsidRDefault="00FC3217" w:rsidP="007E5952">
            <w:pPr>
              <w:widowControl/>
              <w:jc w:val="left"/>
              <w:rPr>
                <w:rFonts w:ascii="仿宋_GB2312" w:eastAsia="仿宋_GB2312" w:hAnsi="Times New Roman" w:cs="宋体"/>
                <w:sz w:val="24"/>
                <w:szCs w:val="28"/>
              </w:rPr>
            </w:pPr>
            <w:r>
              <w:rPr>
                <w:rFonts w:ascii="仿宋_GB2312" w:eastAsia="仿宋_GB2312" w:hAnsi="Times New Roman" w:cs="宋体" w:hint="eastAsia"/>
                <w:sz w:val="24"/>
                <w:szCs w:val="28"/>
              </w:rPr>
              <w:t>日内高频交易:□ 人工触发  □ 软件自动触发</w:t>
            </w:r>
          </w:p>
          <w:p w:rsidR="00FC3217" w:rsidRDefault="00FC3217" w:rsidP="007E5952">
            <w:pPr>
              <w:widowControl/>
              <w:jc w:val="left"/>
              <w:rPr>
                <w:rFonts w:ascii="仿宋_GB2312" w:eastAsia="仿宋_GB2312" w:hAnsi="Times New Roman" w:cs="宋体"/>
                <w:sz w:val="24"/>
                <w:szCs w:val="28"/>
              </w:rPr>
            </w:pPr>
          </w:p>
          <w:p w:rsidR="00FC3217" w:rsidRDefault="00FC3217" w:rsidP="007E5952">
            <w:pPr>
              <w:widowControl/>
              <w:jc w:val="left"/>
              <w:rPr>
                <w:rFonts w:ascii="仿宋_GB2312" w:eastAsia="仿宋_GB2312" w:hAnsi="Times New Roman" w:cs="宋体"/>
                <w:sz w:val="24"/>
                <w:szCs w:val="28"/>
              </w:rPr>
            </w:pPr>
            <w:r>
              <w:rPr>
                <w:rFonts w:ascii="仿宋_GB2312" w:eastAsia="仿宋_GB2312" w:hAnsi="Times New Roman" w:cs="宋体" w:hint="eastAsia"/>
                <w:sz w:val="24"/>
                <w:szCs w:val="28"/>
              </w:rPr>
              <w:t>日内非高频交易:□ 人工触发  □ 软件自动触发</w:t>
            </w:r>
          </w:p>
          <w:p w:rsidR="00FC3217" w:rsidRDefault="00FC3217" w:rsidP="007E5952">
            <w:pPr>
              <w:widowControl/>
              <w:jc w:val="left"/>
              <w:rPr>
                <w:rFonts w:ascii="仿宋_GB2312" w:eastAsia="仿宋_GB2312" w:hAnsi="Times New Roman" w:cs="宋体"/>
                <w:sz w:val="24"/>
                <w:szCs w:val="28"/>
              </w:rPr>
            </w:pPr>
          </w:p>
          <w:p w:rsidR="00FC3217" w:rsidRDefault="00FC3217" w:rsidP="007E5952">
            <w:pPr>
              <w:widowControl/>
              <w:jc w:val="left"/>
              <w:rPr>
                <w:rFonts w:ascii="仿宋_GB2312" w:eastAsia="仿宋_GB2312" w:hAnsi="Times New Roman" w:cs="宋体"/>
                <w:sz w:val="24"/>
                <w:szCs w:val="28"/>
              </w:rPr>
            </w:pPr>
            <w:r>
              <w:rPr>
                <w:rFonts w:ascii="仿宋_GB2312" w:eastAsia="仿宋_GB2312" w:hAnsi="Times New Roman" w:cs="宋体" w:hint="eastAsia"/>
                <w:sz w:val="24"/>
                <w:szCs w:val="28"/>
              </w:rPr>
              <w:t>□ 其他(请填写)：</w:t>
            </w:r>
            <w:r>
              <w:rPr>
                <w:rFonts w:ascii="仿宋_GB2312" w:eastAsia="仿宋_GB2312" w:hAnsi="Times New Roman" w:cs="宋体" w:hint="eastAsia"/>
                <w:sz w:val="24"/>
                <w:szCs w:val="28"/>
                <w:u w:val="single"/>
              </w:rPr>
              <w:t xml:space="preserve">       </w:t>
            </w:r>
          </w:p>
        </w:tc>
      </w:tr>
      <w:tr w:rsidR="00FC3217" w:rsidTr="007E5952">
        <w:trPr>
          <w:gridBefore w:val="1"/>
          <w:wBefore w:w="20" w:type="dxa"/>
        </w:trPr>
        <w:tc>
          <w:tcPr>
            <w:tcW w:w="2689" w:type="dxa"/>
            <w:gridSpan w:val="3"/>
          </w:tcPr>
          <w:p w:rsidR="00FC3217" w:rsidRDefault="00FC3217" w:rsidP="00021BE0">
            <w:pPr>
              <w:spacing w:beforeLines="50" w:afterLines="50"/>
              <w:rPr>
                <w:rFonts w:ascii="仿宋_GB2312" w:eastAsia="仿宋_GB2312" w:hAnsi="Times New Roman" w:cs="宋体"/>
                <w:sz w:val="24"/>
                <w:szCs w:val="28"/>
              </w:rPr>
            </w:pPr>
            <w:r>
              <w:rPr>
                <w:rFonts w:ascii="仿宋_GB2312" w:eastAsia="仿宋_GB2312" w:hAnsi="Times New Roman" w:cs="宋体" w:hint="eastAsia"/>
                <w:sz w:val="24"/>
                <w:szCs w:val="28"/>
              </w:rPr>
              <w:lastRenderedPageBreak/>
              <w:t>交易品种</w:t>
            </w:r>
          </w:p>
        </w:tc>
        <w:tc>
          <w:tcPr>
            <w:tcW w:w="7783" w:type="dxa"/>
            <w:gridSpan w:val="10"/>
          </w:tcPr>
          <w:p w:rsidR="00FC3217" w:rsidRDefault="00FC3217" w:rsidP="007E5952">
            <w:pPr>
              <w:widowControl/>
              <w:jc w:val="left"/>
              <w:rPr>
                <w:rFonts w:ascii="仿宋_GB2312" w:eastAsia="仿宋_GB2312" w:hAnsi="Times New Roman" w:cs="宋体"/>
                <w:sz w:val="24"/>
                <w:szCs w:val="28"/>
              </w:rPr>
            </w:pPr>
            <w:r>
              <w:rPr>
                <w:rFonts w:ascii="仿宋_GB2312" w:eastAsia="仿宋_GB2312" w:hAnsi="Times New Roman" w:cs="宋体" w:hint="eastAsia"/>
                <w:sz w:val="24"/>
                <w:szCs w:val="28"/>
              </w:rPr>
              <w:t xml:space="preserve">□ 期权市场 □ 现货市场 □ 期货市场 </w:t>
            </w:r>
          </w:p>
        </w:tc>
      </w:tr>
      <w:tr w:rsidR="00FC3217" w:rsidTr="007E5952">
        <w:trPr>
          <w:gridBefore w:val="1"/>
          <w:wBefore w:w="20" w:type="dxa"/>
          <w:trHeight w:val="2238"/>
        </w:trPr>
        <w:tc>
          <w:tcPr>
            <w:tcW w:w="2689" w:type="dxa"/>
            <w:gridSpan w:val="3"/>
          </w:tcPr>
          <w:p w:rsidR="00FC3217" w:rsidRDefault="00FC3217" w:rsidP="00021BE0">
            <w:pPr>
              <w:spacing w:beforeLines="50" w:afterLines="50"/>
              <w:rPr>
                <w:rFonts w:ascii="仿宋_GB2312" w:eastAsia="仿宋_GB2312" w:hAnsi="Times New Roman" w:cs="宋体"/>
                <w:sz w:val="24"/>
                <w:szCs w:val="24"/>
              </w:rPr>
            </w:pPr>
            <w:r>
              <w:rPr>
                <w:rFonts w:ascii="仿宋_GB2312" w:eastAsia="仿宋_GB2312" w:hAnsi="Times New Roman" w:cs="宋体" w:hint="eastAsia"/>
                <w:sz w:val="24"/>
                <w:szCs w:val="28"/>
              </w:rPr>
              <w:t>交易策略类型及简要说明</w:t>
            </w:r>
          </w:p>
        </w:tc>
        <w:tc>
          <w:tcPr>
            <w:tcW w:w="7783" w:type="dxa"/>
            <w:gridSpan w:val="10"/>
          </w:tcPr>
          <w:p w:rsidR="00FC3217" w:rsidRDefault="00FC3217" w:rsidP="007E5952">
            <w:pPr>
              <w:widowControl/>
              <w:jc w:val="left"/>
              <w:rPr>
                <w:rFonts w:ascii="仿宋_GB2312" w:eastAsia="仿宋_GB2312" w:hAnsi="Times New Roman" w:cs="宋体"/>
                <w:sz w:val="24"/>
                <w:szCs w:val="28"/>
              </w:rPr>
            </w:pPr>
          </w:p>
        </w:tc>
      </w:tr>
      <w:tr w:rsidR="00FC3217" w:rsidTr="007E59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10492" w:type="dxa"/>
            <w:gridSpan w:val="14"/>
            <w:tcBorders>
              <w:top w:val="single" w:sz="4" w:space="0" w:color="auto"/>
              <w:left w:val="single" w:sz="4" w:space="0" w:color="auto"/>
              <w:bottom w:val="single" w:sz="4" w:space="0" w:color="auto"/>
              <w:right w:val="single" w:sz="4" w:space="0" w:color="auto"/>
            </w:tcBorders>
            <w:shd w:val="clear" w:color="auto" w:fill="63B86C"/>
            <w:vAlign w:val="center"/>
          </w:tcPr>
          <w:p w:rsidR="00FC3217" w:rsidRDefault="00FC3217" w:rsidP="007E5952">
            <w:pPr>
              <w:widowControl/>
              <w:jc w:val="center"/>
              <w:rPr>
                <w:rFonts w:ascii="仿宋_GB2312" w:eastAsia="仿宋_GB2312" w:hAnsi="Times New Roman" w:cs="宋体"/>
                <w:b/>
                <w:kern w:val="0"/>
                <w:sz w:val="24"/>
                <w:szCs w:val="28"/>
              </w:rPr>
            </w:pPr>
            <w:r>
              <w:rPr>
                <w:rFonts w:ascii="仿宋_GB2312" w:eastAsia="仿宋_GB2312" w:hAnsi="Times New Roman" w:cs="宋体" w:hint="eastAsia"/>
                <w:b/>
                <w:kern w:val="0"/>
                <w:sz w:val="24"/>
                <w:szCs w:val="28"/>
              </w:rPr>
              <w:t>程序交易软件信息</w:t>
            </w:r>
          </w:p>
        </w:tc>
      </w:tr>
      <w:tr w:rsidR="00FC3217" w:rsidTr="007E59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2709" w:type="dxa"/>
            <w:gridSpan w:val="4"/>
            <w:tcBorders>
              <w:top w:val="nil"/>
              <w:left w:val="single" w:sz="4" w:space="0" w:color="auto"/>
              <w:bottom w:val="single" w:sz="4" w:space="0" w:color="auto"/>
              <w:right w:val="single" w:sz="4" w:space="0" w:color="auto"/>
            </w:tcBorders>
            <w:vAlign w:val="center"/>
          </w:tcPr>
          <w:p w:rsidR="00FC3217" w:rsidRDefault="00FC3217" w:rsidP="007E5952">
            <w:pPr>
              <w:widowControl/>
              <w:jc w:val="left"/>
              <w:rPr>
                <w:rFonts w:ascii="仿宋_GB2312" w:eastAsia="仿宋_GB2312" w:hAnsi="Times New Roman" w:cs="宋体"/>
                <w:kern w:val="0"/>
                <w:sz w:val="24"/>
                <w:szCs w:val="28"/>
              </w:rPr>
            </w:pPr>
            <w:r>
              <w:rPr>
                <w:rFonts w:ascii="仿宋_GB2312" w:eastAsia="仿宋_GB2312" w:hAnsi="Times New Roman" w:cs="宋体" w:hint="eastAsia"/>
                <w:kern w:val="0"/>
                <w:sz w:val="24"/>
                <w:szCs w:val="28"/>
              </w:rPr>
              <w:t>软件名称</w:t>
            </w:r>
          </w:p>
        </w:tc>
        <w:tc>
          <w:tcPr>
            <w:tcW w:w="1840" w:type="dxa"/>
            <w:gridSpan w:val="2"/>
            <w:tcBorders>
              <w:top w:val="nil"/>
              <w:left w:val="nil"/>
              <w:bottom w:val="single" w:sz="4" w:space="0" w:color="auto"/>
              <w:right w:val="single" w:sz="4" w:space="0" w:color="auto"/>
            </w:tcBorders>
            <w:vAlign w:val="center"/>
          </w:tcPr>
          <w:p w:rsidR="00FC3217" w:rsidRDefault="00FC3217" w:rsidP="007E5952">
            <w:pPr>
              <w:widowControl/>
              <w:jc w:val="center"/>
              <w:rPr>
                <w:rFonts w:ascii="仿宋_GB2312" w:eastAsia="仿宋_GB2312" w:hAnsi="Times New Roman" w:cs="宋体"/>
                <w:kern w:val="0"/>
                <w:sz w:val="24"/>
                <w:szCs w:val="28"/>
              </w:rPr>
            </w:pPr>
            <w:r>
              <w:rPr>
                <w:rFonts w:ascii="仿宋_GB2312" w:eastAsia="仿宋_GB2312" w:hAnsi="Times New Roman" w:cs="宋体" w:hint="eastAsia"/>
                <w:kern w:val="0"/>
                <w:sz w:val="24"/>
                <w:szCs w:val="28"/>
              </w:rPr>
              <w:t>所属厂商/软件提供者</w:t>
            </w:r>
          </w:p>
        </w:tc>
        <w:tc>
          <w:tcPr>
            <w:tcW w:w="2122" w:type="dxa"/>
            <w:gridSpan w:val="4"/>
            <w:tcBorders>
              <w:top w:val="nil"/>
              <w:left w:val="nil"/>
              <w:bottom w:val="single" w:sz="4" w:space="0" w:color="auto"/>
              <w:right w:val="single" w:sz="4" w:space="0" w:color="auto"/>
            </w:tcBorders>
            <w:vAlign w:val="center"/>
          </w:tcPr>
          <w:p w:rsidR="00FC3217" w:rsidRDefault="00FC3217" w:rsidP="007E5952">
            <w:pPr>
              <w:widowControl/>
              <w:jc w:val="center"/>
              <w:rPr>
                <w:rFonts w:ascii="仿宋_GB2312" w:eastAsia="仿宋_GB2312" w:hAnsi="Times New Roman" w:cs="宋体"/>
                <w:kern w:val="0"/>
                <w:sz w:val="24"/>
                <w:szCs w:val="28"/>
              </w:rPr>
            </w:pPr>
            <w:r>
              <w:rPr>
                <w:rFonts w:ascii="仿宋_GB2312" w:eastAsia="仿宋_GB2312" w:hAnsi="Times New Roman" w:cs="宋体" w:hint="eastAsia"/>
                <w:kern w:val="0"/>
                <w:sz w:val="24"/>
                <w:szCs w:val="28"/>
              </w:rPr>
              <w:t>使用者是否可自行修改程序代码（是/否）</w:t>
            </w:r>
          </w:p>
        </w:tc>
        <w:tc>
          <w:tcPr>
            <w:tcW w:w="1415" w:type="dxa"/>
            <w:gridSpan w:val="2"/>
            <w:tcBorders>
              <w:top w:val="nil"/>
              <w:left w:val="nil"/>
              <w:bottom w:val="single" w:sz="4" w:space="0" w:color="auto"/>
              <w:right w:val="single" w:sz="4" w:space="0" w:color="auto"/>
            </w:tcBorders>
            <w:vAlign w:val="center"/>
          </w:tcPr>
          <w:p w:rsidR="00FC3217" w:rsidRDefault="00FC3217" w:rsidP="007E5952">
            <w:pPr>
              <w:widowControl/>
              <w:jc w:val="center"/>
              <w:rPr>
                <w:rFonts w:ascii="仿宋_GB2312" w:eastAsia="仿宋_GB2312" w:hAnsi="Times New Roman" w:cs="宋体"/>
                <w:kern w:val="0"/>
                <w:sz w:val="24"/>
                <w:szCs w:val="28"/>
              </w:rPr>
            </w:pPr>
            <w:r>
              <w:rPr>
                <w:rFonts w:ascii="仿宋_GB2312" w:eastAsia="仿宋_GB2312" w:hAnsi="Times New Roman" w:cs="宋体" w:hint="eastAsia"/>
                <w:kern w:val="0"/>
                <w:sz w:val="24"/>
                <w:szCs w:val="28"/>
              </w:rPr>
              <w:t>行情来源</w:t>
            </w:r>
          </w:p>
        </w:tc>
        <w:tc>
          <w:tcPr>
            <w:tcW w:w="2406" w:type="dxa"/>
            <w:gridSpan w:val="2"/>
            <w:tcBorders>
              <w:top w:val="nil"/>
              <w:left w:val="nil"/>
              <w:bottom w:val="single" w:sz="4" w:space="0" w:color="auto"/>
              <w:right w:val="single" w:sz="4" w:space="0" w:color="auto"/>
            </w:tcBorders>
            <w:vAlign w:val="center"/>
          </w:tcPr>
          <w:p w:rsidR="00FC3217" w:rsidRDefault="00FC3217" w:rsidP="007E5952">
            <w:pPr>
              <w:widowControl/>
              <w:jc w:val="center"/>
              <w:rPr>
                <w:rFonts w:ascii="仿宋_GB2312" w:eastAsia="仿宋_GB2312" w:hAnsi="Times New Roman" w:cs="宋体"/>
                <w:kern w:val="0"/>
                <w:sz w:val="24"/>
                <w:szCs w:val="28"/>
              </w:rPr>
            </w:pPr>
            <w:r>
              <w:rPr>
                <w:rFonts w:ascii="仿宋_GB2312" w:eastAsia="仿宋_GB2312" w:hAnsi="Times New Roman" w:cs="宋体" w:hint="eastAsia"/>
                <w:kern w:val="0"/>
                <w:sz w:val="24"/>
                <w:szCs w:val="28"/>
              </w:rPr>
              <w:t>基本功能描述</w:t>
            </w:r>
          </w:p>
          <w:p w:rsidR="00FC3217" w:rsidRDefault="00FC3217" w:rsidP="007E5952">
            <w:pPr>
              <w:widowControl/>
              <w:jc w:val="center"/>
              <w:rPr>
                <w:rFonts w:ascii="仿宋_GB2312" w:eastAsia="仿宋_GB2312" w:hAnsi="Times New Roman" w:cs="宋体"/>
                <w:kern w:val="0"/>
                <w:sz w:val="24"/>
                <w:szCs w:val="28"/>
              </w:rPr>
            </w:pPr>
            <w:r>
              <w:rPr>
                <w:rFonts w:ascii="仿宋_GB2312" w:eastAsia="仿宋_GB2312" w:hAnsi="Times New Roman" w:cs="宋体" w:hint="eastAsia"/>
                <w:kern w:val="0"/>
                <w:sz w:val="24"/>
                <w:szCs w:val="28"/>
              </w:rPr>
              <w:t>（可附页说明）</w:t>
            </w:r>
          </w:p>
        </w:tc>
      </w:tr>
      <w:tr w:rsidR="00FC3217" w:rsidTr="007E59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2709" w:type="dxa"/>
            <w:gridSpan w:val="4"/>
            <w:tcBorders>
              <w:top w:val="nil"/>
              <w:left w:val="single" w:sz="4" w:space="0" w:color="auto"/>
              <w:bottom w:val="single" w:sz="4" w:space="0" w:color="auto"/>
              <w:right w:val="single" w:sz="4" w:space="0" w:color="auto"/>
            </w:tcBorders>
            <w:vAlign w:val="center"/>
          </w:tcPr>
          <w:p w:rsidR="00FC3217" w:rsidRDefault="00FC3217" w:rsidP="007E5952">
            <w:pPr>
              <w:widowControl/>
              <w:jc w:val="left"/>
              <w:rPr>
                <w:rFonts w:ascii="仿宋_GB2312" w:eastAsia="仿宋_GB2312" w:hAnsi="Times New Roman" w:cs="宋体"/>
                <w:kern w:val="0"/>
                <w:sz w:val="24"/>
                <w:szCs w:val="28"/>
              </w:rPr>
            </w:pPr>
          </w:p>
        </w:tc>
        <w:tc>
          <w:tcPr>
            <w:tcW w:w="1840" w:type="dxa"/>
            <w:gridSpan w:val="2"/>
            <w:tcBorders>
              <w:top w:val="nil"/>
              <w:left w:val="nil"/>
              <w:bottom w:val="single" w:sz="4" w:space="0" w:color="auto"/>
              <w:right w:val="single" w:sz="4" w:space="0" w:color="auto"/>
            </w:tcBorders>
            <w:vAlign w:val="center"/>
          </w:tcPr>
          <w:p w:rsidR="00FC3217" w:rsidRDefault="00FC3217" w:rsidP="007E5952">
            <w:pPr>
              <w:widowControl/>
              <w:jc w:val="left"/>
              <w:rPr>
                <w:rFonts w:ascii="仿宋_GB2312" w:eastAsia="仿宋_GB2312" w:hAnsi="Times New Roman" w:cs="宋体"/>
                <w:kern w:val="0"/>
                <w:sz w:val="24"/>
                <w:szCs w:val="28"/>
              </w:rPr>
            </w:pPr>
          </w:p>
        </w:tc>
        <w:tc>
          <w:tcPr>
            <w:tcW w:w="2122" w:type="dxa"/>
            <w:gridSpan w:val="4"/>
            <w:tcBorders>
              <w:top w:val="nil"/>
              <w:left w:val="nil"/>
              <w:bottom w:val="single" w:sz="4" w:space="0" w:color="auto"/>
              <w:right w:val="single" w:sz="4" w:space="0" w:color="auto"/>
            </w:tcBorders>
            <w:vAlign w:val="center"/>
          </w:tcPr>
          <w:p w:rsidR="00FC3217" w:rsidRDefault="00FC3217" w:rsidP="007E5952">
            <w:pPr>
              <w:widowControl/>
              <w:jc w:val="left"/>
              <w:rPr>
                <w:rFonts w:ascii="仿宋_GB2312" w:eastAsia="仿宋_GB2312" w:hAnsi="Times New Roman" w:cs="宋体"/>
                <w:kern w:val="0"/>
                <w:sz w:val="24"/>
                <w:szCs w:val="28"/>
              </w:rPr>
            </w:pPr>
          </w:p>
        </w:tc>
        <w:tc>
          <w:tcPr>
            <w:tcW w:w="1415" w:type="dxa"/>
            <w:gridSpan w:val="2"/>
            <w:tcBorders>
              <w:top w:val="nil"/>
              <w:left w:val="nil"/>
              <w:bottom w:val="single" w:sz="4" w:space="0" w:color="auto"/>
              <w:right w:val="single" w:sz="4" w:space="0" w:color="auto"/>
            </w:tcBorders>
            <w:vAlign w:val="center"/>
          </w:tcPr>
          <w:p w:rsidR="00FC3217" w:rsidRDefault="00FC3217" w:rsidP="007E5952">
            <w:pPr>
              <w:widowControl/>
              <w:jc w:val="left"/>
              <w:rPr>
                <w:rFonts w:ascii="仿宋_GB2312" w:eastAsia="仿宋_GB2312" w:hAnsi="Times New Roman" w:cs="宋体"/>
                <w:kern w:val="0"/>
                <w:sz w:val="24"/>
                <w:szCs w:val="28"/>
              </w:rPr>
            </w:pPr>
          </w:p>
        </w:tc>
        <w:tc>
          <w:tcPr>
            <w:tcW w:w="2406" w:type="dxa"/>
            <w:gridSpan w:val="2"/>
            <w:tcBorders>
              <w:top w:val="nil"/>
              <w:left w:val="nil"/>
              <w:bottom w:val="single" w:sz="4" w:space="0" w:color="auto"/>
              <w:right w:val="single" w:sz="4" w:space="0" w:color="auto"/>
            </w:tcBorders>
            <w:vAlign w:val="center"/>
          </w:tcPr>
          <w:p w:rsidR="00FC3217" w:rsidRDefault="00FC3217" w:rsidP="007E5952">
            <w:pPr>
              <w:widowControl/>
              <w:jc w:val="left"/>
              <w:rPr>
                <w:rFonts w:ascii="仿宋_GB2312" w:eastAsia="仿宋_GB2312" w:hAnsi="Times New Roman" w:cs="宋体"/>
                <w:kern w:val="0"/>
                <w:sz w:val="24"/>
                <w:szCs w:val="28"/>
              </w:rPr>
            </w:pPr>
          </w:p>
        </w:tc>
      </w:tr>
      <w:tr w:rsidR="00FC3217" w:rsidTr="007E59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2709" w:type="dxa"/>
            <w:gridSpan w:val="4"/>
            <w:tcBorders>
              <w:top w:val="nil"/>
              <w:left w:val="single" w:sz="4" w:space="0" w:color="auto"/>
              <w:bottom w:val="single" w:sz="4" w:space="0" w:color="auto"/>
              <w:right w:val="single" w:sz="4" w:space="0" w:color="auto"/>
            </w:tcBorders>
            <w:vAlign w:val="center"/>
          </w:tcPr>
          <w:p w:rsidR="00FC3217" w:rsidRDefault="00FC3217" w:rsidP="007E5952">
            <w:pPr>
              <w:widowControl/>
              <w:jc w:val="left"/>
              <w:rPr>
                <w:rFonts w:ascii="仿宋_GB2312" w:eastAsia="仿宋_GB2312" w:hAnsi="Times New Roman" w:cs="宋体"/>
                <w:kern w:val="0"/>
                <w:sz w:val="24"/>
                <w:szCs w:val="28"/>
              </w:rPr>
            </w:pPr>
          </w:p>
        </w:tc>
        <w:tc>
          <w:tcPr>
            <w:tcW w:w="1840" w:type="dxa"/>
            <w:gridSpan w:val="2"/>
            <w:tcBorders>
              <w:top w:val="nil"/>
              <w:left w:val="nil"/>
              <w:bottom w:val="single" w:sz="4" w:space="0" w:color="auto"/>
              <w:right w:val="single" w:sz="4" w:space="0" w:color="auto"/>
            </w:tcBorders>
            <w:vAlign w:val="center"/>
          </w:tcPr>
          <w:p w:rsidR="00FC3217" w:rsidRDefault="00FC3217" w:rsidP="007E5952">
            <w:pPr>
              <w:widowControl/>
              <w:jc w:val="left"/>
              <w:rPr>
                <w:rFonts w:ascii="仿宋_GB2312" w:eastAsia="仿宋_GB2312" w:hAnsi="Times New Roman" w:cs="宋体"/>
                <w:kern w:val="0"/>
                <w:sz w:val="24"/>
                <w:szCs w:val="28"/>
              </w:rPr>
            </w:pPr>
          </w:p>
        </w:tc>
        <w:tc>
          <w:tcPr>
            <w:tcW w:w="2122" w:type="dxa"/>
            <w:gridSpan w:val="4"/>
            <w:tcBorders>
              <w:top w:val="nil"/>
              <w:left w:val="nil"/>
              <w:bottom w:val="single" w:sz="4" w:space="0" w:color="auto"/>
              <w:right w:val="single" w:sz="4" w:space="0" w:color="auto"/>
            </w:tcBorders>
            <w:vAlign w:val="center"/>
          </w:tcPr>
          <w:p w:rsidR="00FC3217" w:rsidRDefault="00FC3217" w:rsidP="007E5952">
            <w:pPr>
              <w:widowControl/>
              <w:jc w:val="left"/>
              <w:rPr>
                <w:rFonts w:ascii="仿宋_GB2312" w:eastAsia="仿宋_GB2312" w:hAnsi="Times New Roman" w:cs="宋体"/>
                <w:kern w:val="0"/>
                <w:sz w:val="24"/>
                <w:szCs w:val="28"/>
              </w:rPr>
            </w:pPr>
          </w:p>
        </w:tc>
        <w:tc>
          <w:tcPr>
            <w:tcW w:w="1415" w:type="dxa"/>
            <w:gridSpan w:val="2"/>
            <w:tcBorders>
              <w:top w:val="nil"/>
              <w:left w:val="nil"/>
              <w:bottom w:val="single" w:sz="4" w:space="0" w:color="auto"/>
              <w:right w:val="single" w:sz="4" w:space="0" w:color="auto"/>
            </w:tcBorders>
            <w:vAlign w:val="center"/>
          </w:tcPr>
          <w:p w:rsidR="00FC3217" w:rsidRDefault="00FC3217" w:rsidP="007E5952">
            <w:pPr>
              <w:widowControl/>
              <w:jc w:val="left"/>
              <w:rPr>
                <w:rFonts w:ascii="仿宋_GB2312" w:eastAsia="仿宋_GB2312" w:hAnsi="Times New Roman" w:cs="宋体"/>
                <w:kern w:val="0"/>
                <w:sz w:val="24"/>
                <w:szCs w:val="28"/>
              </w:rPr>
            </w:pPr>
          </w:p>
        </w:tc>
        <w:tc>
          <w:tcPr>
            <w:tcW w:w="2406" w:type="dxa"/>
            <w:gridSpan w:val="2"/>
            <w:tcBorders>
              <w:top w:val="nil"/>
              <w:left w:val="nil"/>
              <w:bottom w:val="single" w:sz="4" w:space="0" w:color="auto"/>
              <w:right w:val="single" w:sz="4" w:space="0" w:color="auto"/>
            </w:tcBorders>
            <w:vAlign w:val="center"/>
          </w:tcPr>
          <w:p w:rsidR="00FC3217" w:rsidRDefault="00FC3217" w:rsidP="007E5952">
            <w:pPr>
              <w:widowControl/>
              <w:jc w:val="left"/>
              <w:rPr>
                <w:rFonts w:ascii="仿宋_GB2312" w:eastAsia="仿宋_GB2312" w:hAnsi="Times New Roman" w:cs="宋体"/>
                <w:kern w:val="0"/>
                <w:sz w:val="24"/>
                <w:szCs w:val="28"/>
              </w:rPr>
            </w:pPr>
          </w:p>
        </w:tc>
      </w:tr>
      <w:tr w:rsidR="00FC3217" w:rsidTr="007E59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75"/>
        </w:trPr>
        <w:tc>
          <w:tcPr>
            <w:tcW w:w="2709" w:type="dxa"/>
            <w:gridSpan w:val="4"/>
            <w:tcBorders>
              <w:top w:val="nil"/>
              <w:left w:val="single" w:sz="4" w:space="0" w:color="auto"/>
              <w:bottom w:val="single" w:sz="4" w:space="0" w:color="auto"/>
              <w:right w:val="single" w:sz="4" w:space="0" w:color="auto"/>
            </w:tcBorders>
            <w:vAlign w:val="center"/>
          </w:tcPr>
          <w:p w:rsidR="00FC3217" w:rsidRDefault="00FC3217" w:rsidP="007E5952">
            <w:pPr>
              <w:widowControl/>
              <w:jc w:val="left"/>
              <w:rPr>
                <w:rFonts w:ascii="仿宋_GB2312" w:eastAsia="仿宋_GB2312" w:hAnsi="Times New Roman" w:cs="宋体"/>
                <w:kern w:val="0"/>
                <w:sz w:val="24"/>
                <w:szCs w:val="28"/>
              </w:rPr>
            </w:pPr>
            <w:r>
              <w:rPr>
                <w:rFonts w:ascii="仿宋_GB2312" w:eastAsia="仿宋_GB2312" w:hAnsi="Times New Roman" w:cs="宋体" w:hint="eastAsia"/>
                <w:kern w:val="0"/>
                <w:sz w:val="24"/>
                <w:szCs w:val="28"/>
              </w:rPr>
              <w:t>风控及其他情况说明</w:t>
            </w:r>
          </w:p>
        </w:tc>
        <w:tc>
          <w:tcPr>
            <w:tcW w:w="7783" w:type="dxa"/>
            <w:gridSpan w:val="10"/>
            <w:tcBorders>
              <w:top w:val="single" w:sz="4" w:space="0" w:color="auto"/>
              <w:left w:val="nil"/>
              <w:bottom w:val="single" w:sz="4" w:space="0" w:color="auto"/>
              <w:right w:val="single" w:sz="4" w:space="0" w:color="auto"/>
            </w:tcBorders>
          </w:tcPr>
          <w:p w:rsidR="00FC3217" w:rsidRDefault="00FC3217" w:rsidP="007E5952">
            <w:pPr>
              <w:widowControl/>
              <w:jc w:val="center"/>
              <w:rPr>
                <w:rFonts w:ascii="仿宋_GB2312" w:eastAsia="仿宋_GB2312" w:hAnsi="Times New Roman" w:cs="宋体"/>
                <w:kern w:val="0"/>
                <w:sz w:val="24"/>
                <w:szCs w:val="28"/>
              </w:rPr>
            </w:pPr>
          </w:p>
        </w:tc>
      </w:tr>
      <w:tr w:rsidR="00FC3217" w:rsidTr="007E59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76"/>
        </w:trPr>
        <w:tc>
          <w:tcPr>
            <w:tcW w:w="2709" w:type="dxa"/>
            <w:gridSpan w:val="4"/>
            <w:tcBorders>
              <w:top w:val="single" w:sz="4" w:space="0" w:color="auto"/>
              <w:left w:val="single" w:sz="4" w:space="0" w:color="auto"/>
              <w:bottom w:val="single" w:sz="4" w:space="0" w:color="auto"/>
              <w:right w:val="single" w:sz="4" w:space="0" w:color="auto"/>
            </w:tcBorders>
            <w:vAlign w:val="center"/>
          </w:tcPr>
          <w:p w:rsidR="00FC3217" w:rsidRDefault="00FC3217" w:rsidP="007E5952">
            <w:pPr>
              <w:widowControl/>
              <w:jc w:val="left"/>
              <w:rPr>
                <w:rFonts w:ascii="仿宋_GB2312" w:eastAsia="仿宋_GB2312" w:hAnsi="Times New Roman" w:cs="宋体"/>
                <w:kern w:val="0"/>
                <w:sz w:val="24"/>
                <w:szCs w:val="28"/>
              </w:rPr>
            </w:pPr>
            <w:r>
              <w:rPr>
                <w:rFonts w:ascii="仿宋_GB2312" w:eastAsia="仿宋_GB2312" w:hAnsi="Times New Roman" w:cs="宋体" w:hint="eastAsia"/>
                <w:kern w:val="0"/>
                <w:sz w:val="24"/>
                <w:szCs w:val="28"/>
              </w:rPr>
              <w:t>升级历史说明</w:t>
            </w:r>
          </w:p>
        </w:tc>
        <w:tc>
          <w:tcPr>
            <w:tcW w:w="7783" w:type="dxa"/>
            <w:gridSpan w:val="10"/>
            <w:tcBorders>
              <w:top w:val="single" w:sz="4" w:space="0" w:color="auto"/>
              <w:left w:val="nil"/>
              <w:bottom w:val="single" w:sz="4" w:space="0" w:color="auto"/>
              <w:right w:val="single" w:sz="4" w:space="0" w:color="auto"/>
            </w:tcBorders>
          </w:tcPr>
          <w:p w:rsidR="00FC3217" w:rsidRDefault="00FC3217" w:rsidP="007E5952">
            <w:pPr>
              <w:widowControl/>
              <w:jc w:val="center"/>
              <w:rPr>
                <w:rFonts w:ascii="仿宋_GB2312" w:eastAsia="仿宋_GB2312" w:hAnsi="Times New Roman" w:cs="宋体"/>
                <w:kern w:val="0"/>
                <w:sz w:val="24"/>
                <w:szCs w:val="28"/>
              </w:rPr>
            </w:pPr>
          </w:p>
        </w:tc>
      </w:tr>
      <w:tr w:rsidR="00FC3217" w:rsidTr="007E59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2"/>
        </w:trPr>
        <w:tc>
          <w:tcPr>
            <w:tcW w:w="10492" w:type="dxa"/>
            <w:gridSpan w:val="14"/>
            <w:tcBorders>
              <w:top w:val="single" w:sz="4" w:space="0" w:color="auto"/>
              <w:left w:val="single" w:sz="4" w:space="0" w:color="auto"/>
              <w:bottom w:val="single" w:sz="4" w:space="0" w:color="auto"/>
              <w:right w:val="single" w:sz="4" w:space="0" w:color="auto"/>
            </w:tcBorders>
            <w:shd w:val="clear" w:color="auto" w:fill="63B86C"/>
            <w:vAlign w:val="center"/>
          </w:tcPr>
          <w:p w:rsidR="00FC3217" w:rsidRDefault="00FC3217" w:rsidP="007E5952">
            <w:pPr>
              <w:widowControl/>
              <w:jc w:val="center"/>
              <w:rPr>
                <w:rFonts w:ascii="仿宋_GB2312" w:eastAsia="仿宋_GB2312" w:hAnsi="Times New Roman" w:cs="宋体"/>
                <w:b/>
                <w:kern w:val="0"/>
                <w:sz w:val="24"/>
                <w:szCs w:val="28"/>
              </w:rPr>
            </w:pPr>
            <w:r>
              <w:rPr>
                <w:rFonts w:ascii="仿宋_GB2312" w:eastAsia="仿宋_GB2312" w:hAnsi="Times New Roman" w:cs="宋体" w:hint="eastAsia"/>
                <w:b/>
                <w:kern w:val="0"/>
                <w:sz w:val="24"/>
                <w:szCs w:val="28"/>
              </w:rPr>
              <w:t>期权经营机构人员信息及意见</w:t>
            </w:r>
          </w:p>
        </w:tc>
      </w:tr>
      <w:tr w:rsidR="00FC3217" w:rsidTr="007E59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9"/>
        </w:trPr>
        <w:tc>
          <w:tcPr>
            <w:tcW w:w="2709" w:type="dxa"/>
            <w:gridSpan w:val="4"/>
            <w:vMerge w:val="restart"/>
            <w:tcBorders>
              <w:top w:val="nil"/>
              <w:left w:val="single" w:sz="4" w:space="0" w:color="auto"/>
              <w:right w:val="single" w:sz="4" w:space="0" w:color="auto"/>
            </w:tcBorders>
            <w:vAlign w:val="center"/>
          </w:tcPr>
          <w:p w:rsidR="00FC3217" w:rsidRDefault="00FC3217" w:rsidP="007E5952">
            <w:pPr>
              <w:widowControl/>
              <w:jc w:val="left"/>
              <w:rPr>
                <w:rFonts w:ascii="仿宋_GB2312" w:eastAsia="仿宋_GB2312" w:hAnsi="Times New Roman" w:cs="宋体"/>
                <w:kern w:val="0"/>
                <w:sz w:val="24"/>
                <w:szCs w:val="28"/>
              </w:rPr>
            </w:pPr>
            <w:r>
              <w:rPr>
                <w:rFonts w:ascii="仿宋_GB2312" w:eastAsia="仿宋_GB2312" w:hAnsi="Times New Roman" w:cs="宋体" w:hint="eastAsia"/>
                <w:kern w:val="0"/>
                <w:sz w:val="24"/>
                <w:szCs w:val="28"/>
              </w:rPr>
              <w:t>管理该程序交易者的对接人员</w:t>
            </w:r>
          </w:p>
        </w:tc>
        <w:tc>
          <w:tcPr>
            <w:tcW w:w="3891" w:type="dxa"/>
            <w:gridSpan w:val="5"/>
            <w:tcBorders>
              <w:top w:val="single" w:sz="4" w:space="0" w:color="auto"/>
              <w:left w:val="nil"/>
              <w:bottom w:val="single" w:sz="4" w:space="0" w:color="auto"/>
              <w:right w:val="single" w:sz="4" w:space="0" w:color="auto"/>
            </w:tcBorders>
          </w:tcPr>
          <w:p w:rsidR="00FC3217" w:rsidRDefault="00FC3217" w:rsidP="007E5952">
            <w:pPr>
              <w:widowControl/>
              <w:jc w:val="center"/>
              <w:rPr>
                <w:rFonts w:ascii="仿宋_GB2312" w:eastAsia="仿宋_GB2312" w:hAnsi="Times New Roman" w:cs="宋体"/>
                <w:kern w:val="0"/>
                <w:sz w:val="24"/>
                <w:szCs w:val="28"/>
              </w:rPr>
            </w:pPr>
            <w:r>
              <w:rPr>
                <w:rFonts w:ascii="仿宋_GB2312" w:eastAsia="仿宋_GB2312" w:hAnsi="Times New Roman" w:cs="宋体" w:hint="eastAsia"/>
                <w:kern w:val="0"/>
                <w:sz w:val="24"/>
                <w:szCs w:val="28"/>
              </w:rPr>
              <w:t>姓名</w:t>
            </w:r>
          </w:p>
        </w:tc>
        <w:tc>
          <w:tcPr>
            <w:tcW w:w="3892" w:type="dxa"/>
            <w:gridSpan w:val="5"/>
            <w:tcBorders>
              <w:top w:val="single" w:sz="4" w:space="0" w:color="auto"/>
              <w:left w:val="nil"/>
              <w:bottom w:val="single" w:sz="4" w:space="0" w:color="auto"/>
              <w:right w:val="single" w:sz="4" w:space="0" w:color="auto"/>
            </w:tcBorders>
          </w:tcPr>
          <w:p w:rsidR="00FC3217" w:rsidRDefault="00FC3217" w:rsidP="007E5952">
            <w:pPr>
              <w:widowControl/>
              <w:jc w:val="center"/>
              <w:rPr>
                <w:rFonts w:ascii="仿宋_GB2312" w:eastAsia="仿宋_GB2312" w:hAnsi="Times New Roman" w:cs="宋体"/>
                <w:kern w:val="0"/>
                <w:sz w:val="24"/>
                <w:szCs w:val="28"/>
              </w:rPr>
            </w:pPr>
          </w:p>
        </w:tc>
      </w:tr>
      <w:tr w:rsidR="00FC3217" w:rsidTr="007E59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9"/>
        </w:trPr>
        <w:tc>
          <w:tcPr>
            <w:tcW w:w="2709" w:type="dxa"/>
            <w:gridSpan w:val="4"/>
            <w:vMerge/>
            <w:tcBorders>
              <w:left w:val="single" w:sz="4" w:space="0" w:color="auto"/>
              <w:right w:val="single" w:sz="4" w:space="0" w:color="auto"/>
            </w:tcBorders>
            <w:vAlign w:val="center"/>
          </w:tcPr>
          <w:p w:rsidR="00FC3217" w:rsidRDefault="00FC3217" w:rsidP="007E5952">
            <w:pPr>
              <w:widowControl/>
              <w:jc w:val="left"/>
              <w:rPr>
                <w:rFonts w:ascii="仿宋_GB2312" w:eastAsia="仿宋_GB2312" w:hAnsi="Times New Roman" w:cs="宋体"/>
                <w:kern w:val="0"/>
                <w:sz w:val="24"/>
                <w:szCs w:val="28"/>
              </w:rPr>
            </w:pPr>
          </w:p>
        </w:tc>
        <w:tc>
          <w:tcPr>
            <w:tcW w:w="3891" w:type="dxa"/>
            <w:gridSpan w:val="5"/>
            <w:tcBorders>
              <w:top w:val="single" w:sz="4" w:space="0" w:color="auto"/>
              <w:left w:val="nil"/>
              <w:bottom w:val="single" w:sz="4" w:space="0" w:color="auto"/>
              <w:right w:val="single" w:sz="4" w:space="0" w:color="auto"/>
            </w:tcBorders>
          </w:tcPr>
          <w:p w:rsidR="00FC3217" w:rsidRDefault="00FC3217" w:rsidP="007E5952">
            <w:pPr>
              <w:widowControl/>
              <w:jc w:val="center"/>
              <w:rPr>
                <w:rFonts w:ascii="仿宋_GB2312" w:eastAsia="仿宋_GB2312" w:hAnsi="Times New Roman" w:cs="宋体"/>
                <w:kern w:val="0"/>
                <w:sz w:val="24"/>
                <w:szCs w:val="28"/>
              </w:rPr>
            </w:pPr>
            <w:r>
              <w:rPr>
                <w:rFonts w:ascii="仿宋_GB2312" w:eastAsia="仿宋_GB2312" w:hAnsi="Times New Roman" w:cs="宋体" w:hint="eastAsia"/>
                <w:kern w:val="0"/>
                <w:sz w:val="24"/>
                <w:szCs w:val="28"/>
              </w:rPr>
              <w:t>职务</w:t>
            </w:r>
          </w:p>
        </w:tc>
        <w:tc>
          <w:tcPr>
            <w:tcW w:w="3892" w:type="dxa"/>
            <w:gridSpan w:val="5"/>
            <w:tcBorders>
              <w:top w:val="single" w:sz="4" w:space="0" w:color="auto"/>
              <w:left w:val="nil"/>
              <w:bottom w:val="single" w:sz="4" w:space="0" w:color="auto"/>
              <w:right w:val="single" w:sz="4" w:space="0" w:color="auto"/>
            </w:tcBorders>
          </w:tcPr>
          <w:p w:rsidR="00FC3217" w:rsidRDefault="00FC3217" w:rsidP="007E5952">
            <w:pPr>
              <w:widowControl/>
              <w:jc w:val="center"/>
              <w:rPr>
                <w:rFonts w:ascii="仿宋_GB2312" w:eastAsia="仿宋_GB2312" w:hAnsi="Times New Roman" w:cs="宋体"/>
                <w:kern w:val="0"/>
                <w:sz w:val="24"/>
                <w:szCs w:val="28"/>
              </w:rPr>
            </w:pPr>
          </w:p>
        </w:tc>
      </w:tr>
      <w:tr w:rsidR="00FC3217" w:rsidTr="007E59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9"/>
        </w:trPr>
        <w:tc>
          <w:tcPr>
            <w:tcW w:w="2709" w:type="dxa"/>
            <w:gridSpan w:val="4"/>
            <w:vMerge/>
            <w:tcBorders>
              <w:left w:val="single" w:sz="4" w:space="0" w:color="auto"/>
              <w:right w:val="single" w:sz="4" w:space="0" w:color="auto"/>
            </w:tcBorders>
            <w:vAlign w:val="center"/>
          </w:tcPr>
          <w:p w:rsidR="00FC3217" w:rsidRDefault="00FC3217" w:rsidP="007E5952">
            <w:pPr>
              <w:widowControl/>
              <w:jc w:val="left"/>
              <w:rPr>
                <w:rFonts w:ascii="仿宋_GB2312" w:eastAsia="仿宋_GB2312" w:hAnsi="Times New Roman" w:cs="宋体"/>
                <w:kern w:val="0"/>
                <w:sz w:val="24"/>
                <w:szCs w:val="28"/>
              </w:rPr>
            </w:pPr>
          </w:p>
        </w:tc>
        <w:tc>
          <w:tcPr>
            <w:tcW w:w="3891" w:type="dxa"/>
            <w:gridSpan w:val="5"/>
            <w:tcBorders>
              <w:top w:val="single" w:sz="4" w:space="0" w:color="auto"/>
              <w:left w:val="nil"/>
              <w:bottom w:val="single" w:sz="4" w:space="0" w:color="auto"/>
              <w:right w:val="single" w:sz="4" w:space="0" w:color="auto"/>
            </w:tcBorders>
          </w:tcPr>
          <w:p w:rsidR="00FC3217" w:rsidRDefault="00FC3217" w:rsidP="007E5952">
            <w:pPr>
              <w:widowControl/>
              <w:jc w:val="center"/>
              <w:rPr>
                <w:rFonts w:ascii="仿宋_GB2312" w:eastAsia="仿宋_GB2312" w:hAnsi="Times New Roman" w:cs="宋体"/>
                <w:kern w:val="0"/>
                <w:sz w:val="24"/>
                <w:szCs w:val="28"/>
              </w:rPr>
            </w:pPr>
            <w:r>
              <w:rPr>
                <w:rFonts w:ascii="仿宋_GB2312" w:eastAsia="仿宋_GB2312" w:hAnsi="Times New Roman" w:cs="宋体" w:hint="eastAsia"/>
                <w:kern w:val="0"/>
                <w:sz w:val="24"/>
                <w:szCs w:val="28"/>
              </w:rPr>
              <w:t>座机</w:t>
            </w:r>
          </w:p>
        </w:tc>
        <w:tc>
          <w:tcPr>
            <w:tcW w:w="3892" w:type="dxa"/>
            <w:gridSpan w:val="5"/>
            <w:tcBorders>
              <w:top w:val="single" w:sz="4" w:space="0" w:color="auto"/>
              <w:left w:val="nil"/>
              <w:bottom w:val="single" w:sz="4" w:space="0" w:color="auto"/>
              <w:right w:val="single" w:sz="4" w:space="0" w:color="auto"/>
            </w:tcBorders>
          </w:tcPr>
          <w:p w:rsidR="00FC3217" w:rsidRDefault="00FC3217" w:rsidP="007E5952">
            <w:pPr>
              <w:widowControl/>
              <w:jc w:val="center"/>
              <w:rPr>
                <w:rFonts w:ascii="仿宋_GB2312" w:eastAsia="仿宋_GB2312" w:hAnsi="Times New Roman" w:cs="宋体"/>
                <w:kern w:val="0"/>
                <w:sz w:val="24"/>
                <w:szCs w:val="28"/>
              </w:rPr>
            </w:pPr>
          </w:p>
        </w:tc>
      </w:tr>
      <w:tr w:rsidR="00FC3217" w:rsidTr="007E59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9"/>
        </w:trPr>
        <w:tc>
          <w:tcPr>
            <w:tcW w:w="2709" w:type="dxa"/>
            <w:gridSpan w:val="4"/>
            <w:vMerge/>
            <w:tcBorders>
              <w:left w:val="single" w:sz="4" w:space="0" w:color="auto"/>
              <w:right w:val="single" w:sz="4" w:space="0" w:color="auto"/>
            </w:tcBorders>
            <w:vAlign w:val="center"/>
          </w:tcPr>
          <w:p w:rsidR="00FC3217" w:rsidRDefault="00FC3217" w:rsidP="007E5952">
            <w:pPr>
              <w:widowControl/>
              <w:jc w:val="left"/>
              <w:rPr>
                <w:rFonts w:ascii="仿宋_GB2312" w:eastAsia="仿宋_GB2312" w:hAnsi="Times New Roman" w:cs="宋体"/>
                <w:kern w:val="0"/>
                <w:sz w:val="24"/>
                <w:szCs w:val="28"/>
              </w:rPr>
            </w:pPr>
          </w:p>
        </w:tc>
        <w:tc>
          <w:tcPr>
            <w:tcW w:w="3891" w:type="dxa"/>
            <w:gridSpan w:val="5"/>
            <w:tcBorders>
              <w:top w:val="single" w:sz="4" w:space="0" w:color="auto"/>
              <w:left w:val="nil"/>
              <w:bottom w:val="single" w:sz="4" w:space="0" w:color="auto"/>
              <w:right w:val="single" w:sz="4" w:space="0" w:color="auto"/>
            </w:tcBorders>
          </w:tcPr>
          <w:p w:rsidR="00FC3217" w:rsidRDefault="00FC3217" w:rsidP="007E5952">
            <w:pPr>
              <w:widowControl/>
              <w:jc w:val="center"/>
              <w:rPr>
                <w:rFonts w:ascii="仿宋_GB2312" w:eastAsia="仿宋_GB2312" w:hAnsi="Times New Roman" w:cs="宋体"/>
                <w:kern w:val="0"/>
                <w:sz w:val="24"/>
                <w:szCs w:val="28"/>
              </w:rPr>
            </w:pPr>
            <w:r>
              <w:rPr>
                <w:rFonts w:ascii="仿宋_GB2312" w:eastAsia="仿宋_GB2312" w:hAnsi="Times New Roman" w:cs="宋体" w:hint="eastAsia"/>
                <w:kern w:val="0"/>
                <w:sz w:val="24"/>
                <w:szCs w:val="28"/>
              </w:rPr>
              <w:t>手机</w:t>
            </w:r>
          </w:p>
        </w:tc>
        <w:tc>
          <w:tcPr>
            <w:tcW w:w="3892" w:type="dxa"/>
            <w:gridSpan w:val="5"/>
            <w:tcBorders>
              <w:top w:val="single" w:sz="4" w:space="0" w:color="auto"/>
              <w:left w:val="nil"/>
              <w:bottom w:val="single" w:sz="4" w:space="0" w:color="auto"/>
              <w:right w:val="single" w:sz="4" w:space="0" w:color="auto"/>
            </w:tcBorders>
          </w:tcPr>
          <w:p w:rsidR="00FC3217" w:rsidRDefault="00FC3217" w:rsidP="007E5952">
            <w:pPr>
              <w:widowControl/>
              <w:jc w:val="center"/>
              <w:rPr>
                <w:rFonts w:ascii="仿宋_GB2312" w:eastAsia="仿宋_GB2312" w:hAnsi="Times New Roman" w:cs="宋体"/>
                <w:kern w:val="0"/>
                <w:sz w:val="24"/>
                <w:szCs w:val="28"/>
              </w:rPr>
            </w:pPr>
          </w:p>
        </w:tc>
      </w:tr>
      <w:tr w:rsidR="00FC3217" w:rsidTr="007E59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9"/>
        </w:trPr>
        <w:tc>
          <w:tcPr>
            <w:tcW w:w="2709" w:type="dxa"/>
            <w:gridSpan w:val="4"/>
            <w:vMerge/>
            <w:tcBorders>
              <w:left w:val="single" w:sz="4" w:space="0" w:color="auto"/>
              <w:bottom w:val="single" w:sz="4" w:space="0" w:color="auto"/>
              <w:right w:val="single" w:sz="4" w:space="0" w:color="auto"/>
            </w:tcBorders>
            <w:vAlign w:val="center"/>
          </w:tcPr>
          <w:p w:rsidR="00FC3217" w:rsidRDefault="00FC3217" w:rsidP="007E5952">
            <w:pPr>
              <w:widowControl/>
              <w:jc w:val="left"/>
              <w:rPr>
                <w:rFonts w:ascii="仿宋_GB2312" w:eastAsia="仿宋_GB2312" w:hAnsi="Times New Roman" w:cs="宋体"/>
                <w:kern w:val="0"/>
                <w:sz w:val="24"/>
                <w:szCs w:val="28"/>
              </w:rPr>
            </w:pPr>
          </w:p>
        </w:tc>
        <w:tc>
          <w:tcPr>
            <w:tcW w:w="3891" w:type="dxa"/>
            <w:gridSpan w:val="5"/>
            <w:tcBorders>
              <w:top w:val="single" w:sz="4" w:space="0" w:color="auto"/>
              <w:left w:val="nil"/>
              <w:bottom w:val="single" w:sz="4" w:space="0" w:color="auto"/>
              <w:right w:val="single" w:sz="4" w:space="0" w:color="auto"/>
            </w:tcBorders>
          </w:tcPr>
          <w:p w:rsidR="00FC3217" w:rsidRDefault="00FC3217" w:rsidP="007E5952">
            <w:pPr>
              <w:widowControl/>
              <w:jc w:val="center"/>
              <w:rPr>
                <w:rFonts w:ascii="仿宋_GB2312" w:eastAsia="仿宋_GB2312" w:hAnsi="Times New Roman" w:cs="宋体"/>
                <w:kern w:val="0"/>
                <w:sz w:val="24"/>
                <w:szCs w:val="28"/>
              </w:rPr>
            </w:pPr>
            <w:r>
              <w:rPr>
                <w:rFonts w:ascii="仿宋_GB2312" w:eastAsia="仿宋_GB2312" w:hAnsi="Times New Roman" w:cs="宋体" w:hint="eastAsia"/>
                <w:kern w:val="0"/>
                <w:sz w:val="24"/>
                <w:szCs w:val="28"/>
              </w:rPr>
              <w:t>电子邮箱</w:t>
            </w:r>
          </w:p>
        </w:tc>
        <w:tc>
          <w:tcPr>
            <w:tcW w:w="3892" w:type="dxa"/>
            <w:gridSpan w:val="5"/>
            <w:tcBorders>
              <w:top w:val="single" w:sz="4" w:space="0" w:color="auto"/>
              <w:left w:val="nil"/>
              <w:bottom w:val="single" w:sz="4" w:space="0" w:color="auto"/>
              <w:right w:val="single" w:sz="4" w:space="0" w:color="auto"/>
            </w:tcBorders>
          </w:tcPr>
          <w:p w:rsidR="00FC3217" w:rsidRDefault="00FC3217" w:rsidP="007E5952">
            <w:pPr>
              <w:widowControl/>
              <w:jc w:val="center"/>
              <w:rPr>
                <w:rFonts w:ascii="仿宋_GB2312" w:eastAsia="仿宋_GB2312" w:hAnsi="Times New Roman" w:cs="宋体"/>
                <w:kern w:val="0"/>
                <w:sz w:val="24"/>
                <w:szCs w:val="28"/>
              </w:rPr>
            </w:pPr>
          </w:p>
        </w:tc>
      </w:tr>
      <w:tr w:rsidR="00FC3217" w:rsidTr="007E59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2709" w:type="dxa"/>
            <w:gridSpan w:val="4"/>
            <w:vMerge w:val="restart"/>
            <w:tcBorders>
              <w:top w:val="nil"/>
              <w:left w:val="single" w:sz="4" w:space="0" w:color="auto"/>
              <w:right w:val="single" w:sz="4" w:space="0" w:color="auto"/>
            </w:tcBorders>
            <w:vAlign w:val="center"/>
          </w:tcPr>
          <w:p w:rsidR="00FC3217" w:rsidRDefault="00FC3217" w:rsidP="007E5952">
            <w:pPr>
              <w:widowControl/>
              <w:jc w:val="left"/>
              <w:rPr>
                <w:rFonts w:ascii="仿宋_GB2312" w:eastAsia="仿宋_GB2312" w:hAnsi="Times New Roman" w:cs="宋体"/>
                <w:kern w:val="0"/>
                <w:sz w:val="24"/>
                <w:szCs w:val="28"/>
              </w:rPr>
            </w:pPr>
            <w:r>
              <w:rPr>
                <w:rFonts w:ascii="仿宋_GB2312" w:eastAsia="仿宋_GB2312" w:hAnsi="Times New Roman" w:cs="宋体" w:hint="eastAsia"/>
                <w:kern w:val="0"/>
                <w:sz w:val="24"/>
                <w:szCs w:val="28"/>
              </w:rPr>
              <w:t>管理该程序交易者风险控制人员</w:t>
            </w:r>
          </w:p>
        </w:tc>
        <w:tc>
          <w:tcPr>
            <w:tcW w:w="3891" w:type="dxa"/>
            <w:gridSpan w:val="5"/>
            <w:tcBorders>
              <w:top w:val="single" w:sz="4" w:space="0" w:color="auto"/>
              <w:left w:val="nil"/>
              <w:bottom w:val="single" w:sz="4" w:space="0" w:color="auto"/>
              <w:right w:val="single" w:sz="4" w:space="0" w:color="auto"/>
            </w:tcBorders>
          </w:tcPr>
          <w:p w:rsidR="00FC3217" w:rsidRDefault="00FC3217" w:rsidP="007E5952">
            <w:pPr>
              <w:widowControl/>
              <w:jc w:val="center"/>
              <w:rPr>
                <w:rFonts w:ascii="仿宋_GB2312" w:eastAsia="仿宋_GB2312" w:hAnsi="Times New Roman" w:cs="宋体"/>
                <w:kern w:val="0"/>
                <w:sz w:val="24"/>
                <w:szCs w:val="28"/>
              </w:rPr>
            </w:pPr>
            <w:r>
              <w:rPr>
                <w:rFonts w:ascii="仿宋_GB2312" w:eastAsia="仿宋_GB2312" w:hAnsi="Times New Roman" w:cs="宋体" w:hint="eastAsia"/>
                <w:kern w:val="0"/>
                <w:sz w:val="24"/>
                <w:szCs w:val="28"/>
              </w:rPr>
              <w:t>姓名</w:t>
            </w:r>
          </w:p>
        </w:tc>
        <w:tc>
          <w:tcPr>
            <w:tcW w:w="3892" w:type="dxa"/>
            <w:gridSpan w:val="5"/>
            <w:tcBorders>
              <w:top w:val="single" w:sz="4" w:space="0" w:color="auto"/>
              <w:left w:val="nil"/>
              <w:bottom w:val="single" w:sz="4" w:space="0" w:color="auto"/>
              <w:right w:val="single" w:sz="4" w:space="0" w:color="auto"/>
            </w:tcBorders>
          </w:tcPr>
          <w:p w:rsidR="00FC3217" w:rsidRDefault="00FC3217" w:rsidP="007E5952">
            <w:pPr>
              <w:widowControl/>
              <w:jc w:val="center"/>
              <w:rPr>
                <w:rFonts w:ascii="仿宋_GB2312" w:eastAsia="仿宋_GB2312" w:hAnsi="Times New Roman" w:cs="宋体"/>
                <w:kern w:val="0"/>
                <w:sz w:val="24"/>
                <w:szCs w:val="28"/>
              </w:rPr>
            </w:pPr>
          </w:p>
        </w:tc>
      </w:tr>
      <w:tr w:rsidR="00FC3217" w:rsidTr="007E59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trPr>
        <w:tc>
          <w:tcPr>
            <w:tcW w:w="2709" w:type="dxa"/>
            <w:gridSpan w:val="4"/>
            <w:vMerge/>
            <w:tcBorders>
              <w:left w:val="single" w:sz="4" w:space="0" w:color="auto"/>
              <w:right w:val="single" w:sz="4" w:space="0" w:color="auto"/>
            </w:tcBorders>
            <w:vAlign w:val="center"/>
          </w:tcPr>
          <w:p w:rsidR="00FC3217" w:rsidRDefault="00FC3217" w:rsidP="007E5952">
            <w:pPr>
              <w:widowControl/>
              <w:jc w:val="left"/>
              <w:rPr>
                <w:rFonts w:ascii="仿宋_GB2312" w:eastAsia="仿宋_GB2312" w:hAnsi="Times New Roman" w:cs="宋体"/>
                <w:kern w:val="0"/>
                <w:sz w:val="24"/>
                <w:szCs w:val="28"/>
              </w:rPr>
            </w:pPr>
          </w:p>
        </w:tc>
        <w:tc>
          <w:tcPr>
            <w:tcW w:w="3891" w:type="dxa"/>
            <w:gridSpan w:val="5"/>
            <w:tcBorders>
              <w:top w:val="single" w:sz="4" w:space="0" w:color="auto"/>
              <w:left w:val="nil"/>
              <w:bottom w:val="single" w:sz="4" w:space="0" w:color="auto"/>
              <w:right w:val="single" w:sz="4" w:space="0" w:color="auto"/>
            </w:tcBorders>
          </w:tcPr>
          <w:p w:rsidR="00FC3217" w:rsidRDefault="00FC3217" w:rsidP="007E5952">
            <w:pPr>
              <w:widowControl/>
              <w:jc w:val="center"/>
              <w:rPr>
                <w:rFonts w:ascii="仿宋_GB2312" w:eastAsia="仿宋_GB2312" w:hAnsi="Times New Roman" w:cs="宋体"/>
                <w:kern w:val="0"/>
                <w:sz w:val="24"/>
                <w:szCs w:val="28"/>
              </w:rPr>
            </w:pPr>
            <w:r>
              <w:rPr>
                <w:rFonts w:ascii="仿宋_GB2312" w:eastAsia="仿宋_GB2312" w:hAnsi="Times New Roman" w:cs="宋体" w:hint="eastAsia"/>
                <w:kern w:val="0"/>
                <w:sz w:val="24"/>
                <w:szCs w:val="28"/>
              </w:rPr>
              <w:t>职务</w:t>
            </w:r>
          </w:p>
        </w:tc>
        <w:tc>
          <w:tcPr>
            <w:tcW w:w="3892" w:type="dxa"/>
            <w:gridSpan w:val="5"/>
            <w:tcBorders>
              <w:top w:val="single" w:sz="4" w:space="0" w:color="auto"/>
              <w:left w:val="nil"/>
              <w:bottom w:val="single" w:sz="4" w:space="0" w:color="auto"/>
              <w:right w:val="single" w:sz="4" w:space="0" w:color="auto"/>
            </w:tcBorders>
          </w:tcPr>
          <w:p w:rsidR="00FC3217" w:rsidRDefault="00FC3217" w:rsidP="007E5952">
            <w:pPr>
              <w:widowControl/>
              <w:jc w:val="center"/>
              <w:rPr>
                <w:rFonts w:ascii="仿宋_GB2312" w:eastAsia="仿宋_GB2312" w:hAnsi="Times New Roman" w:cs="宋体"/>
                <w:kern w:val="0"/>
                <w:sz w:val="24"/>
                <w:szCs w:val="28"/>
              </w:rPr>
            </w:pPr>
          </w:p>
        </w:tc>
      </w:tr>
      <w:tr w:rsidR="00FC3217" w:rsidTr="007E59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trPr>
        <w:tc>
          <w:tcPr>
            <w:tcW w:w="2709" w:type="dxa"/>
            <w:gridSpan w:val="4"/>
            <w:vMerge/>
            <w:tcBorders>
              <w:left w:val="single" w:sz="4" w:space="0" w:color="auto"/>
              <w:right w:val="single" w:sz="4" w:space="0" w:color="auto"/>
            </w:tcBorders>
            <w:vAlign w:val="center"/>
          </w:tcPr>
          <w:p w:rsidR="00FC3217" w:rsidRDefault="00FC3217" w:rsidP="007E5952">
            <w:pPr>
              <w:widowControl/>
              <w:jc w:val="left"/>
              <w:rPr>
                <w:rFonts w:ascii="仿宋_GB2312" w:eastAsia="仿宋_GB2312" w:hAnsi="Times New Roman" w:cs="宋体"/>
                <w:kern w:val="0"/>
                <w:sz w:val="24"/>
                <w:szCs w:val="28"/>
              </w:rPr>
            </w:pPr>
          </w:p>
        </w:tc>
        <w:tc>
          <w:tcPr>
            <w:tcW w:w="3891" w:type="dxa"/>
            <w:gridSpan w:val="5"/>
            <w:tcBorders>
              <w:top w:val="single" w:sz="4" w:space="0" w:color="auto"/>
              <w:left w:val="nil"/>
              <w:bottom w:val="single" w:sz="4" w:space="0" w:color="auto"/>
              <w:right w:val="single" w:sz="4" w:space="0" w:color="auto"/>
            </w:tcBorders>
          </w:tcPr>
          <w:p w:rsidR="00FC3217" w:rsidRDefault="00FC3217" w:rsidP="007E5952">
            <w:pPr>
              <w:widowControl/>
              <w:jc w:val="center"/>
              <w:rPr>
                <w:rFonts w:ascii="仿宋_GB2312" w:eastAsia="仿宋_GB2312" w:hAnsi="Times New Roman" w:cs="宋体"/>
                <w:kern w:val="0"/>
                <w:sz w:val="24"/>
                <w:szCs w:val="28"/>
              </w:rPr>
            </w:pPr>
            <w:r>
              <w:rPr>
                <w:rFonts w:ascii="仿宋_GB2312" w:eastAsia="仿宋_GB2312" w:hAnsi="Times New Roman" w:cs="宋体" w:hint="eastAsia"/>
                <w:kern w:val="0"/>
                <w:sz w:val="24"/>
                <w:szCs w:val="28"/>
              </w:rPr>
              <w:t>座机</w:t>
            </w:r>
          </w:p>
        </w:tc>
        <w:tc>
          <w:tcPr>
            <w:tcW w:w="3892" w:type="dxa"/>
            <w:gridSpan w:val="5"/>
            <w:tcBorders>
              <w:top w:val="single" w:sz="4" w:space="0" w:color="auto"/>
              <w:left w:val="nil"/>
              <w:bottom w:val="single" w:sz="4" w:space="0" w:color="auto"/>
              <w:right w:val="single" w:sz="4" w:space="0" w:color="auto"/>
            </w:tcBorders>
          </w:tcPr>
          <w:p w:rsidR="00FC3217" w:rsidRDefault="00FC3217" w:rsidP="007E5952">
            <w:pPr>
              <w:widowControl/>
              <w:jc w:val="center"/>
              <w:rPr>
                <w:rFonts w:ascii="仿宋_GB2312" w:eastAsia="仿宋_GB2312" w:hAnsi="Times New Roman" w:cs="宋体"/>
                <w:kern w:val="0"/>
                <w:sz w:val="24"/>
                <w:szCs w:val="28"/>
              </w:rPr>
            </w:pPr>
          </w:p>
        </w:tc>
      </w:tr>
      <w:tr w:rsidR="00FC3217" w:rsidTr="007E59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trPr>
        <w:tc>
          <w:tcPr>
            <w:tcW w:w="2709" w:type="dxa"/>
            <w:gridSpan w:val="4"/>
            <w:vMerge/>
            <w:tcBorders>
              <w:left w:val="single" w:sz="4" w:space="0" w:color="auto"/>
              <w:right w:val="single" w:sz="4" w:space="0" w:color="auto"/>
            </w:tcBorders>
            <w:vAlign w:val="center"/>
          </w:tcPr>
          <w:p w:rsidR="00FC3217" w:rsidRDefault="00FC3217" w:rsidP="007E5952">
            <w:pPr>
              <w:widowControl/>
              <w:jc w:val="left"/>
              <w:rPr>
                <w:rFonts w:ascii="仿宋_GB2312" w:eastAsia="仿宋_GB2312" w:hAnsi="Times New Roman" w:cs="宋体"/>
                <w:kern w:val="0"/>
                <w:sz w:val="24"/>
                <w:szCs w:val="28"/>
              </w:rPr>
            </w:pPr>
          </w:p>
        </w:tc>
        <w:tc>
          <w:tcPr>
            <w:tcW w:w="3891" w:type="dxa"/>
            <w:gridSpan w:val="5"/>
            <w:tcBorders>
              <w:top w:val="single" w:sz="4" w:space="0" w:color="auto"/>
              <w:left w:val="nil"/>
              <w:bottom w:val="single" w:sz="4" w:space="0" w:color="auto"/>
              <w:right w:val="single" w:sz="4" w:space="0" w:color="auto"/>
            </w:tcBorders>
          </w:tcPr>
          <w:p w:rsidR="00FC3217" w:rsidRDefault="00FC3217" w:rsidP="007E5952">
            <w:pPr>
              <w:widowControl/>
              <w:jc w:val="center"/>
              <w:rPr>
                <w:rFonts w:ascii="仿宋_GB2312" w:eastAsia="仿宋_GB2312" w:hAnsi="Times New Roman" w:cs="宋体"/>
                <w:kern w:val="0"/>
                <w:sz w:val="24"/>
                <w:szCs w:val="28"/>
              </w:rPr>
            </w:pPr>
            <w:r>
              <w:rPr>
                <w:rFonts w:ascii="仿宋_GB2312" w:eastAsia="仿宋_GB2312" w:hAnsi="Times New Roman" w:cs="宋体" w:hint="eastAsia"/>
                <w:kern w:val="0"/>
                <w:sz w:val="24"/>
                <w:szCs w:val="28"/>
              </w:rPr>
              <w:t>手机</w:t>
            </w:r>
          </w:p>
        </w:tc>
        <w:tc>
          <w:tcPr>
            <w:tcW w:w="3892" w:type="dxa"/>
            <w:gridSpan w:val="5"/>
            <w:tcBorders>
              <w:top w:val="single" w:sz="4" w:space="0" w:color="auto"/>
              <w:left w:val="nil"/>
              <w:bottom w:val="single" w:sz="4" w:space="0" w:color="auto"/>
              <w:right w:val="single" w:sz="4" w:space="0" w:color="auto"/>
            </w:tcBorders>
          </w:tcPr>
          <w:p w:rsidR="00FC3217" w:rsidRDefault="00FC3217" w:rsidP="007E5952">
            <w:pPr>
              <w:widowControl/>
              <w:jc w:val="center"/>
              <w:rPr>
                <w:rFonts w:ascii="仿宋_GB2312" w:eastAsia="仿宋_GB2312" w:hAnsi="Times New Roman" w:cs="宋体"/>
                <w:kern w:val="0"/>
                <w:sz w:val="24"/>
                <w:szCs w:val="28"/>
              </w:rPr>
            </w:pPr>
          </w:p>
        </w:tc>
      </w:tr>
      <w:tr w:rsidR="00FC3217" w:rsidTr="007E59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trPr>
        <w:tc>
          <w:tcPr>
            <w:tcW w:w="2709" w:type="dxa"/>
            <w:gridSpan w:val="4"/>
            <w:vMerge/>
            <w:tcBorders>
              <w:left w:val="single" w:sz="4" w:space="0" w:color="auto"/>
              <w:right w:val="single" w:sz="4" w:space="0" w:color="auto"/>
            </w:tcBorders>
            <w:vAlign w:val="center"/>
          </w:tcPr>
          <w:p w:rsidR="00FC3217" w:rsidRDefault="00FC3217" w:rsidP="007E5952">
            <w:pPr>
              <w:widowControl/>
              <w:jc w:val="left"/>
              <w:rPr>
                <w:rFonts w:ascii="仿宋_GB2312" w:eastAsia="仿宋_GB2312" w:hAnsi="Times New Roman" w:cs="宋体"/>
                <w:kern w:val="0"/>
                <w:sz w:val="24"/>
                <w:szCs w:val="28"/>
              </w:rPr>
            </w:pPr>
          </w:p>
        </w:tc>
        <w:tc>
          <w:tcPr>
            <w:tcW w:w="3891" w:type="dxa"/>
            <w:gridSpan w:val="5"/>
            <w:tcBorders>
              <w:top w:val="single" w:sz="4" w:space="0" w:color="auto"/>
              <w:left w:val="nil"/>
              <w:bottom w:val="single" w:sz="4" w:space="0" w:color="auto"/>
              <w:right w:val="single" w:sz="4" w:space="0" w:color="auto"/>
            </w:tcBorders>
          </w:tcPr>
          <w:p w:rsidR="00FC3217" w:rsidRDefault="00FC3217" w:rsidP="007E5952">
            <w:pPr>
              <w:widowControl/>
              <w:jc w:val="center"/>
              <w:rPr>
                <w:rFonts w:ascii="仿宋_GB2312" w:eastAsia="仿宋_GB2312" w:hAnsi="Times New Roman" w:cs="宋体"/>
                <w:kern w:val="0"/>
                <w:sz w:val="24"/>
                <w:szCs w:val="28"/>
              </w:rPr>
            </w:pPr>
            <w:r>
              <w:rPr>
                <w:rFonts w:ascii="仿宋_GB2312" w:eastAsia="仿宋_GB2312" w:hAnsi="Times New Roman" w:cs="宋体" w:hint="eastAsia"/>
                <w:kern w:val="0"/>
                <w:sz w:val="24"/>
                <w:szCs w:val="28"/>
              </w:rPr>
              <w:t>电子邮箱</w:t>
            </w:r>
          </w:p>
        </w:tc>
        <w:tc>
          <w:tcPr>
            <w:tcW w:w="3892" w:type="dxa"/>
            <w:gridSpan w:val="5"/>
            <w:tcBorders>
              <w:top w:val="single" w:sz="4" w:space="0" w:color="auto"/>
              <w:left w:val="nil"/>
              <w:bottom w:val="single" w:sz="4" w:space="0" w:color="auto"/>
              <w:right w:val="single" w:sz="4" w:space="0" w:color="auto"/>
            </w:tcBorders>
          </w:tcPr>
          <w:p w:rsidR="00FC3217" w:rsidRDefault="00FC3217" w:rsidP="007E5952">
            <w:pPr>
              <w:widowControl/>
              <w:jc w:val="center"/>
              <w:rPr>
                <w:rFonts w:ascii="仿宋_GB2312" w:eastAsia="仿宋_GB2312" w:hAnsi="Times New Roman" w:cs="宋体"/>
                <w:kern w:val="0"/>
                <w:sz w:val="24"/>
                <w:szCs w:val="28"/>
              </w:rPr>
            </w:pPr>
          </w:p>
        </w:tc>
      </w:tr>
      <w:tr w:rsidR="00FC3217" w:rsidTr="007E59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trPr>
        <w:tc>
          <w:tcPr>
            <w:tcW w:w="2709" w:type="dxa"/>
            <w:gridSpan w:val="4"/>
            <w:vMerge/>
            <w:tcBorders>
              <w:left w:val="single" w:sz="4" w:space="0" w:color="auto"/>
              <w:bottom w:val="single" w:sz="4" w:space="0" w:color="auto"/>
              <w:right w:val="single" w:sz="4" w:space="0" w:color="auto"/>
            </w:tcBorders>
            <w:vAlign w:val="center"/>
          </w:tcPr>
          <w:p w:rsidR="00FC3217" w:rsidRDefault="00FC3217" w:rsidP="007E5952">
            <w:pPr>
              <w:widowControl/>
              <w:jc w:val="left"/>
              <w:rPr>
                <w:rFonts w:ascii="仿宋_GB2312" w:eastAsia="仿宋_GB2312" w:hAnsi="Times New Roman" w:cs="宋体"/>
                <w:kern w:val="0"/>
                <w:sz w:val="24"/>
                <w:szCs w:val="28"/>
              </w:rPr>
            </w:pPr>
          </w:p>
        </w:tc>
        <w:tc>
          <w:tcPr>
            <w:tcW w:w="3891" w:type="dxa"/>
            <w:gridSpan w:val="5"/>
            <w:tcBorders>
              <w:top w:val="single" w:sz="4" w:space="0" w:color="auto"/>
              <w:left w:val="nil"/>
              <w:bottom w:val="single" w:sz="4" w:space="0" w:color="auto"/>
              <w:right w:val="single" w:sz="4" w:space="0" w:color="auto"/>
            </w:tcBorders>
          </w:tcPr>
          <w:p w:rsidR="00FC3217" w:rsidRDefault="00FC3217" w:rsidP="007E5952">
            <w:pPr>
              <w:widowControl/>
              <w:jc w:val="center"/>
              <w:rPr>
                <w:rFonts w:ascii="仿宋_GB2312" w:eastAsia="仿宋_GB2312" w:hAnsi="Times New Roman" w:cs="宋体"/>
                <w:kern w:val="0"/>
                <w:sz w:val="24"/>
                <w:szCs w:val="28"/>
              </w:rPr>
            </w:pPr>
            <w:r>
              <w:rPr>
                <w:rFonts w:ascii="仿宋_GB2312" w:eastAsia="仿宋_GB2312" w:hAnsi="Times New Roman" w:cs="宋体" w:hint="eastAsia"/>
                <w:kern w:val="0"/>
                <w:sz w:val="24"/>
                <w:szCs w:val="28"/>
              </w:rPr>
              <w:t>姓名</w:t>
            </w:r>
          </w:p>
        </w:tc>
        <w:tc>
          <w:tcPr>
            <w:tcW w:w="3892" w:type="dxa"/>
            <w:gridSpan w:val="5"/>
            <w:tcBorders>
              <w:top w:val="single" w:sz="4" w:space="0" w:color="auto"/>
              <w:left w:val="nil"/>
              <w:bottom w:val="single" w:sz="4" w:space="0" w:color="auto"/>
              <w:right w:val="single" w:sz="4" w:space="0" w:color="auto"/>
            </w:tcBorders>
          </w:tcPr>
          <w:p w:rsidR="00FC3217" w:rsidRDefault="00FC3217" w:rsidP="007E5952">
            <w:pPr>
              <w:widowControl/>
              <w:jc w:val="center"/>
              <w:rPr>
                <w:rFonts w:ascii="仿宋_GB2312" w:eastAsia="仿宋_GB2312" w:hAnsi="Times New Roman" w:cs="宋体"/>
                <w:kern w:val="0"/>
                <w:sz w:val="24"/>
                <w:szCs w:val="28"/>
              </w:rPr>
            </w:pPr>
          </w:p>
        </w:tc>
      </w:tr>
      <w:tr w:rsidR="00FC3217" w:rsidTr="007E59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6"/>
        </w:trPr>
        <w:tc>
          <w:tcPr>
            <w:tcW w:w="2709" w:type="dxa"/>
            <w:gridSpan w:val="4"/>
            <w:tcBorders>
              <w:top w:val="single" w:sz="4" w:space="0" w:color="auto"/>
              <w:left w:val="single" w:sz="4" w:space="0" w:color="auto"/>
              <w:bottom w:val="single" w:sz="4" w:space="0" w:color="auto"/>
              <w:right w:val="single" w:sz="4" w:space="0" w:color="auto"/>
            </w:tcBorders>
            <w:vAlign w:val="center"/>
          </w:tcPr>
          <w:p w:rsidR="00FC3217" w:rsidRDefault="00FC3217" w:rsidP="007E5952">
            <w:pPr>
              <w:widowControl/>
              <w:jc w:val="left"/>
              <w:rPr>
                <w:rFonts w:ascii="仿宋_GB2312" w:eastAsia="仿宋_GB2312" w:hAnsi="Times New Roman" w:cs="宋体"/>
                <w:kern w:val="0"/>
                <w:sz w:val="24"/>
                <w:szCs w:val="28"/>
              </w:rPr>
            </w:pPr>
            <w:r>
              <w:rPr>
                <w:rFonts w:ascii="仿宋_GB2312" w:eastAsia="仿宋_GB2312" w:hAnsi="Times New Roman" w:cs="宋体" w:hint="eastAsia"/>
                <w:kern w:val="0"/>
                <w:sz w:val="24"/>
                <w:szCs w:val="28"/>
              </w:rPr>
              <w:t xml:space="preserve">期权经营机构意见             </w:t>
            </w:r>
          </w:p>
        </w:tc>
        <w:tc>
          <w:tcPr>
            <w:tcW w:w="7783" w:type="dxa"/>
            <w:gridSpan w:val="10"/>
            <w:tcBorders>
              <w:top w:val="single" w:sz="4" w:space="0" w:color="auto"/>
              <w:left w:val="nil"/>
              <w:bottom w:val="single" w:sz="4" w:space="0" w:color="auto"/>
              <w:right w:val="single" w:sz="4" w:space="0" w:color="auto"/>
            </w:tcBorders>
          </w:tcPr>
          <w:p w:rsidR="00FC3217" w:rsidRDefault="00FC3217" w:rsidP="007E5952">
            <w:pPr>
              <w:pStyle w:val="af2"/>
              <w:widowControl/>
              <w:numPr>
                <w:ilvl w:val="0"/>
                <w:numId w:val="7"/>
              </w:numPr>
              <w:spacing w:line="360" w:lineRule="auto"/>
              <w:ind w:firstLineChars="0"/>
              <w:rPr>
                <w:rFonts w:hAnsi="Times New Roman" w:cs="宋体"/>
                <w:kern w:val="0"/>
                <w:sz w:val="24"/>
                <w:szCs w:val="28"/>
              </w:rPr>
            </w:pPr>
            <w:r>
              <w:rPr>
                <w:rFonts w:ascii="仿宋_GB2312" w:eastAsia="仿宋_GB2312" w:hAnsi="Times New Roman" w:hint="eastAsia"/>
                <w:kern w:val="0"/>
                <w:sz w:val="24"/>
                <w:szCs w:val="20"/>
              </w:rPr>
              <w:t>本期权经营机构已对客户报备信息进行尽职审查并同意客户报备。</w:t>
            </w:r>
          </w:p>
        </w:tc>
      </w:tr>
      <w:tr w:rsidR="00FC3217" w:rsidTr="007E59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7"/>
        </w:trPr>
        <w:tc>
          <w:tcPr>
            <w:tcW w:w="2709" w:type="dxa"/>
            <w:gridSpan w:val="4"/>
            <w:tcBorders>
              <w:top w:val="single" w:sz="4" w:space="0" w:color="auto"/>
              <w:left w:val="single" w:sz="4" w:space="0" w:color="auto"/>
              <w:bottom w:val="single" w:sz="4" w:space="0" w:color="auto"/>
              <w:right w:val="single" w:sz="4" w:space="0" w:color="auto"/>
            </w:tcBorders>
            <w:vAlign w:val="center"/>
          </w:tcPr>
          <w:p w:rsidR="00FC3217" w:rsidRDefault="00FC3217" w:rsidP="007E5952">
            <w:pPr>
              <w:widowControl/>
              <w:jc w:val="left"/>
              <w:rPr>
                <w:rFonts w:ascii="仿宋_GB2312" w:eastAsia="仿宋_GB2312" w:hAnsi="Times New Roman" w:cs="宋体"/>
                <w:kern w:val="0"/>
                <w:sz w:val="24"/>
                <w:szCs w:val="28"/>
              </w:rPr>
            </w:pPr>
            <w:r>
              <w:rPr>
                <w:rFonts w:ascii="仿宋_GB2312" w:eastAsia="仿宋_GB2312" w:hAnsi="Times New Roman" w:cs="宋体" w:hint="eastAsia"/>
                <w:kern w:val="0"/>
                <w:sz w:val="24"/>
                <w:szCs w:val="28"/>
              </w:rPr>
              <w:lastRenderedPageBreak/>
              <w:t>签字及盖章</w:t>
            </w:r>
          </w:p>
        </w:tc>
        <w:tc>
          <w:tcPr>
            <w:tcW w:w="7783" w:type="dxa"/>
            <w:gridSpan w:val="10"/>
            <w:tcBorders>
              <w:top w:val="single" w:sz="4" w:space="0" w:color="auto"/>
              <w:left w:val="nil"/>
              <w:bottom w:val="single" w:sz="4" w:space="0" w:color="auto"/>
              <w:right w:val="single" w:sz="4" w:space="0" w:color="auto"/>
            </w:tcBorders>
          </w:tcPr>
          <w:p w:rsidR="00FC3217" w:rsidRDefault="00FC3217" w:rsidP="007E5952">
            <w:pPr>
              <w:pStyle w:val="af2"/>
              <w:widowControl/>
              <w:ind w:left="360" w:firstLineChars="0" w:firstLine="0"/>
              <w:rPr>
                <w:rFonts w:hAnsi="Times New Roman" w:cs="宋体"/>
                <w:kern w:val="0"/>
                <w:sz w:val="24"/>
                <w:szCs w:val="28"/>
              </w:rPr>
            </w:pPr>
          </w:p>
        </w:tc>
      </w:tr>
    </w:tbl>
    <w:p w:rsidR="00FC3217" w:rsidRDefault="00FC3217" w:rsidP="00021BE0">
      <w:pPr>
        <w:spacing w:beforeLines="50" w:afterLines="50"/>
        <w:rPr>
          <w:rFonts w:ascii="仿宋_GB2312" w:eastAsia="仿宋_GB2312" w:hAnsi="Times New Roman"/>
          <w:kern w:val="0"/>
          <w:sz w:val="24"/>
          <w:szCs w:val="20"/>
        </w:rPr>
      </w:pPr>
      <w:r>
        <w:rPr>
          <w:rFonts w:ascii="仿宋_GB2312" w:eastAsia="仿宋_GB2312" w:hAnsi="Times New Roman" w:hint="eastAsia"/>
          <w:kern w:val="0"/>
          <w:sz w:val="24"/>
          <w:szCs w:val="20"/>
        </w:rPr>
        <w:t>填报人:</w:t>
      </w:r>
      <w:r>
        <w:rPr>
          <w:rFonts w:ascii="仿宋_GB2312" w:eastAsia="仿宋_GB2312" w:hAnsi="Times New Roman" w:hint="eastAsia"/>
          <w:kern w:val="0"/>
          <w:sz w:val="24"/>
          <w:szCs w:val="20"/>
        </w:rPr>
        <w:tab/>
      </w:r>
      <w:r>
        <w:rPr>
          <w:rFonts w:ascii="仿宋_GB2312" w:eastAsia="仿宋_GB2312" w:hAnsi="Times New Roman" w:hint="eastAsia"/>
          <w:kern w:val="0"/>
          <w:sz w:val="24"/>
          <w:szCs w:val="20"/>
        </w:rPr>
        <w:tab/>
      </w:r>
      <w:r>
        <w:rPr>
          <w:rFonts w:ascii="仿宋_GB2312" w:eastAsia="仿宋_GB2312" w:hAnsi="Times New Roman" w:hint="eastAsia"/>
          <w:kern w:val="0"/>
          <w:sz w:val="24"/>
          <w:szCs w:val="20"/>
        </w:rPr>
        <w:tab/>
      </w:r>
      <w:r>
        <w:rPr>
          <w:rFonts w:ascii="仿宋_GB2312" w:eastAsia="仿宋_GB2312" w:hAnsi="Times New Roman" w:hint="eastAsia"/>
          <w:kern w:val="0"/>
          <w:sz w:val="24"/>
          <w:szCs w:val="20"/>
        </w:rPr>
        <w:tab/>
      </w:r>
      <w:r>
        <w:rPr>
          <w:rFonts w:ascii="仿宋_GB2312" w:eastAsia="仿宋_GB2312" w:hAnsi="Times New Roman" w:hint="eastAsia"/>
          <w:kern w:val="0"/>
          <w:sz w:val="24"/>
          <w:szCs w:val="20"/>
        </w:rPr>
        <w:tab/>
      </w:r>
      <w:r>
        <w:rPr>
          <w:rFonts w:ascii="仿宋_GB2312" w:eastAsia="仿宋_GB2312" w:hAnsi="Times New Roman" w:hint="eastAsia"/>
          <w:kern w:val="0"/>
          <w:sz w:val="24"/>
          <w:szCs w:val="20"/>
        </w:rPr>
        <w:tab/>
      </w:r>
      <w:r>
        <w:rPr>
          <w:rFonts w:ascii="仿宋_GB2312" w:eastAsia="仿宋_GB2312" w:hAnsi="Times New Roman" w:hint="eastAsia"/>
          <w:kern w:val="0"/>
          <w:sz w:val="24"/>
          <w:szCs w:val="20"/>
        </w:rPr>
        <w:tab/>
      </w:r>
      <w:r>
        <w:rPr>
          <w:rFonts w:ascii="仿宋_GB2312" w:eastAsia="仿宋_GB2312" w:hAnsi="Times New Roman" w:hint="eastAsia"/>
          <w:kern w:val="0"/>
          <w:sz w:val="24"/>
          <w:szCs w:val="20"/>
        </w:rPr>
        <w:tab/>
      </w:r>
      <w:r>
        <w:rPr>
          <w:rFonts w:ascii="仿宋_GB2312" w:eastAsia="仿宋_GB2312" w:hAnsi="Times New Roman" w:hint="eastAsia"/>
          <w:kern w:val="0"/>
          <w:sz w:val="24"/>
          <w:szCs w:val="20"/>
        </w:rPr>
        <w:tab/>
      </w:r>
      <w:r>
        <w:rPr>
          <w:rFonts w:ascii="仿宋_GB2312" w:eastAsia="仿宋_GB2312" w:hAnsi="Times New Roman" w:hint="eastAsia"/>
          <w:kern w:val="0"/>
          <w:sz w:val="24"/>
          <w:szCs w:val="20"/>
        </w:rPr>
        <w:tab/>
        <w:t>填报日期：</w:t>
      </w:r>
    </w:p>
    <w:p w:rsidR="00173848" w:rsidRDefault="00FC3217" w:rsidP="00021BE0">
      <w:pPr>
        <w:spacing w:beforeLines="50" w:afterLines="50"/>
        <w:rPr>
          <w:rFonts w:ascii="仿宋_GB2312" w:eastAsia="仿宋_GB2312" w:hAnsi="Times New Roman" w:cs="宋体"/>
          <w:kern w:val="0"/>
          <w:sz w:val="24"/>
          <w:szCs w:val="28"/>
        </w:rPr>
      </w:pPr>
      <w:r>
        <w:rPr>
          <w:rFonts w:ascii="仿宋_GB2312" w:eastAsia="仿宋_GB2312" w:hAnsi="Times New Roman" w:cs="宋体" w:hint="eastAsia"/>
          <w:kern w:val="0"/>
          <w:sz w:val="24"/>
          <w:szCs w:val="28"/>
        </w:rPr>
        <w:t>说明：</w:t>
      </w:r>
    </w:p>
    <w:p w:rsidR="00173848" w:rsidRDefault="00FC3217" w:rsidP="00021BE0">
      <w:pPr>
        <w:spacing w:beforeLines="50" w:afterLines="50"/>
        <w:rPr>
          <w:rFonts w:ascii="仿宋_GB2312" w:eastAsia="仿宋_GB2312" w:hAnsi="Times New Roman" w:cs="宋体"/>
          <w:kern w:val="0"/>
          <w:sz w:val="24"/>
          <w:szCs w:val="28"/>
        </w:rPr>
      </w:pPr>
      <w:r>
        <w:rPr>
          <w:rFonts w:ascii="仿宋_GB2312" w:eastAsia="仿宋_GB2312" w:hAnsi="Times New Roman" w:cs="宋体" w:hint="eastAsia"/>
          <w:kern w:val="0"/>
          <w:sz w:val="24"/>
          <w:szCs w:val="28"/>
        </w:rPr>
        <w:t>1、 本表格适用于非做市商账户填写。表格信息除明确了“个人账户填写”、“机构账户填写”外，其他所有信息必填，如不适用请填写“不适用”。</w:t>
      </w:r>
    </w:p>
    <w:p w:rsidR="00173848" w:rsidRDefault="00FC3217" w:rsidP="00021BE0">
      <w:pPr>
        <w:spacing w:beforeLines="50" w:afterLines="50"/>
        <w:rPr>
          <w:rFonts w:ascii="仿宋_GB2312" w:eastAsia="仿宋_GB2312" w:hAnsi="Times New Roman" w:cs="宋体"/>
          <w:kern w:val="0"/>
          <w:sz w:val="24"/>
          <w:szCs w:val="28"/>
        </w:rPr>
      </w:pPr>
      <w:r>
        <w:rPr>
          <w:rFonts w:ascii="仿宋_GB2312" w:eastAsia="仿宋_GB2312" w:hAnsi="Times New Roman" w:cs="宋体" w:hint="eastAsia"/>
          <w:kern w:val="0"/>
          <w:sz w:val="24"/>
          <w:szCs w:val="28"/>
        </w:rPr>
        <w:t>2、 期权经营机构编码一栏期货公司填写会员编号。</w:t>
      </w:r>
    </w:p>
    <w:p w:rsidR="00173848" w:rsidRDefault="00FC3217" w:rsidP="00021BE0">
      <w:pPr>
        <w:spacing w:beforeLines="50" w:afterLines="50"/>
        <w:rPr>
          <w:rFonts w:ascii="仿宋_GB2312" w:eastAsia="仿宋_GB2312" w:hAnsi="Times New Roman" w:cs="宋体"/>
          <w:kern w:val="0"/>
          <w:sz w:val="24"/>
          <w:szCs w:val="28"/>
        </w:rPr>
      </w:pPr>
      <w:r>
        <w:rPr>
          <w:rFonts w:ascii="仿宋_GB2312" w:eastAsia="仿宋_GB2312" w:hAnsi="Times New Roman" w:cs="宋体" w:hint="eastAsia"/>
          <w:kern w:val="0"/>
          <w:sz w:val="24"/>
          <w:szCs w:val="28"/>
        </w:rPr>
        <w:t>3、 “首次报备”适用于客户第一次报备。</w:t>
      </w:r>
    </w:p>
    <w:p w:rsidR="00173848" w:rsidRDefault="00FC3217" w:rsidP="00021BE0">
      <w:pPr>
        <w:spacing w:beforeLines="50" w:afterLines="50"/>
        <w:rPr>
          <w:rFonts w:ascii="仿宋_GB2312" w:eastAsia="仿宋_GB2312" w:hAnsi="Times New Roman" w:cs="宋体"/>
          <w:kern w:val="0"/>
          <w:sz w:val="24"/>
          <w:szCs w:val="28"/>
        </w:rPr>
      </w:pPr>
      <w:r>
        <w:rPr>
          <w:rFonts w:ascii="仿宋_GB2312" w:eastAsia="仿宋_GB2312" w:hAnsi="Times New Roman" w:cs="宋体" w:hint="eastAsia"/>
          <w:kern w:val="0"/>
          <w:sz w:val="24"/>
          <w:szCs w:val="28"/>
        </w:rPr>
        <w:t>4、 当投资者对首次报备的以下信息发生变更时，需要再次提交报备，报备账户类型填写“变更报备”：</w:t>
      </w:r>
    </w:p>
    <w:p w:rsidR="00173848" w:rsidRDefault="00FC3217" w:rsidP="00021BE0">
      <w:pPr>
        <w:spacing w:beforeLines="50" w:afterLines="50"/>
        <w:rPr>
          <w:rFonts w:ascii="仿宋_GB2312" w:eastAsia="仿宋_GB2312" w:hAnsi="Times New Roman" w:cs="宋体"/>
          <w:kern w:val="0"/>
          <w:sz w:val="24"/>
          <w:szCs w:val="28"/>
        </w:rPr>
      </w:pPr>
      <w:r>
        <w:rPr>
          <w:rFonts w:ascii="仿宋_GB2312" w:eastAsia="仿宋_GB2312" w:hAnsi="Times New Roman" w:cs="宋体" w:hint="eastAsia"/>
          <w:kern w:val="0"/>
          <w:sz w:val="24"/>
          <w:szCs w:val="28"/>
        </w:rPr>
        <w:t>1）机构账户资金来源发生变更；</w:t>
      </w:r>
    </w:p>
    <w:p w:rsidR="00173848" w:rsidRDefault="00FC3217" w:rsidP="00021BE0">
      <w:pPr>
        <w:spacing w:beforeLines="50" w:afterLines="50"/>
        <w:rPr>
          <w:rFonts w:ascii="仿宋_GB2312" w:eastAsia="仿宋_GB2312" w:hAnsi="Times New Roman" w:cs="宋体"/>
          <w:kern w:val="0"/>
          <w:sz w:val="24"/>
          <w:szCs w:val="28"/>
        </w:rPr>
      </w:pPr>
      <w:r>
        <w:rPr>
          <w:rFonts w:ascii="仿宋_GB2312" w:eastAsia="仿宋_GB2312" w:hAnsi="Times New Roman" w:cs="宋体" w:hint="eastAsia"/>
          <w:kern w:val="0"/>
          <w:sz w:val="24"/>
          <w:szCs w:val="28"/>
        </w:rPr>
        <w:t>2）机构账户实际控制人发生变更；</w:t>
      </w:r>
    </w:p>
    <w:p w:rsidR="00173848" w:rsidRDefault="00FC3217" w:rsidP="00021BE0">
      <w:pPr>
        <w:spacing w:beforeLines="50" w:afterLines="50"/>
        <w:rPr>
          <w:rFonts w:ascii="仿宋_GB2312" w:eastAsia="仿宋_GB2312" w:hAnsi="Times New Roman" w:cs="宋体"/>
          <w:kern w:val="0"/>
          <w:sz w:val="24"/>
          <w:szCs w:val="28"/>
        </w:rPr>
      </w:pPr>
      <w:r>
        <w:rPr>
          <w:rFonts w:ascii="仿宋_GB2312" w:eastAsia="仿宋_GB2312" w:hAnsi="Times New Roman" w:cs="宋体" w:hint="eastAsia"/>
          <w:kern w:val="0"/>
          <w:sz w:val="24"/>
          <w:szCs w:val="28"/>
        </w:rPr>
        <w:t>3）机构账户主要交易员信息发生变更；</w:t>
      </w:r>
    </w:p>
    <w:p w:rsidR="00173848" w:rsidRDefault="00FC3217" w:rsidP="00021BE0">
      <w:pPr>
        <w:spacing w:beforeLines="50" w:afterLines="50"/>
        <w:rPr>
          <w:rFonts w:ascii="仿宋_GB2312" w:eastAsia="仿宋_GB2312" w:hAnsi="Times New Roman" w:cs="宋体"/>
          <w:kern w:val="0"/>
          <w:sz w:val="24"/>
          <w:szCs w:val="28"/>
        </w:rPr>
      </w:pPr>
      <w:r>
        <w:rPr>
          <w:rFonts w:ascii="仿宋_GB2312" w:eastAsia="仿宋_GB2312" w:hAnsi="Times New Roman" w:cs="宋体" w:hint="eastAsia"/>
          <w:kern w:val="0"/>
          <w:sz w:val="24"/>
          <w:szCs w:val="28"/>
        </w:rPr>
        <w:t>4）交易系统、下单系统服务器所在城市发生变更；</w:t>
      </w:r>
    </w:p>
    <w:p w:rsidR="00173848" w:rsidRDefault="00FC3217" w:rsidP="00021BE0">
      <w:pPr>
        <w:spacing w:beforeLines="50" w:afterLines="50"/>
        <w:rPr>
          <w:rFonts w:ascii="仿宋_GB2312" w:eastAsia="仿宋_GB2312" w:hAnsi="Times New Roman" w:cs="宋体"/>
          <w:kern w:val="0"/>
          <w:sz w:val="24"/>
          <w:szCs w:val="28"/>
        </w:rPr>
      </w:pPr>
      <w:r>
        <w:rPr>
          <w:rFonts w:ascii="仿宋_GB2312" w:eastAsia="仿宋_GB2312" w:hAnsi="Times New Roman" w:cs="宋体" w:hint="eastAsia"/>
          <w:kern w:val="0"/>
          <w:sz w:val="24"/>
          <w:szCs w:val="28"/>
        </w:rPr>
        <w:t>5）程序交易软件信息发生重大变更；</w:t>
      </w:r>
    </w:p>
    <w:p w:rsidR="00173848" w:rsidRDefault="00FC3217" w:rsidP="00021BE0">
      <w:pPr>
        <w:spacing w:beforeLines="50" w:afterLines="50"/>
        <w:rPr>
          <w:rFonts w:ascii="仿宋_GB2312" w:eastAsia="仿宋_GB2312" w:hAnsi="Times New Roman" w:cs="宋体"/>
          <w:kern w:val="0"/>
          <w:sz w:val="24"/>
          <w:szCs w:val="28"/>
        </w:rPr>
      </w:pPr>
      <w:r>
        <w:rPr>
          <w:rFonts w:ascii="仿宋_GB2312" w:eastAsia="仿宋_GB2312" w:hAnsi="Times New Roman" w:cs="宋体" w:hint="eastAsia"/>
          <w:kern w:val="0"/>
          <w:sz w:val="24"/>
          <w:szCs w:val="28"/>
        </w:rPr>
        <w:t>6）其他重大信息变更。</w:t>
      </w:r>
    </w:p>
    <w:p w:rsidR="00173848" w:rsidRDefault="00FC3217" w:rsidP="00021BE0">
      <w:pPr>
        <w:spacing w:beforeLines="50" w:afterLines="50"/>
        <w:rPr>
          <w:rFonts w:ascii="仿宋_GB2312" w:eastAsia="仿宋_GB2312" w:hAnsi="Times New Roman" w:cs="宋体"/>
          <w:kern w:val="0"/>
          <w:sz w:val="24"/>
          <w:szCs w:val="28"/>
        </w:rPr>
      </w:pPr>
      <w:r>
        <w:rPr>
          <w:rFonts w:ascii="仿宋_GB2312" w:eastAsia="仿宋_GB2312" w:hAnsi="Times New Roman" w:cs="宋体" w:hint="eastAsia"/>
          <w:kern w:val="0"/>
          <w:sz w:val="24"/>
          <w:szCs w:val="28"/>
        </w:rPr>
        <w:t>5、 当客户对已报备的程序交易账户撤销程序交易权限时，适用于“撤销报备”。</w:t>
      </w:r>
    </w:p>
    <w:p w:rsidR="00173848" w:rsidRDefault="00FC3217" w:rsidP="00021BE0">
      <w:pPr>
        <w:spacing w:beforeLines="50" w:afterLines="50"/>
        <w:rPr>
          <w:rFonts w:ascii="仿宋_GB2312" w:eastAsia="仿宋_GB2312" w:hAnsi="Times New Roman" w:cs="宋体"/>
          <w:kern w:val="0"/>
          <w:sz w:val="24"/>
          <w:szCs w:val="28"/>
        </w:rPr>
      </w:pPr>
      <w:r>
        <w:rPr>
          <w:rFonts w:ascii="仿宋_GB2312" w:eastAsia="仿宋_GB2312" w:hAnsi="Times New Roman" w:cs="宋体" w:hint="eastAsia"/>
          <w:kern w:val="0"/>
          <w:sz w:val="24"/>
          <w:szCs w:val="28"/>
        </w:rPr>
        <w:t>6、 期权经营机构签证及盖章要求：衍生品经纪业务负责人或其委托授权人签字，加盖衍生品经纪业务部门印章或负责衍生品经纪业务的部门印章。</w:t>
      </w:r>
    </w:p>
    <w:p w:rsidR="00173848" w:rsidRDefault="00FC3217" w:rsidP="00021BE0">
      <w:pPr>
        <w:spacing w:beforeLines="50" w:afterLines="50"/>
        <w:rPr>
          <w:rFonts w:ascii="仿宋_GB2312" w:eastAsia="仿宋_GB2312" w:hAnsi="Times New Roman" w:cs="宋体"/>
          <w:kern w:val="0"/>
          <w:sz w:val="24"/>
          <w:szCs w:val="28"/>
        </w:rPr>
      </w:pPr>
      <w:r>
        <w:rPr>
          <w:rFonts w:ascii="仿宋_GB2312" w:eastAsia="仿宋_GB2312" w:hAnsi="Times New Roman" w:cs="宋体" w:hint="eastAsia"/>
          <w:kern w:val="0"/>
          <w:sz w:val="24"/>
          <w:szCs w:val="28"/>
        </w:rPr>
        <w:t>7、 按客户分文件填列信息，以“期权经营机构代码_衍生品合约账户_报备日期”为文件名。</w:t>
      </w:r>
    </w:p>
    <w:p w:rsidR="00173848" w:rsidRDefault="00FC3217" w:rsidP="00021BE0">
      <w:pPr>
        <w:spacing w:beforeLines="50" w:afterLines="50"/>
        <w:rPr>
          <w:rFonts w:ascii="仿宋_GB2312" w:eastAsia="仿宋_GB2312" w:hAnsi="Times New Roman" w:cs="宋体"/>
          <w:kern w:val="0"/>
          <w:sz w:val="24"/>
          <w:szCs w:val="28"/>
        </w:rPr>
      </w:pPr>
      <w:r>
        <w:rPr>
          <w:rFonts w:ascii="仿宋_GB2312" w:eastAsia="仿宋_GB2312" w:hAnsi="Times New Roman" w:cs="宋体" w:hint="eastAsia"/>
          <w:kern w:val="0"/>
          <w:sz w:val="24"/>
          <w:szCs w:val="28"/>
        </w:rPr>
        <w:t>8、 请于每个交易日的15:00至17:00传真至上交所，并将电子档以电子邮件发送至指定邮箱。</w:t>
      </w:r>
    </w:p>
    <w:p w:rsidR="00173848" w:rsidRDefault="00FC3217" w:rsidP="00021BE0">
      <w:pPr>
        <w:spacing w:beforeLines="50" w:afterLines="50"/>
        <w:rPr>
          <w:rFonts w:ascii="仿宋_GB2312" w:eastAsia="仿宋_GB2312" w:hAnsi="Times New Roman" w:cs="宋体"/>
          <w:kern w:val="0"/>
          <w:sz w:val="24"/>
          <w:szCs w:val="28"/>
        </w:rPr>
      </w:pPr>
      <w:r>
        <w:rPr>
          <w:rFonts w:ascii="仿宋_GB2312" w:eastAsia="仿宋_GB2312" w:hAnsi="Times New Roman" w:cs="宋体" w:hint="eastAsia"/>
          <w:kern w:val="0"/>
          <w:sz w:val="24"/>
          <w:szCs w:val="28"/>
        </w:rPr>
        <w:t>传真号：021-68810528-62#</w:t>
      </w:r>
    </w:p>
    <w:p w:rsidR="00FC3217" w:rsidRDefault="00FC3217" w:rsidP="00FC3217">
      <w:pPr>
        <w:jc w:val="left"/>
        <w:rPr>
          <w:rFonts w:ascii="仿宋_GB2312" w:eastAsia="仿宋_GB2312"/>
          <w:color w:val="000000"/>
          <w:sz w:val="28"/>
          <w:szCs w:val="28"/>
        </w:rPr>
      </w:pPr>
      <w:r>
        <w:rPr>
          <w:rFonts w:ascii="仿宋_GB2312" w:eastAsia="仿宋_GB2312" w:hAnsi="Times New Roman" w:cs="宋体" w:hint="eastAsia"/>
          <w:kern w:val="0"/>
          <w:sz w:val="24"/>
          <w:szCs w:val="28"/>
        </w:rPr>
        <w:t>电子邮箱：riskdispose01@sse.com.cn</w:t>
      </w:r>
    </w:p>
    <w:p w:rsidR="00FC3217" w:rsidRDefault="00FC3217" w:rsidP="00FC3217">
      <w:pPr>
        <w:jc w:val="center"/>
        <w:rPr>
          <w:rFonts w:ascii="仿宋_GB2312" w:eastAsia="仿宋_GB2312"/>
          <w:color w:val="000000"/>
          <w:sz w:val="28"/>
          <w:szCs w:val="28"/>
        </w:rPr>
      </w:pPr>
    </w:p>
    <w:p w:rsidR="00FC3217" w:rsidRDefault="00FC3217" w:rsidP="00FC3217">
      <w:pPr>
        <w:pStyle w:val="2"/>
        <w:ind w:firstLine="562"/>
      </w:pPr>
      <w:bookmarkStart w:id="593" w:name="_Toc14515"/>
      <w:bookmarkStart w:id="594" w:name="_Toc23947044"/>
      <w:r>
        <w:rPr>
          <w:rFonts w:hint="eastAsia"/>
        </w:rPr>
        <w:t>附件五：</w:t>
      </w:r>
      <w:r>
        <w:rPr>
          <w:rFonts w:hint="eastAsia"/>
        </w:rPr>
        <w:t xml:space="preserve"> </w:t>
      </w:r>
      <w:r>
        <w:rPr>
          <w:rFonts w:hint="eastAsia"/>
        </w:rPr>
        <w:t>大户持仓报告表</w:t>
      </w:r>
      <w:bookmarkEnd w:id="593"/>
      <w:bookmarkEnd w:id="594"/>
    </w:p>
    <w:tbl>
      <w:tblPr>
        <w:tblW w:w="0" w:type="auto"/>
        <w:jc w:val="center"/>
        <w:tblBorders>
          <w:top w:val="single" w:sz="6" w:space="0" w:color="000000"/>
          <w:left w:val="single" w:sz="6" w:space="0" w:color="000000"/>
          <w:bottom w:val="single" w:sz="6" w:space="0" w:color="000000"/>
          <w:right w:val="single" w:sz="6" w:space="0" w:color="000000"/>
          <w:insideH w:val="outset" w:sz="6" w:space="0" w:color="auto"/>
          <w:insideV w:val="outset" w:sz="6" w:space="0" w:color="auto"/>
        </w:tblBorders>
        <w:shd w:val="clear" w:color="auto" w:fill="FFFFFF"/>
        <w:tblLayout w:type="fixed"/>
        <w:tblCellMar>
          <w:left w:w="0" w:type="dxa"/>
          <w:right w:w="0" w:type="dxa"/>
        </w:tblCellMar>
        <w:tblLook w:val="0000"/>
      </w:tblPr>
      <w:tblGrid>
        <w:gridCol w:w="2093"/>
        <w:gridCol w:w="1112"/>
        <w:gridCol w:w="1420"/>
        <w:gridCol w:w="951"/>
        <w:gridCol w:w="567"/>
        <w:gridCol w:w="993"/>
        <w:gridCol w:w="1751"/>
      </w:tblGrid>
      <w:tr w:rsidR="00FC3217" w:rsidTr="007E5952">
        <w:trPr>
          <w:jc w:val="center"/>
        </w:trPr>
        <w:tc>
          <w:tcPr>
            <w:tcW w:w="2093"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tcPr>
          <w:p w:rsidR="00FC3217" w:rsidRDefault="00FC3217" w:rsidP="007E5952">
            <w:pPr>
              <w:widowControl/>
              <w:spacing w:before="100" w:beforeAutospacing="1" w:after="100" w:afterAutospacing="1"/>
              <w:rPr>
                <w:rFonts w:ascii="仿宋_GB2312" w:eastAsia="仿宋_GB2312" w:hAnsi="Times New Roman" w:cs="宋体"/>
                <w:kern w:val="0"/>
                <w:sz w:val="24"/>
                <w:szCs w:val="28"/>
              </w:rPr>
            </w:pPr>
            <w:r>
              <w:rPr>
                <w:rFonts w:ascii="仿宋_GB2312" w:eastAsia="仿宋_GB2312" w:hAnsi="Times New Roman" w:cs="宋体" w:hint="eastAsia"/>
                <w:kern w:val="0"/>
                <w:sz w:val="24"/>
                <w:szCs w:val="28"/>
              </w:rPr>
              <w:t>投资者（期货公司）名称</w:t>
            </w:r>
          </w:p>
        </w:tc>
        <w:tc>
          <w:tcPr>
            <w:tcW w:w="6794" w:type="dxa"/>
            <w:gridSpan w:val="6"/>
            <w:tcBorders>
              <w:top w:val="single" w:sz="8" w:space="0" w:color="auto"/>
              <w:left w:val="nil"/>
              <w:bottom w:val="single" w:sz="8" w:space="0" w:color="auto"/>
              <w:right w:val="single" w:sz="8" w:space="0" w:color="auto"/>
            </w:tcBorders>
            <w:shd w:val="clear" w:color="auto" w:fill="FFFFFF"/>
            <w:tcMar>
              <w:left w:w="108" w:type="dxa"/>
              <w:right w:w="108" w:type="dxa"/>
            </w:tcMar>
          </w:tcPr>
          <w:p w:rsidR="00FC3217" w:rsidRDefault="00FC3217" w:rsidP="007E5952">
            <w:pPr>
              <w:widowControl/>
              <w:spacing w:before="100" w:beforeAutospacing="1" w:after="100" w:afterAutospacing="1"/>
              <w:rPr>
                <w:rFonts w:ascii="仿宋_GB2312" w:eastAsia="仿宋_GB2312" w:hAnsi="Times New Roman" w:cs="宋体"/>
                <w:kern w:val="0"/>
                <w:sz w:val="24"/>
                <w:szCs w:val="28"/>
              </w:rPr>
            </w:pPr>
            <w:r>
              <w:rPr>
                <w:rFonts w:ascii="Times New Roman" w:eastAsia="仿宋_GB2312" w:hAnsi="Times New Roman" w:cs="宋体"/>
                <w:kern w:val="0"/>
                <w:sz w:val="24"/>
                <w:szCs w:val="28"/>
              </w:rPr>
              <w:t> </w:t>
            </w:r>
          </w:p>
        </w:tc>
      </w:tr>
      <w:tr w:rsidR="00FC3217" w:rsidTr="007E5952">
        <w:trPr>
          <w:jc w:val="center"/>
        </w:trPr>
        <w:tc>
          <w:tcPr>
            <w:tcW w:w="2093" w:type="dxa"/>
            <w:tcBorders>
              <w:top w:val="nil"/>
              <w:left w:val="single" w:sz="8" w:space="0" w:color="auto"/>
              <w:bottom w:val="single" w:sz="8" w:space="0" w:color="auto"/>
              <w:right w:val="single" w:sz="8" w:space="0" w:color="auto"/>
            </w:tcBorders>
            <w:shd w:val="clear" w:color="auto" w:fill="FFFFFF"/>
            <w:tcMar>
              <w:left w:w="108" w:type="dxa"/>
              <w:right w:w="108" w:type="dxa"/>
            </w:tcMar>
          </w:tcPr>
          <w:p w:rsidR="00FC3217" w:rsidRDefault="00FC3217" w:rsidP="007E5952">
            <w:pPr>
              <w:widowControl/>
              <w:spacing w:before="100" w:beforeAutospacing="1" w:after="100" w:afterAutospacing="1"/>
              <w:rPr>
                <w:rFonts w:ascii="仿宋_GB2312" w:eastAsia="仿宋_GB2312" w:hAnsi="Times New Roman" w:cs="宋体"/>
                <w:kern w:val="0"/>
                <w:sz w:val="24"/>
                <w:szCs w:val="28"/>
              </w:rPr>
            </w:pPr>
            <w:r>
              <w:rPr>
                <w:rFonts w:ascii="仿宋_GB2312" w:eastAsia="仿宋_GB2312" w:hAnsi="Times New Roman" w:cs="宋体" w:hint="eastAsia"/>
                <w:kern w:val="0"/>
                <w:sz w:val="24"/>
                <w:szCs w:val="28"/>
              </w:rPr>
              <w:t>合约账户</w:t>
            </w:r>
          </w:p>
        </w:tc>
        <w:tc>
          <w:tcPr>
            <w:tcW w:w="2532" w:type="dxa"/>
            <w:gridSpan w:val="2"/>
            <w:tcBorders>
              <w:top w:val="nil"/>
              <w:left w:val="nil"/>
              <w:bottom w:val="single" w:sz="8" w:space="0" w:color="auto"/>
              <w:right w:val="single" w:sz="8" w:space="0" w:color="auto"/>
            </w:tcBorders>
            <w:shd w:val="clear" w:color="auto" w:fill="FFFFFF"/>
            <w:tcMar>
              <w:left w:w="108" w:type="dxa"/>
              <w:right w:w="108" w:type="dxa"/>
            </w:tcMar>
          </w:tcPr>
          <w:p w:rsidR="00FC3217" w:rsidRDefault="00FC3217" w:rsidP="007E5952">
            <w:pPr>
              <w:widowControl/>
              <w:spacing w:before="100" w:beforeAutospacing="1" w:after="100" w:afterAutospacing="1"/>
              <w:rPr>
                <w:rFonts w:ascii="仿宋_GB2312" w:eastAsia="仿宋_GB2312" w:hAnsi="Times New Roman" w:cs="宋体"/>
                <w:kern w:val="0"/>
                <w:sz w:val="24"/>
                <w:szCs w:val="28"/>
              </w:rPr>
            </w:pPr>
            <w:r>
              <w:rPr>
                <w:rFonts w:ascii="Times New Roman" w:eastAsia="仿宋_GB2312" w:hAnsi="Times New Roman" w:cs="宋体"/>
                <w:kern w:val="0"/>
                <w:sz w:val="24"/>
                <w:szCs w:val="28"/>
              </w:rPr>
              <w:t> </w:t>
            </w:r>
          </w:p>
        </w:tc>
        <w:tc>
          <w:tcPr>
            <w:tcW w:w="4262" w:type="dxa"/>
            <w:gridSpan w:val="4"/>
            <w:tcBorders>
              <w:top w:val="nil"/>
              <w:left w:val="nil"/>
              <w:bottom w:val="single" w:sz="8" w:space="0" w:color="auto"/>
              <w:right w:val="single" w:sz="8" w:space="0" w:color="auto"/>
            </w:tcBorders>
            <w:shd w:val="clear" w:color="auto" w:fill="FFFFFF"/>
            <w:tcMar>
              <w:left w:w="108" w:type="dxa"/>
              <w:right w:w="108" w:type="dxa"/>
            </w:tcMar>
          </w:tcPr>
          <w:p w:rsidR="00FC3217" w:rsidRDefault="00FC3217" w:rsidP="007E5952">
            <w:pPr>
              <w:widowControl/>
              <w:spacing w:before="100" w:beforeAutospacing="1" w:after="100" w:afterAutospacing="1"/>
              <w:rPr>
                <w:rFonts w:ascii="仿宋_GB2312" w:eastAsia="仿宋_GB2312" w:hAnsi="Times New Roman" w:cs="宋体"/>
                <w:kern w:val="0"/>
                <w:sz w:val="24"/>
                <w:szCs w:val="28"/>
              </w:rPr>
            </w:pPr>
            <w:r>
              <w:rPr>
                <w:rFonts w:ascii="仿宋_GB2312" w:eastAsia="仿宋_GB2312" w:hAnsi="Times New Roman" w:cs="宋体" w:hint="eastAsia"/>
                <w:kern w:val="0"/>
                <w:sz w:val="24"/>
                <w:szCs w:val="28"/>
              </w:rPr>
              <w:t>□普通</w:t>
            </w:r>
            <w:r>
              <w:rPr>
                <w:rFonts w:ascii="Times New Roman" w:eastAsia="仿宋_GB2312" w:hAnsi="Times New Roman" w:cs="宋体"/>
                <w:kern w:val="0"/>
                <w:sz w:val="24"/>
                <w:szCs w:val="28"/>
              </w:rPr>
              <w:t> </w:t>
            </w:r>
            <w:r>
              <w:rPr>
                <w:rFonts w:ascii="仿宋_GB2312" w:eastAsia="仿宋_GB2312" w:hAnsi="Times New Roman" w:cs="宋体" w:hint="eastAsia"/>
                <w:kern w:val="0"/>
                <w:sz w:val="24"/>
                <w:szCs w:val="28"/>
              </w:rPr>
              <w:t xml:space="preserve">　□套保  □自营  □做市商</w:t>
            </w:r>
          </w:p>
        </w:tc>
      </w:tr>
      <w:tr w:rsidR="00FC3217" w:rsidTr="007E5952">
        <w:trPr>
          <w:jc w:val="center"/>
        </w:trPr>
        <w:tc>
          <w:tcPr>
            <w:tcW w:w="2093" w:type="dxa"/>
            <w:tcBorders>
              <w:top w:val="nil"/>
              <w:left w:val="single" w:sz="8" w:space="0" w:color="auto"/>
              <w:bottom w:val="single" w:sz="8" w:space="0" w:color="auto"/>
              <w:right w:val="single" w:sz="8" w:space="0" w:color="auto"/>
            </w:tcBorders>
            <w:shd w:val="clear" w:color="auto" w:fill="FFFFFF"/>
            <w:tcMar>
              <w:left w:w="108" w:type="dxa"/>
              <w:right w:w="108" w:type="dxa"/>
            </w:tcMar>
          </w:tcPr>
          <w:p w:rsidR="00FC3217" w:rsidRDefault="00FC3217" w:rsidP="007E5952">
            <w:pPr>
              <w:widowControl/>
              <w:spacing w:before="100" w:beforeAutospacing="1" w:after="100" w:afterAutospacing="1"/>
              <w:rPr>
                <w:rFonts w:ascii="仿宋_GB2312" w:eastAsia="仿宋_GB2312" w:hAnsi="Times New Roman" w:cs="宋体"/>
                <w:kern w:val="0"/>
                <w:sz w:val="24"/>
                <w:szCs w:val="28"/>
              </w:rPr>
            </w:pPr>
            <w:r>
              <w:rPr>
                <w:rFonts w:ascii="仿宋_GB2312" w:eastAsia="仿宋_GB2312" w:hAnsi="Times New Roman" w:cs="宋体" w:hint="eastAsia"/>
                <w:kern w:val="0"/>
                <w:sz w:val="24"/>
                <w:szCs w:val="28"/>
              </w:rPr>
              <w:lastRenderedPageBreak/>
              <w:t>联系地址</w:t>
            </w:r>
          </w:p>
        </w:tc>
        <w:tc>
          <w:tcPr>
            <w:tcW w:w="2532" w:type="dxa"/>
            <w:gridSpan w:val="2"/>
            <w:tcBorders>
              <w:top w:val="nil"/>
              <w:left w:val="nil"/>
              <w:bottom w:val="single" w:sz="8" w:space="0" w:color="auto"/>
              <w:right w:val="single" w:sz="8" w:space="0" w:color="auto"/>
            </w:tcBorders>
            <w:shd w:val="clear" w:color="auto" w:fill="FFFFFF"/>
            <w:tcMar>
              <w:left w:w="108" w:type="dxa"/>
              <w:right w:w="108" w:type="dxa"/>
            </w:tcMar>
          </w:tcPr>
          <w:p w:rsidR="00FC3217" w:rsidRDefault="00FC3217" w:rsidP="007E5952">
            <w:pPr>
              <w:widowControl/>
              <w:spacing w:before="100" w:beforeAutospacing="1" w:after="100" w:afterAutospacing="1"/>
              <w:rPr>
                <w:rFonts w:ascii="仿宋_GB2312" w:eastAsia="仿宋_GB2312" w:hAnsi="Times New Roman" w:cs="宋体"/>
                <w:kern w:val="0"/>
                <w:sz w:val="24"/>
                <w:szCs w:val="28"/>
              </w:rPr>
            </w:pPr>
            <w:r>
              <w:rPr>
                <w:rFonts w:ascii="Times New Roman" w:eastAsia="仿宋_GB2312" w:hAnsi="Times New Roman" w:cs="宋体"/>
                <w:kern w:val="0"/>
                <w:sz w:val="24"/>
                <w:szCs w:val="28"/>
              </w:rPr>
              <w:t> </w:t>
            </w:r>
          </w:p>
        </w:tc>
        <w:tc>
          <w:tcPr>
            <w:tcW w:w="2511" w:type="dxa"/>
            <w:gridSpan w:val="3"/>
            <w:tcBorders>
              <w:top w:val="nil"/>
              <w:left w:val="nil"/>
              <w:bottom w:val="single" w:sz="8" w:space="0" w:color="auto"/>
              <w:right w:val="single" w:sz="8" w:space="0" w:color="auto"/>
            </w:tcBorders>
            <w:shd w:val="clear" w:color="auto" w:fill="FFFFFF"/>
            <w:tcMar>
              <w:left w:w="108" w:type="dxa"/>
              <w:right w:w="108" w:type="dxa"/>
            </w:tcMar>
          </w:tcPr>
          <w:p w:rsidR="00FC3217" w:rsidRDefault="00FC3217" w:rsidP="007E5952">
            <w:pPr>
              <w:widowControl/>
              <w:spacing w:before="100" w:beforeAutospacing="1" w:after="100" w:afterAutospacing="1"/>
              <w:rPr>
                <w:rFonts w:ascii="仿宋_GB2312" w:eastAsia="仿宋_GB2312" w:hAnsi="Times New Roman" w:cs="宋体"/>
                <w:kern w:val="0"/>
                <w:sz w:val="24"/>
                <w:szCs w:val="28"/>
              </w:rPr>
            </w:pPr>
            <w:r>
              <w:rPr>
                <w:rFonts w:ascii="仿宋_GB2312" w:eastAsia="仿宋_GB2312" w:hAnsi="Times New Roman" w:cs="宋体" w:hint="eastAsia"/>
                <w:kern w:val="0"/>
                <w:sz w:val="24"/>
                <w:szCs w:val="28"/>
              </w:rPr>
              <w:t>联系电话</w:t>
            </w:r>
          </w:p>
        </w:tc>
        <w:tc>
          <w:tcPr>
            <w:tcW w:w="1751" w:type="dxa"/>
            <w:tcBorders>
              <w:top w:val="nil"/>
              <w:left w:val="nil"/>
              <w:bottom w:val="single" w:sz="8" w:space="0" w:color="auto"/>
              <w:right w:val="single" w:sz="8" w:space="0" w:color="auto"/>
            </w:tcBorders>
            <w:shd w:val="clear" w:color="auto" w:fill="FFFFFF"/>
            <w:tcMar>
              <w:left w:w="108" w:type="dxa"/>
              <w:right w:w="108" w:type="dxa"/>
            </w:tcMar>
          </w:tcPr>
          <w:p w:rsidR="00FC3217" w:rsidRDefault="00FC3217" w:rsidP="007E5952">
            <w:pPr>
              <w:widowControl/>
              <w:spacing w:before="100" w:beforeAutospacing="1" w:after="100" w:afterAutospacing="1"/>
              <w:rPr>
                <w:rFonts w:ascii="仿宋_GB2312" w:eastAsia="仿宋_GB2312" w:hAnsi="Times New Roman" w:cs="宋体"/>
                <w:kern w:val="0"/>
                <w:sz w:val="24"/>
                <w:szCs w:val="28"/>
              </w:rPr>
            </w:pPr>
            <w:r>
              <w:rPr>
                <w:rFonts w:ascii="Times New Roman" w:eastAsia="仿宋_GB2312" w:hAnsi="Times New Roman" w:cs="宋体"/>
                <w:kern w:val="0"/>
                <w:sz w:val="24"/>
                <w:szCs w:val="28"/>
              </w:rPr>
              <w:t> </w:t>
            </w:r>
          </w:p>
        </w:tc>
      </w:tr>
      <w:tr w:rsidR="00FC3217" w:rsidTr="007E5952">
        <w:trPr>
          <w:jc w:val="center"/>
        </w:trPr>
        <w:tc>
          <w:tcPr>
            <w:tcW w:w="2093" w:type="dxa"/>
            <w:tcBorders>
              <w:top w:val="nil"/>
              <w:left w:val="single" w:sz="8" w:space="0" w:color="auto"/>
              <w:bottom w:val="single" w:sz="8" w:space="0" w:color="auto"/>
              <w:right w:val="single" w:sz="8" w:space="0" w:color="auto"/>
            </w:tcBorders>
            <w:shd w:val="clear" w:color="auto" w:fill="FFFFFF"/>
            <w:tcMar>
              <w:left w:w="108" w:type="dxa"/>
              <w:right w:w="108" w:type="dxa"/>
            </w:tcMar>
          </w:tcPr>
          <w:p w:rsidR="00FC3217" w:rsidRDefault="00FC3217" w:rsidP="007E5952">
            <w:pPr>
              <w:widowControl/>
              <w:spacing w:before="100" w:beforeAutospacing="1" w:after="100" w:afterAutospacing="1"/>
              <w:rPr>
                <w:rFonts w:ascii="仿宋_GB2312" w:eastAsia="仿宋_GB2312" w:hAnsi="Times New Roman" w:cs="宋体"/>
                <w:kern w:val="0"/>
                <w:sz w:val="24"/>
                <w:szCs w:val="28"/>
              </w:rPr>
            </w:pPr>
            <w:r>
              <w:rPr>
                <w:rFonts w:ascii="仿宋_GB2312" w:eastAsia="仿宋_GB2312" w:hAnsi="Times New Roman" w:cs="宋体" w:hint="eastAsia"/>
                <w:kern w:val="0"/>
                <w:sz w:val="24"/>
                <w:szCs w:val="28"/>
              </w:rPr>
              <w:t>合约编码1</w:t>
            </w:r>
          </w:p>
        </w:tc>
        <w:tc>
          <w:tcPr>
            <w:tcW w:w="2532" w:type="dxa"/>
            <w:gridSpan w:val="2"/>
            <w:tcBorders>
              <w:top w:val="nil"/>
              <w:left w:val="nil"/>
              <w:bottom w:val="single" w:sz="8" w:space="0" w:color="auto"/>
              <w:right w:val="single" w:sz="8" w:space="0" w:color="auto"/>
            </w:tcBorders>
            <w:shd w:val="clear" w:color="auto" w:fill="FFFFFF"/>
            <w:tcMar>
              <w:left w:w="108" w:type="dxa"/>
              <w:right w:w="108" w:type="dxa"/>
            </w:tcMar>
          </w:tcPr>
          <w:p w:rsidR="00FC3217" w:rsidRDefault="00FC3217" w:rsidP="007E5952">
            <w:pPr>
              <w:widowControl/>
              <w:spacing w:before="100" w:beforeAutospacing="1" w:after="100" w:afterAutospacing="1"/>
              <w:rPr>
                <w:rFonts w:ascii="仿宋_GB2312" w:eastAsia="仿宋_GB2312" w:hAnsi="Times New Roman" w:cs="宋体"/>
                <w:kern w:val="0"/>
                <w:sz w:val="24"/>
                <w:szCs w:val="28"/>
              </w:rPr>
            </w:pPr>
            <w:r>
              <w:rPr>
                <w:rFonts w:ascii="Times New Roman" w:eastAsia="仿宋_GB2312" w:hAnsi="Times New Roman" w:cs="宋体"/>
                <w:kern w:val="0"/>
                <w:sz w:val="24"/>
                <w:szCs w:val="28"/>
              </w:rPr>
              <w:t> </w:t>
            </w:r>
          </w:p>
        </w:tc>
        <w:tc>
          <w:tcPr>
            <w:tcW w:w="2511" w:type="dxa"/>
            <w:gridSpan w:val="3"/>
            <w:tcBorders>
              <w:top w:val="nil"/>
              <w:left w:val="nil"/>
              <w:bottom w:val="single" w:sz="8" w:space="0" w:color="auto"/>
              <w:right w:val="single" w:sz="8" w:space="0" w:color="auto"/>
            </w:tcBorders>
            <w:shd w:val="clear" w:color="auto" w:fill="FFFFFF"/>
            <w:tcMar>
              <w:left w:w="108" w:type="dxa"/>
              <w:right w:w="108" w:type="dxa"/>
            </w:tcMar>
          </w:tcPr>
          <w:p w:rsidR="00FC3217" w:rsidRDefault="00FC3217" w:rsidP="007E5952">
            <w:pPr>
              <w:widowControl/>
              <w:spacing w:before="100" w:beforeAutospacing="1" w:after="100" w:afterAutospacing="1"/>
              <w:rPr>
                <w:rFonts w:ascii="仿宋_GB2312" w:eastAsia="仿宋_GB2312" w:hAnsi="Times New Roman" w:cs="宋体"/>
                <w:kern w:val="0"/>
                <w:sz w:val="24"/>
                <w:szCs w:val="28"/>
              </w:rPr>
            </w:pPr>
            <w:r>
              <w:rPr>
                <w:rFonts w:ascii="仿宋_GB2312" w:eastAsia="仿宋_GB2312" w:hAnsi="Times New Roman" w:cs="宋体" w:hint="eastAsia"/>
                <w:kern w:val="0"/>
                <w:sz w:val="24"/>
                <w:szCs w:val="28"/>
              </w:rPr>
              <w:t>占用保证金（万元）</w:t>
            </w:r>
          </w:p>
        </w:tc>
        <w:tc>
          <w:tcPr>
            <w:tcW w:w="1751" w:type="dxa"/>
            <w:tcBorders>
              <w:top w:val="nil"/>
              <w:left w:val="nil"/>
              <w:bottom w:val="single" w:sz="8" w:space="0" w:color="auto"/>
              <w:right w:val="single" w:sz="8" w:space="0" w:color="auto"/>
            </w:tcBorders>
            <w:shd w:val="clear" w:color="auto" w:fill="FFFFFF"/>
            <w:tcMar>
              <w:left w:w="108" w:type="dxa"/>
              <w:right w:w="108" w:type="dxa"/>
            </w:tcMar>
          </w:tcPr>
          <w:p w:rsidR="00FC3217" w:rsidRDefault="00FC3217" w:rsidP="007E5952">
            <w:pPr>
              <w:widowControl/>
              <w:spacing w:before="100" w:beforeAutospacing="1" w:after="100" w:afterAutospacing="1"/>
              <w:rPr>
                <w:rFonts w:ascii="仿宋_GB2312" w:eastAsia="仿宋_GB2312" w:hAnsi="Times New Roman" w:cs="宋体"/>
                <w:kern w:val="0"/>
                <w:sz w:val="24"/>
                <w:szCs w:val="28"/>
              </w:rPr>
            </w:pPr>
            <w:r>
              <w:rPr>
                <w:rFonts w:ascii="Times New Roman" w:eastAsia="仿宋_GB2312" w:hAnsi="Times New Roman" w:cs="宋体"/>
                <w:kern w:val="0"/>
                <w:sz w:val="24"/>
                <w:szCs w:val="28"/>
              </w:rPr>
              <w:t> </w:t>
            </w:r>
          </w:p>
        </w:tc>
      </w:tr>
      <w:tr w:rsidR="00FC3217" w:rsidTr="007E5952">
        <w:trPr>
          <w:jc w:val="center"/>
        </w:trPr>
        <w:tc>
          <w:tcPr>
            <w:tcW w:w="2093" w:type="dxa"/>
            <w:tcBorders>
              <w:top w:val="nil"/>
              <w:left w:val="single" w:sz="8" w:space="0" w:color="auto"/>
              <w:bottom w:val="single" w:sz="8" w:space="0" w:color="auto"/>
              <w:right w:val="single" w:sz="8" w:space="0" w:color="auto"/>
            </w:tcBorders>
            <w:shd w:val="clear" w:color="auto" w:fill="FFFFFF"/>
            <w:tcMar>
              <w:left w:w="108" w:type="dxa"/>
              <w:right w:w="108" w:type="dxa"/>
            </w:tcMar>
          </w:tcPr>
          <w:p w:rsidR="00FC3217" w:rsidRDefault="00FC3217" w:rsidP="007E5952">
            <w:pPr>
              <w:widowControl/>
              <w:spacing w:before="100" w:beforeAutospacing="1" w:after="100" w:afterAutospacing="1"/>
              <w:rPr>
                <w:rFonts w:ascii="仿宋_GB2312" w:eastAsia="仿宋_GB2312" w:hAnsi="Times New Roman" w:cs="宋体"/>
                <w:kern w:val="0"/>
                <w:sz w:val="24"/>
                <w:szCs w:val="28"/>
              </w:rPr>
            </w:pPr>
            <w:r>
              <w:rPr>
                <w:rFonts w:ascii="仿宋_GB2312" w:eastAsia="仿宋_GB2312" w:hAnsi="Times New Roman" w:cs="宋体" w:hint="eastAsia"/>
                <w:kern w:val="0"/>
                <w:sz w:val="24"/>
                <w:szCs w:val="28"/>
              </w:rPr>
              <w:t>权利仓持仓量</w:t>
            </w:r>
          </w:p>
        </w:tc>
        <w:tc>
          <w:tcPr>
            <w:tcW w:w="1112" w:type="dxa"/>
            <w:tcBorders>
              <w:top w:val="nil"/>
              <w:left w:val="nil"/>
              <w:bottom w:val="single" w:sz="8" w:space="0" w:color="auto"/>
              <w:right w:val="single" w:sz="8" w:space="0" w:color="auto"/>
            </w:tcBorders>
            <w:shd w:val="clear" w:color="auto" w:fill="FFFFFF"/>
            <w:tcMar>
              <w:left w:w="108" w:type="dxa"/>
              <w:right w:w="108" w:type="dxa"/>
            </w:tcMar>
          </w:tcPr>
          <w:p w:rsidR="00FC3217" w:rsidRDefault="00FC3217" w:rsidP="007E5952">
            <w:pPr>
              <w:widowControl/>
              <w:spacing w:before="100" w:beforeAutospacing="1" w:after="100" w:afterAutospacing="1"/>
              <w:rPr>
                <w:rFonts w:ascii="仿宋_GB2312" w:eastAsia="仿宋_GB2312" w:hAnsi="Times New Roman" w:cs="宋体"/>
                <w:kern w:val="0"/>
                <w:sz w:val="24"/>
                <w:szCs w:val="28"/>
              </w:rPr>
            </w:pPr>
            <w:r>
              <w:rPr>
                <w:rFonts w:ascii="Times New Roman" w:eastAsia="仿宋_GB2312" w:hAnsi="Times New Roman" w:cs="宋体"/>
                <w:kern w:val="0"/>
                <w:sz w:val="24"/>
                <w:szCs w:val="28"/>
              </w:rPr>
              <w:t> </w:t>
            </w:r>
          </w:p>
        </w:tc>
        <w:tc>
          <w:tcPr>
            <w:tcW w:w="1420" w:type="dxa"/>
            <w:tcBorders>
              <w:top w:val="nil"/>
              <w:left w:val="nil"/>
              <w:bottom w:val="single" w:sz="8" w:space="0" w:color="auto"/>
              <w:right w:val="single" w:sz="8" w:space="0" w:color="auto"/>
            </w:tcBorders>
            <w:shd w:val="clear" w:color="auto" w:fill="FFFFFF"/>
            <w:tcMar>
              <w:left w:w="108" w:type="dxa"/>
              <w:right w:w="108" w:type="dxa"/>
            </w:tcMar>
          </w:tcPr>
          <w:p w:rsidR="00FC3217" w:rsidRDefault="00FC3217" w:rsidP="007E5952">
            <w:pPr>
              <w:widowControl/>
              <w:spacing w:before="100" w:beforeAutospacing="1" w:after="100" w:afterAutospacing="1"/>
              <w:rPr>
                <w:rFonts w:ascii="仿宋_GB2312" w:eastAsia="仿宋_GB2312" w:hAnsi="Times New Roman" w:cs="宋体"/>
                <w:kern w:val="0"/>
                <w:sz w:val="24"/>
                <w:szCs w:val="28"/>
              </w:rPr>
            </w:pPr>
            <w:r>
              <w:rPr>
                <w:rFonts w:ascii="仿宋_GB2312" w:eastAsia="仿宋_GB2312" w:hAnsi="Times New Roman" w:cs="宋体" w:hint="eastAsia"/>
                <w:kern w:val="0"/>
                <w:sz w:val="24"/>
                <w:szCs w:val="28"/>
              </w:rPr>
              <w:t>义务仓持仓量</w:t>
            </w:r>
          </w:p>
        </w:tc>
        <w:tc>
          <w:tcPr>
            <w:tcW w:w="951" w:type="dxa"/>
            <w:tcBorders>
              <w:top w:val="nil"/>
              <w:left w:val="nil"/>
              <w:bottom w:val="single" w:sz="8" w:space="0" w:color="auto"/>
              <w:right w:val="single" w:sz="8" w:space="0" w:color="auto"/>
            </w:tcBorders>
            <w:shd w:val="clear" w:color="auto" w:fill="FFFFFF"/>
            <w:tcMar>
              <w:left w:w="108" w:type="dxa"/>
              <w:right w:w="108" w:type="dxa"/>
            </w:tcMar>
          </w:tcPr>
          <w:p w:rsidR="00FC3217" w:rsidRDefault="00FC3217" w:rsidP="007E5952">
            <w:pPr>
              <w:widowControl/>
              <w:spacing w:before="100" w:beforeAutospacing="1" w:after="100" w:afterAutospacing="1"/>
              <w:rPr>
                <w:rFonts w:ascii="仿宋_GB2312" w:eastAsia="仿宋_GB2312" w:hAnsi="Times New Roman" w:cs="宋体"/>
                <w:kern w:val="0"/>
                <w:sz w:val="24"/>
                <w:szCs w:val="28"/>
              </w:rPr>
            </w:pPr>
            <w:r>
              <w:rPr>
                <w:rFonts w:ascii="Times New Roman" w:eastAsia="仿宋_GB2312" w:hAnsi="Times New Roman" w:cs="宋体"/>
                <w:kern w:val="0"/>
                <w:sz w:val="24"/>
                <w:szCs w:val="28"/>
              </w:rPr>
              <w:t> </w:t>
            </w:r>
          </w:p>
        </w:tc>
        <w:tc>
          <w:tcPr>
            <w:tcW w:w="1560" w:type="dxa"/>
            <w:gridSpan w:val="2"/>
            <w:tcBorders>
              <w:top w:val="nil"/>
              <w:left w:val="nil"/>
              <w:bottom w:val="single" w:sz="8" w:space="0" w:color="auto"/>
              <w:right w:val="single" w:sz="8" w:space="0" w:color="auto"/>
            </w:tcBorders>
            <w:shd w:val="clear" w:color="auto" w:fill="FFFFFF"/>
            <w:tcMar>
              <w:left w:w="108" w:type="dxa"/>
              <w:right w:w="108" w:type="dxa"/>
            </w:tcMar>
          </w:tcPr>
          <w:p w:rsidR="00FC3217" w:rsidRDefault="00FC3217" w:rsidP="007E5952">
            <w:pPr>
              <w:widowControl/>
              <w:spacing w:before="100" w:beforeAutospacing="1" w:after="100" w:afterAutospacing="1"/>
              <w:rPr>
                <w:rFonts w:ascii="仿宋_GB2312" w:eastAsia="仿宋_GB2312" w:hAnsi="Times New Roman" w:cs="宋体"/>
                <w:kern w:val="0"/>
                <w:sz w:val="24"/>
                <w:szCs w:val="28"/>
              </w:rPr>
            </w:pPr>
            <w:r>
              <w:rPr>
                <w:rFonts w:ascii="仿宋_GB2312" w:eastAsia="仿宋_GB2312" w:hAnsi="Times New Roman" w:cs="宋体" w:hint="eastAsia"/>
                <w:kern w:val="0"/>
                <w:sz w:val="24"/>
                <w:szCs w:val="28"/>
              </w:rPr>
              <w:t>备兑持仓</w:t>
            </w:r>
          </w:p>
        </w:tc>
        <w:tc>
          <w:tcPr>
            <w:tcW w:w="1751" w:type="dxa"/>
            <w:tcBorders>
              <w:top w:val="nil"/>
              <w:left w:val="nil"/>
              <w:bottom w:val="single" w:sz="8" w:space="0" w:color="auto"/>
              <w:right w:val="single" w:sz="8" w:space="0" w:color="auto"/>
            </w:tcBorders>
            <w:shd w:val="clear" w:color="auto" w:fill="FFFFFF"/>
            <w:tcMar>
              <w:left w:w="108" w:type="dxa"/>
              <w:right w:w="108" w:type="dxa"/>
            </w:tcMar>
          </w:tcPr>
          <w:p w:rsidR="00FC3217" w:rsidRDefault="00FC3217" w:rsidP="007E5952">
            <w:pPr>
              <w:widowControl/>
              <w:spacing w:before="100" w:beforeAutospacing="1" w:after="100" w:afterAutospacing="1"/>
              <w:rPr>
                <w:rFonts w:ascii="仿宋_GB2312" w:eastAsia="仿宋_GB2312" w:hAnsi="Times New Roman" w:cs="宋体"/>
                <w:kern w:val="0"/>
                <w:sz w:val="24"/>
                <w:szCs w:val="28"/>
              </w:rPr>
            </w:pPr>
            <w:r>
              <w:rPr>
                <w:rFonts w:ascii="Times New Roman" w:eastAsia="仿宋_GB2312" w:hAnsi="Times New Roman" w:cs="宋体"/>
                <w:kern w:val="0"/>
                <w:sz w:val="24"/>
                <w:szCs w:val="28"/>
              </w:rPr>
              <w:t> </w:t>
            </w:r>
          </w:p>
        </w:tc>
      </w:tr>
      <w:tr w:rsidR="00FC3217" w:rsidTr="007E5952">
        <w:trPr>
          <w:trHeight w:val="636"/>
          <w:jc w:val="center"/>
        </w:trPr>
        <w:tc>
          <w:tcPr>
            <w:tcW w:w="2093" w:type="dxa"/>
            <w:tcBorders>
              <w:top w:val="nil"/>
              <w:left w:val="single" w:sz="8" w:space="0" w:color="auto"/>
              <w:bottom w:val="single" w:sz="8" w:space="0" w:color="auto"/>
              <w:right w:val="single" w:sz="8" w:space="0" w:color="auto"/>
            </w:tcBorders>
            <w:shd w:val="clear" w:color="auto" w:fill="FFFFFF"/>
            <w:tcMar>
              <w:left w:w="108" w:type="dxa"/>
              <w:right w:w="108" w:type="dxa"/>
            </w:tcMar>
          </w:tcPr>
          <w:p w:rsidR="00FC3217" w:rsidRDefault="00FC3217" w:rsidP="007E5952">
            <w:pPr>
              <w:widowControl/>
              <w:spacing w:before="100" w:beforeAutospacing="1" w:after="100" w:afterAutospacing="1"/>
              <w:rPr>
                <w:rFonts w:ascii="仿宋_GB2312" w:eastAsia="仿宋_GB2312" w:hAnsi="Times New Roman" w:cs="宋体"/>
                <w:kern w:val="0"/>
                <w:sz w:val="24"/>
                <w:szCs w:val="28"/>
              </w:rPr>
            </w:pPr>
            <w:r>
              <w:rPr>
                <w:rFonts w:ascii="仿宋_GB2312" w:eastAsia="仿宋_GB2312" w:hAnsi="Times New Roman" w:cs="宋体" w:hint="eastAsia"/>
                <w:kern w:val="0"/>
                <w:sz w:val="24"/>
                <w:szCs w:val="28"/>
              </w:rPr>
              <w:t>持仓意向（含行权意愿与可能被行权准备情况说明）</w:t>
            </w:r>
          </w:p>
        </w:tc>
        <w:tc>
          <w:tcPr>
            <w:tcW w:w="6794" w:type="dxa"/>
            <w:gridSpan w:val="6"/>
            <w:tcBorders>
              <w:top w:val="nil"/>
              <w:left w:val="nil"/>
              <w:bottom w:val="single" w:sz="8" w:space="0" w:color="auto"/>
              <w:right w:val="single" w:sz="8" w:space="0" w:color="auto"/>
            </w:tcBorders>
            <w:shd w:val="clear" w:color="auto" w:fill="FFFFFF"/>
            <w:tcMar>
              <w:left w:w="108" w:type="dxa"/>
              <w:right w:w="108" w:type="dxa"/>
            </w:tcMar>
          </w:tcPr>
          <w:p w:rsidR="00FC3217" w:rsidRDefault="00FC3217" w:rsidP="007E5952">
            <w:pPr>
              <w:widowControl/>
              <w:spacing w:before="100" w:beforeAutospacing="1" w:after="100" w:afterAutospacing="1"/>
              <w:rPr>
                <w:rFonts w:ascii="仿宋_GB2312" w:eastAsia="仿宋_GB2312" w:hAnsi="Times New Roman" w:cs="宋体"/>
                <w:kern w:val="0"/>
                <w:sz w:val="24"/>
                <w:szCs w:val="28"/>
              </w:rPr>
            </w:pPr>
            <w:r>
              <w:rPr>
                <w:rFonts w:ascii="Times New Roman" w:eastAsia="仿宋_GB2312" w:hAnsi="Times New Roman" w:cs="宋体"/>
                <w:kern w:val="0"/>
                <w:sz w:val="24"/>
                <w:szCs w:val="28"/>
              </w:rPr>
              <w:t> </w:t>
            </w:r>
          </w:p>
          <w:p w:rsidR="00FC3217" w:rsidRDefault="00FC3217" w:rsidP="007E5952">
            <w:pPr>
              <w:keepNext/>
              <w:keepLines/>
              <w:widowControl/>
              <w:spacing w:before="100" w:beforeAutospacing="1" w:after="100" w:afterAutospacing="1"/>
              <w:outlineLvl w:val="2"/>
              <w:rPr>
                <w:rFonts w:ascii="仿宋_GB2312" w:eastAsia="仿宋_GB2312" w:hAnsi="Times New Roman" w:cs="宋体"/>
                <w:kern w:val="0"/>
                <w:sz w:val="24"/>
                <w:szCs w:val="28"/>
              </w:rPr>
            </w:pPr>
          </w:p>
        </w:tc>
      </w:tr>
      <w:tr w:rsidR="00FC3217" w:rsidTr="007E5952">
        <w:trPr>
          <w:jc w:val="center"/>
        </w:trPr>
        <w:tc>
          <w:tcPr>
            <w:tcW w:w="2093" w:type="dxa"/>
            <w:tcBorders>
              <w:top w:val="nil"/>
              <w:left w:val="single" w:sz="8" w:space="0" w:color="auto"/>
              <w:bottom w:val="single" w:sz="8" w:space="0" w:color="auto"/>
              <w:right w:val="single" w:sz="8" w:space="0" w:color="auto"/>
            </w:tcBorders>
            <w:shd w:val="clear" w:color="auto" w:fill="FFFFFF"/>
            <w:tcMar>
              <w:left w:w="108" w:type="dxa"/>
              <w:right w:w="108" w:type="dxa"/>
            </w:tcMar>
          </w:tcPr>
          <w:p w:rsidR="00FC3217" w:rsidRDefault="00FC3217" w:rsidP="007E5952">
            <w:pPr>
              <w:widowControl/>
              <w:spacing w:before="100" w:beforeAutospacing="1" w:after="100" w:afterAutospacing="1"/>
              <w:rPr>
                <w:rFonts w:ascii="仿宋_GB2312" w:eastAsia="仿宋_GB2312" w:hAnsi="Times New Roman" w:cs="宋体"/>
                <w:kern w:val="0"/>
                <w:sz w:val="24"/>
                <w:szCs w:val="28"/>
              </w:rPr>
            </w:pPr>
            <w:r>
              <w:rPr>
                <w:rFonts w:ascii="仿宋_GB2312" w:eastAsia="仿宋_GB2312" w:hAnsi="Times New Roman" w:cs="宋体" w:hint="eastAsia"/>
                <w:kern w:val="0"/>
                <w:sz w:val="24"/>
                <w:szCs w:val="28"/>
              </w:rPr>
              <w:t>合约编码2</w:t>
            </w:r>
          </w:p>
        </w:tc>
        <w:tc>
          <w:tcPr>
            <w:tcW w:w="2532" w:type="dxa"/>
            <w:gridSpan w:val="2"/>
            <w:tcBorders>
              <w:top w:val="nil"/>
              <w:left w:val="nil"/>
              <w:bottom w:val="single" w:sz="8" w:space="0" w:color="auto"/>
              <w:right w:val="single" w:sz="8" w:space="0" w:color="auto"/>
            </w:tcBorders>
            <w:shd w:val="clear" w:color="auto" w:fill="FFFFFF"/>
            <w:tcMar>
              <w:left w:w="108" w:type="dxa"/>
              <w:right w:w="108" w:type="dxa"/>
            </w:tcMar>
          </w:tcPr>
          <w:p w:rsidR="00FC3217" w:rsidRDefault="00FC3217" w:rsidP="007E5952">
            <w:pPr>
              <w:widowControl/>
              <w:spacing w:before="100" w:beforeAutospacing="1" w:after="100" w:afterAutospacing="1"/>
              <w:rPr>
                <w:rFonts w:ascii="仿宋_GB2312" w:eastAsia="仿宋_GB2312" w:hAnsi="Times New Roman" w:cs="宋体"/>
                <w:kern w:val="0"/>
                <w:sz w:val="24"/>
                <w:szCs w:val="28"/>
              </w:rPr>
            </w:pPr>
            <w:r>
              <w:rPr>
                <w:rFonts w:ascii="Times New Roman" w:eastAsia="仿宋_GB2312" w:hAnsi="Times New Roman" w:cs="宋体"/>
                <w:kern w:val="0"/>
                <w:sz w:val="24"/>
                <w:szCs w:val="28"/>
              </w:rPr>
              <w:t> </w:t>
            </w:r>
          </w:p>
        </w:tc>
        <w:tc>
          <w:tcPr>
            <w:tcW w:w="2511" w:type="dxa"/>
            <w:gridSpan w:val="3"/>
            <w:tcBorders>
              <w:top w:val="nil"/>
              <w:left w:val="nil"/>
              <w:bottom w:val="single" w:sz="8" w:space="0" w:color="auto"/>
              <w:right w:val="single" w:sz="8" w:space="0" w:color="auto"/>
            </w:tcBorders>
            <w:shd w:val="clear" w:color="auto" w:fill="FFFFFF"/>
            <w:tcMar>
              <w:left w:w="108" w:type="dxa"/>
              <w:right w:w="108" w:type="dxa"/>
            </w:tcMar>
          </w:tcPr>
          <w:p w:rsidR="00FC3217" w:rsidRDefault="00FC3217" w:rsidP="007E5952">
            <w:pPr>
              <w:widowControl/>
              <w:spacing w:before="100" w:beforeAutospacing="1" w:after="100" w:afterAutospacing="1"/>
              <w:rPr>
                <w:rFonts w:ascii="仿宋_GB2312" w:eastAsia="仿宋_GB2312" w:hAnsi="Times New Roman" w:cs="宋体"/>
                <w:kern w:val="0"/>
                <w:sz w:val="24"/>
                <w:szCs w:val="28"/>
              </w:rPr>
            </w:pPr>
            <w:r>
              <w:rPr>
                <w:rFonts w:ascii="仿宋_GB2312" w:eastAsia="仿宋_GB2312" w:hAnsi="Times New Roman" w:cs="宋体" w:hint="eastAsia"/>
                <w:kern w:val="0"/>
                <w:sz w:val="24"/>
                <w:szCs w:val="28"/>
              </w:rPr>
              <w:t>占用保证金（万元）</w:t>
            </w:r>
          </w:p>
        </w:tc>
        <w:tc>
          <w:tcPr>
            <w:tcW w:w="1751" w:type="dxa"/>
            <w:tcBorders>
              <w:top w:val="nil"/>
              <w:left w:val="nil"/>
              <w:bottom w:val="single" w:sz="8" w:space="0" w:color="auto"/>
              <w:right w:val="single" w:sz="8" w:space="0" w:color="auto"/>
            </w:tcBorders>
            <w:shd w:val="clear" w:color="auto" w:fill="FFFFFF"/>
            <w:tcMar>
              <w:left w:w="108" w:type="dxa"/>
              <w:right w:w="108" w:type="dxa"/>
            </w:tcMar>
          </w:tcPr>
          <w:p w:rsidR="00FC3217" w:rsidRDefault="00FC3217" w:rsidP="007E5952">
            <w:pPr>
              <w:widowControl/>
              <w:spacing w:before="100" w:beforeAutospacing="1" w:after="100" w:afterAutospacing="1"/>
              <w:rPr>
                <w:rFonts w:ascii="仿宋_GB2312" w:eastAsia="仿宋_GB2312" w:hAnsi="Times New Roman" w:cs="宋体"/>
                <w:kern w:val="0"/>
                <w:sz w:val="24"/>
                <w:szCs w:val="28"/>
              </w:rPr>
            </w:pPr>
            <w:r>
              <w:rPr>
                <w:rFonts w:ascii="Times New Roman" w:eastAsia="仿宋_GB2312" w:hAnsi="Times New Roman" w:cs="宋体"/>
                <w:kern w:val="0"/>
                <w:sz w:val="24"/>
                <w:szCs w:val="28"/>
              </w:rPr>
              <w:t> </w:t>
            </w:r>
          </w:p>
        </w:tc>
      </w:tr>
      <w:tr w:rsidR="00FC3217" w:rsidTr="007E5952">
        <w:trPr>
          <w:jc w:val="center"/>
        </w:trPr>
        <w:tc>
          <w:tcPr>
            <w:tcW w:w="2093" w:type="dxa"/>
            <w:tcBorders>
              <w:top w:val="nil"/>
              <w:left w:val="single" w:sz="8" w:space="0" w:color="auto"/>
              <w:bottom w:val="single" w:sz="8" w:space="0" w:color="auto"/>
              <w:right w:val="single" w:sz="8" w:space="0" w:color="auto"/>
            </w:tcBorders>
            <w:shd w:val="clear" w:color="auto" w:fill="FFFFFF"/>
            <w:tcMar>
              <w:left w:w="108" w:type="dxa"/>
              <w:right w:w="108" w:type="dxa"/>
            </w:tcMar>
          </w:tcPr>
          <w:p w:rsidR="00FC3217" w:rsidRDefault="00FC3217" w:rsidP="007E5952">
            <w:pPr>
              <w:widowControl/>
              <w:spacing w:before="100" w:beforeAutospacing="1" w:after="100" w:afterAutospacing="1"/>
              <w:rPr>
                <w:rFonts w:ascii="仿宋_GB2312" w:eastAsia="仿宋_GB2312" w:hAnsi="Times New Roman" w:cs="宋体"/>
                <w:kern w:val="0"/>
                <w:sz w:val="24"/>
                <w:szCs w:val="28"/>
              </w:rPr>
            </w:pPr>
            <w:r>
              <w:rPr>
                <w:rFonts w:ascii="仿宋_GB2312" w:eastAsia="仿宋_GB2312" w:hAnsi="Times New Roman" w:cs="宋体" w:hint="eastAsia"/>
                <w:kern w:val="0"/>
                <w:sz w:val="24"/>
                <w:szCs w:val="28"/>
              </w:rPr>
              <w:t>权利仓持仓量</w:t>
            </w:r>
          </w:p>
        </w:tc>
        <w:tc>
          <w:tcPr>
            <w:tcW w:w="1112" w:type="dxa"/>
            <w:tcBorders>
              <w:top w:val="nil"/>
              <w:left w:val="nil"/>
              <w:bottom w:val="single" w:sz="8" w:space="0" w:color="auto"/>
              <w:right w:val="single" w:sz="8" w:space="0" w:color="auto"/>
            </w:tcBorders>
            <w:shd w:val="clear" w:color="auto" w:fill="FFFFFF"/>
            <w:tcMar>
              <w:left w:w="108" w:type="dxa"/>
              <w:right w:w="108" w:type="dxa"/>
            </w:tcMar>
          </w:tcPr>
          <w:p w:rsidR="00FC3217" w:rsidRDefault="00FC3217" w:rsidP="007E5952">
            <w:pPr>
              <w:widowControl/>
              <w:spacing w:before="100" w:beforeAutospacing="1" w:after="100" w:afterAutospacing="1"/>
              <w:rPr>
                <w:rFonts w:ascii="仿宋_GB2312" w:eastAsia="仿宋_GB2312" w:hAnsi="Times New Roman" w:cs="宋体"/>
                <w:kern w:val="0"/>
                <w:sz w:val="24"/>
                <w:szCs w:val="28"/>
              </w:rPr>
            </w:pPr>
            <w:r>
              <w:rPr>
                <w:rFonts w:ascii="Times New Roman" w:eastAsia="仿宋_GB2312" w:hAnsi="Times New Roman" w:cs="宋体"/>
                <w:kern w:val="0"/>
                <w:sz w:val="24"/>
                <w:szCs w:val="28"/>
              </w:rPr>
              <w:t> </w:t>
            </w:r>
          </w:p>
        </w:tc>
        <w:tc>
          <w:tcPr>
            <w:tcW w:w="1420" w:type="dxa"/>
            <w:tcBorders>
              <w:top w:val="nil"/>
              <w:left w:val="nil"/>
              <w:bottom w:val="single" w:sz="8" w:space="0" w:color="auto"/>
              <w:right w:val="single" w:sz="8" w:space="0" w:color="auto"/>
            </w:tcBorders>
            <w:shd w:val="clear" w:color="auto" w:fill="FFFFFF"/>
            <w:tcMar>
              <w:left w:w="108" w:type="dxa"/>
              <w:right w:w="108" w:type="dxa"/>
            </w:tcMar>
          </w:tcPr>
          <w:p w:rsidR="00FC3217" w:rsidRDefault="00FC3217" w:rsidP="007E5952">
            <w:pPr>
              <w:widowControl/>
              <w:spacing w:before="100" w:beforeAutospacing="1" w:after="100" w:afterAutospacing="1"/>
              <w:rPr>
                <w:rFonts w:ascii="仿宋_GB2312" w:eastAsia="仿宋_GB2312" w:hAnsi="Times New Roman" w:cs="宋体"/>
                <w:kern w:val="0"/>
                <w:sz w:val="24"/>
                <w:szCs w:val="28"/>
              </w:rPr>
            </w:pPr>
            <w:r>
              <w:rPr>
                <w:rFonts w:ascii="仿宋_GB2312" w:eastAsia="仿宋_GB2312" w:hAnsi="Times New Roman" w:cs="宋体" w:hint="eastAsia"/>
                <w:kern w:val="0"/>
                <w:sz w:val="24"/>
                <w:szCs w:val="28"/>
              </w:rPr>
              <w:t>义务仓持仓量</w:t>
            </w:r>
          </w:p>
        </w:tc>
        <w:tc>
          <w:tcPr>
            <w:tcW w:w="951" w:type="dxa"/>
            <w:tcBorders>
              <w:top w:val="nil"/>
              <w:left w:val="nil"/>
              <w:bottom w:val="single" w:sz="8" w:space="0" w:color="auto"/>
              <w:right w:val="single" w:sz="8" w:space="0" w:color="auto"/>
            </w:tcBorders>
            <w:shd w:val="clear" w:color="auto" w:fill="FFFFFF"/>
            <w:tcMar>
              <w:left w:w="108" w:type="dxa"/>
              <w:right w:w="108" w:type="dxa"/>
            </w:tcMar>
          </w:tcPr>
          <w:p w:rsidR="00FC3217" w:rsidRDefault="00FC3217" w:rsidP="007E5952">
            <w:pPr>
              <w:widowControl/>
              <w:spacing w:before="100" w:beforeAutospacing="1" w:after="100" w:afterAutospacing="1"/>
              <w:rPr>
                <w:rFonts w:ascii="仿宋_GB2312" w:eastAsia="仿宋_GB2312" w:hAnsi="Times New Roman" w:cs="宋体"/>
                <w:kern w:val="0"/>
                <w:sz w:val="24"/>
                <w:szCs w:val="28"/>
              </w:rPr>
            </w:pPr>
            <w:r>
              <w:rPr>
                <w:rFonts w:ascii="Times New Roman" w:eastAsia="仿宋_GB2312" w:hAnsi="Times New Roman" w:cs="宋体"/>
                <w:kern w:val="0"/>
                <w:sz w:val="24"/>
                <w:szCs w:val="28"/>
              </w:rPr>
              <w:t> </w:t>
            </w:r>
          </w:p>
        </w:tc>
        <w:tc>
          <w:tcPr>
            <w:tcW w:w="1560" w:type="dxa"/>
            <w:gridSpan w:val="2"/>
            <w:tcBorders>
              <w:top w:val="nil"/>
              <w:left w:val="nil"/>
              <w:bottom w:val="single" w:sz="8" w:space="0" w:color="auto"/>
              <w:right w:val="single" w:sz="8" w:space="0" w:color="auto"/>
            </w:tcBorders>
            <w:shd w:val="clear" w:color="auto" w:fill="FFFFFF"/>
            <w:tcMar>
              <w:left w:w="108" w:type="dxa"/>
              <w:right w:w="108" w:type="dxa"/>
            </w:tcMar>
          </w:tcPr>
          <w:p w:rsidR="00FC3217" w:rsidRDefault="00FC3217" w:rsidP="007E5952">
            <w:pPr>
              <w:widowControl/>
              <w:spacing w:before="100" w:beforeAutospacing="1" w:after="100" w:afterAutospacing="1"/>
              <w:rPr>
                <w:rFonts w:ascii="仿宋_GB2312" w:eastAsia="仿宋_GB2312" w:hAnsi="Times New Roman" w:cs="宋体"/>
                <w:kern w:val="0"/>
                <w:sz w:val="24"/>
                <w:szCs w:val="28"/>
              </w:rPr>
            </w:pPr>
            <w:r>
              <w:rPr>
                <w:rFonts w:ascii="仿宋_GB2312" w:eastAsia="仿宋_GB2312" w:hAnsi="Times New Roman" w:cs="宋体" w:hint="eastAsia"/>
                <w:kern w:val="0"/>
                <w:sz w:val="24"/>
                <w:szCs w:val="28"/>
              </w:rPr>
              <w:t>备兑持仓</w:t>
            </w:r>
          </w:p>
        </w:tc>
        <w:tc>
          <w:tcPr>
            <w:tcW w:w="1751" w:type="dxa"/>
            <w:tcBorders>
              <w:top w:val="nil"/>
              <w:left w:val="nil"/>
              <w:bottom w:val="single" w:sz="8" w:space="0" w:color="auto"/>
              <w:right w:val="single" w:sz="8" w:space="0" w:color="auto"/>
            </w:tcBorders>
            <w:shd w:val="clear" w:color="auto" w:fill="FFFFFF"/>
            <w:tcMar>
              <w:left w:w="108" w:type="dxa"/>
              <w:right w:w="108" w:type="dxa"/>
            </w:tcMar>
          </w:tcPr>
          <w:p w:rsidR="00FC3217" w:rsidRDefault="00FC3217" w:rsidP="007E5952">
            <w:pPr>
              <w:widowControl/>
              <w:spacing w:before="100" w:beforeAutospacing="1" w:after="100" w:afterAutospacing="1"/>
              <w:rPr>
                <w:rFonts w:ascii="仿宋_GB2312" w:eastAsia="仿宋_GB2312" w:hAnsi="Times New Roman" w:cs="宋体"/>
                <w:kern w:val="0"/>
                <w:sz w:val="24"/>
                <w:szCs w:val="28"/>
              </w:rPr>
            </w:pPr>
            <w:r>
              <w:rPr>
                <w:rFonts w:ascii="Times New Roman" w:eastAsia="仿宋_GB2312" w:hAnsi="Times New Roman" w:cs="宋体"/>
                <w:kern w:val="0"/>
                <w:sz w:val="24"/>
                <w:szCs w:val="28"/>
              </w:rPr>
              <w:t> </w:t>
            </w:r>
          </w:p>
        </w:tc>
      </w:tr>
      <w:tr w:rsidR="00FC3217" w:rsidTr="007E5952">
        <w:trPr>
          <w:trHeight w:val="731"/>
          <w:jc w:val="center"/>
        </w:trPr>
        <w:tc>
          <w:tcPr>
            <w:tcW w:w="2093" w:type="dxa"/>
            <w:tcBorders>
              <w:top w:val="nil"/>
              <w:left w:val="single" w:sz="8" w:space="0" w:color="auto"/>
              <w:bottom w:val="single" w:sz="8" w:space="0" w:color="auto"/>
              <w:right w:val="single" w:sz="8" w:space="0" w:color="auto"/>
            </w:tcBorders>
            <w:shd w:val="clear" w:color="auto" w:fill="FFFFFF"/>
            <w:tcMar>
              <w:left w:w="108" w:type="dxa"/>
              <w:right w:w="108" w:type="dxa"/>
            </w:tcMar>
          </w:tcPr>
          <w:p w:rsidR="00FC3217" w:rsidRDefault="00FC3217" w:rsidP="007E5952">
            <w:pPr>
              <w:widowControl/>
              <w:spacing w:before="100" w:beforeAutospacing="1" w:after="100" w:afterAutospacing="1"/>
              <w:rPr>
                <w:rFonts w:ascii="仿宋_GB2312" w:eastAsia="仿宋_GB2312" w:hAnsi="Times New Roman" w:cs="宋体"/>
                <w:kern w:val="0"/>
                <w:sz w:val="24"/>
                <w:szCs w:val="28"/>
              </w:rPr>
            </w:pPr>
            <w:r>
              <w:rPr>
                <w:rFonts w:ascii="仿宋_GB2312" w:eastAsia="仿宋_GB2312" w:hAnsi="Times New Roman" w:cs="宋体" w:hint="eastAsia"/>
                <w:kern w:val="0"/>
                <w:sz w:val="24"/>
                <w:szCs w:val="28"/>
              </w:rPr>
              <w:t>持仓意向（含行权意愿与可能被行权准备情况说明）</w:t>
            </w:r>
          </w:p>
        </w:tc>
        <w:tc>
          <w:tcPr>
            <w:tcW w:w="6794" w:type="dxa"/>
            <w:gridSpan w:val="6"/>
            <w:tcBorders>
              <w:top w:val="nil"/>
              <w:left w:val="nil"/>
              <w:bottom w:val="single" w:sz="8" w:space="0" w:color="auto"/>
              <w:right w:val="single" w:sz="8" w:space="0" w:color="auto"/>
            </w:tcBorders>
            <w:shd w:val="clear" w:color="auto" w:fill="FFFFFF"/>
            <w:tcMar>
              <w:left w:w="108" w:type="dxa"/>
              <w:right w:w="108" w:type="dxa"/>
            </w:tcMar>
          </w:tcPr>
          <w:p w:rsidR="00FC3217" w:rsidRDefault="00FC3217" w:rsidP="007E5952">
            <w:pPr>
              <w:widowControl/>
              <w:spacing w:before="100" w:beforeAutospacing="1" w:after="100" w:afterAutospacing="1"/>
              <w:rPr>
                <w:rFonts w:ascii="仿宋_GB2312" w:eastAsia="仿宋_GB2312" w:hAnsi="Times New Roman" w:cs="宋体"/>
                <w:kern w:val="0"/>
                <w:sz w:val="24"/>
                <w:szCs w:val="28"/>
              </w:rPr>
            </w:pPr>
            <w:r>
              <w:rPr>
                <w:rFonts w:ascii="Times New Roman" w:eastAsia="仿宋_GB2312" w:hAnsi="Times New Roman" w:cs="宋体"/>
                <w:kern w:val="0"/>
                <w:sz w:val="24"/>
                <w:szCs w:val="28"/>
              </w:rPr>
              <w:t> </w:t>
            </w:r>
          </w:p>
          <w:p w:rsidR="00FC3217" w:rsidRDefault="00FC3217" w:rsidP="007E5952">
            <w:pPr>
              <w:keepNext/>
              <w:keepLines/>
              <w:widowControl/>
              <w:spacing w:before="100" w:beforeAutospacing="1" w:after="100" w:afterAutospacing="1"/>
              <w:outlineLvl w:val="2"/>
              <w:rPr>
                <w:rFonts w:ascii="仿宋_GB2312" w:eastAsia="仿宋_GB2312" w:hAnsi="Times New Roman" w:cs="宋体"/>
                <w:kern w:val="0"/>
                <w:sz w:val="24"/>
                <w:szCs w:val="28"/>
              </w:rPr>
            </w:pPr>
          </w:p>
        </w:tc>
      </w:tr>
      <w:tr w:rsidR="00FC3217" w:rsidTr="007E5952">
        <w:trPr>
          <w:jc w:val="center"/>
        </w:trPr>
        <w:tc>
          <w:tcPr>
            <w:tcW w:w="2093" w:type="dxa"/>
            <w:tcBorders>
              <w:top w:val="nil"/>
              <w:left w:val="single" w:sz="8" w:space="0" w:color="auto"/>
              <w:bottom w:val="single" w:sz="8" w:space="0" w:color="auto"/>
              <w:right w:val="single" w:sz="8" w:space="0" w:color="auto"/>
            </w:tcBorders>
            <w:shd w:val="clear" w:color="auto" w:fill="FFFFFF"/>
            <w:tcMar>
              <w:left w:w="108" w:type="dxa"/>
              <w:right w:w="108" w:type="dxa"/>
            </w:tcMar>
          </w:tcPr>
          <w:p w:rsidR="00FC3217" w:rsidRDefault="00FC3217" w:rsidP="007E5952">
            <w:pPr>
              <w:widowControl/>
              <w:spacing w:before="100" w:beforeAutospacing="1" w:after="100" w:afterAutospacing="1"/>
              <w:rPr>
                <w:rFonts w:ascii="仿宋_GB2312" w:eastAsia="仿宋_GB2312" w:hAnsi="Times New Roman" w:cs="宋体"/>
                <w:kern w:val="0"/>
                <w:sz w:val="24"/>
                <w:szCs w:val="28"/>
              </w:rPr>
            </w:pPr>
            <w:r>
              <w:rPr>
                <w:rFonts w:ascii="仿宋_GB2312" w:eastAsia="仿宋_GB2312" w:hAnsi="Times New Roman" w:cs="宋体" w:hint="eastAsia"/>
                <w:kern w:val="0"/>
                <w:sz w:val="24"/>
                <w:szCs w:val="28"/>
              </w:rPr>
              <w:t>合约编码3</w:t>
            </w:r>
          </w:p>
        </w:tc>
        <w:tc>
          <w:tcPr>
            <w:tcW w:w="2532" w:type="dxa"/>
            <w:gridSpan w:val="2"/>
            <w:tcBorders>
              <w:top w:val="nil"/>
              <w:left w:val="nil"/>
              <w:bottom w:val="single" w:sz="8" w:space="0" w:color="auto"/>
              <w:right w:val="single" w:sz="8" w:space="0" w:color="auto"/>
            </w:tcBorders>
            <w:shd w:val="clear" w:color="auto" w:fill="FFFFFF"/>
            <w:tcMar>
              <w:left w:w="108" w:type="dxa"/>
              <w:right w:w="108" w:type="dxa"/>
            </w:tcMar>
          </w:tcPr>
          <w:p w:rsidR="00FC3217" w:rsidRDefault="00FC3217" w:rsidP="007E5952">
            <w:pPr>
              <w:widowControl/>
              <w:spacing w:before="100" w:beforeAutospacing="1" w:after="100" w:afterAutospacing="1"/>
              <w:rPr>
                <w:rFonts w:ascii="仿宋_GB2312" w:eastAsia="仿宋_GB2312" w:hAnsi="Times New Roman" w:cs="宋体"/>
                <w:kern w:val="0"/>
                <w:sz w:val="24"/>
                <w:szCs w:val="28"/>
              </w:rPr>
            </w:pPr>
            <w:r>
              <w:rPr>
                <w:rFonts w:ascii="Times New Roman" w:eastAsia="仿宋_GB2312" w:hAnsi="Times New Roman" w:cs="宋体"/>
                <w:kern w:val="0"/>
                <w:sz w:val="24"/>
                <w:szCs w:val="28"/>
              </w:rPr>
              <w:t> </w:t>
            </w:r>
          </w:p>
        </w:tc>
        <w:tc>
          <w:tcPr>
            <w:tcW w:w="2511" w:type="dxa"/>
            <w:gridSpan w:val="3"/>
            <w:tcBorders>
              <w:top w:val="nil"/>
              <w:left w:val="nil"/>
              <w:bottom w:val="single" w:sz="8" w:space="0" w:color="auto"/>
              <w:right w:val="single" w:sz="8" w:space="0" w:color="auto"/>
            </w:tcBorders>
            <w:shd w:val="clear" w:color="auto" w:fill="FFFFFF"/>
            <w:tcMar>
              <w:left w:w="108" w:type="dxa"/>
              <w:right w:w="108" w:type="dxa"/>
            </w:tcMar>
          </w:tcPr>
          <w:p w:rsidR="00FC3217" w:rsidRDefault="00FC3217" w:rsidP="007E5952">
            <w:pPr>
              <w:widowControl/>
              <w:spacing w:before="100" w:beforeAutospacing="1" w:after="100" w:afterAutospacing="1"/>
              <w:rPr>
                <w:rFonts w:ascii="仿宋_GB2312" w:eastAsia="仿宋_GB2312" w:hAnsi="Times New Roman" w:cs="宋体"/>
                <w:kern w:val="0"/>
                <w:sz w:val="24"/>
                <w:szCs w:val="28"/>
              </w:rPr>
            </w:pPr>
            <w:r>
              <w:rPr>
                <w:rFonts w:ascii="仿宋_GB2312" w:eastAsia="仿宋_GB2312" w:hAnsi="Times New Roman" w:cs="宋体" w:hint="eastAsia"/>
                <w:kern w:val="0"/>
                <w:sz w:val="24"/>
                <w:szCs w:val="28"/>
              </w:rPr>
              <w:t>占用保证金（万元）</w:t>
            </w:r>
          </w:p>
        </w:tc>
        <w:tc>
          <w:tcPr>
            <w:tcW w:w="1751" w:type="dxa"/>
            <w:tcBorders>
              <w:top w:val="nil"/>
              <w:left w:val="nil"/>
              <w:bottom w:val="single" w:sz="8" w:space="0" w:color="auto"/>
              <w:right w:val="single" w:sz="8" w:space="0" w:color="auto"/>
            </w:tcBorders>
            <w:shd w:val="clear" w:color="auto" w:fill="FFFFFF"/>
            <w:tcMar>
              <w:left w:w="108" w:type="dxa"/>
              <w:right w:w="108" w:type="dxa"/>
            </w:tcMar>
          </w:tcPr>
          <w:p w:rsidR="00FC3217" w:rsidRDefault="00FC3217" w:rsidP="007E5952">
            <w:pPr>
              <w:widowControl/>
              <w:spacing w:before="100" w:beforeAutospacing="1" w:after="100" w:afterAutospacing="1"/>
              <w:rPr>
                <w:rFonts w:ascii="仿宋_GB2312" w:eastAsia="仿宋_GB2312" w:hAnsi="Times New Roman" w:cs="宋体"/>
                <w:kern w:val="0"/>
                <w:sz w:val="24"/>
                <w:szCs w:val="28"/>
              </w:rPr>
            </w:pPr>
            <w:r>
              <w:rPr>
                <w:rFonts w:ascii="Times New Roman" w:eastAsia="仿宋_GB2312" w:hAnsi="Times New Roman" w:cs="宋体"/>
                <w:kern w:val="0"/>
                <w:sz w:val="24"/>
                <w:szCs w:val="28"/>
              </w:rPr>
              <w:t> </w:t>
            </w:r>
          </w:p>
        </w:tc>
      </w:tr>
      <w:tr w:rsidR="00FC3217" w:rsidTr="007E5952">
        <w:trPr>
          <w:jc w:val="center"/>
        </w:trPr>
        <w:tc>
          <w:tcPr>
            <w:tcW w:w="2093" w:type="dxa"/>
            <w:tcBorders>
              <w:top w:val="nil"/>
              <w:left w:val="single" w:sz="8" w:space="0" w:color="auto"/>
              <w:bottom w:val="single" w:sz="8" w:space="0" w:color="auto"/>
              <w:right w:val="single" w:sz="8" w:space="0" w:color="auto"/>
            </w:tcBorders>
            <w:shd w:val="clear" w:color="auto" w:fill="FFFFFF"/>
            <w:tcMar>
              <w:left w:w="108" w:type="dxa"/>
              <w:right w:w="108" w:type="dxa"/>
            </w:tcMar>
          </w:tcPr>
          <w:p w:rsidR="00FC3217" w:rsidRDefault="00FC3217" w:rsidP="007E5952">
            <w:pPr>
              <w:widowControl/>
              <w:spacing w:before="100" w:beforeAutospacing="1" w:after="100" w:afterAutospacing="1"/>
              <w:rPr>
                <w:rFonts w:ascii="仿宋_GB2312" w:eastAsia="仿宋_GB2312" w:hAnsi="Times New Roman" w:cs="宋体"/>
                <w:kern w:val="0"/>
                <w:sz w:val="24"/>
                <w:szCs w:val="28"/>
              </w:rPr>
            </w:pPr>
            <w:r>
              <w:rPr>
                <w:rFonts w:ascii="仿宋_GB2312" w:eastAsia="仿宋_GB2312" w:hAnsi="Times New Roman" w:cs="宋体" w:hint="eastAsia"/>
                <w:kern w:val="0"/>
                <w:sz w:val="24"/>
                <w:szCs w:val="28"/>
              </w:rPr>
              <w:t>权利仓持仓量</w:t>
            </w:r>
          </w:p>
        </w:tc>
        <w:tc>
          <w:tcPr>
            <w:tcW w:w="1112" w:type="dxa"/>
            <w:tcBorders>
              <w:top w:val="nil"/>
              <w:left w:val="nil"/>
              <w:bottom w:val="single" w:sz="8" w:space="0" w:color="auto"/>
              <w:right w:val="single" w:sz="8" w:space="0" w:color="auto"/>
            </w:tcBorders>
            <w:shd w:val="clear" w:color="auto" w:fill="FFFFFF"/>
            <w:tcMar>
              <w:left w:w="108" w:type="dxa"/>
              <w:right w:w="108" w:type="dxa"/>
            </w:tcMar>
          </w:tcPr>
          <w:p w:rsidR="00FC3217" w:rsidRDefault="00FC3217" w:rsidP="007E5952">
            <w:pPr>
              <w:widowControl/>
              <w:spacing w:before="100" w:beforeAutospacing="1" w:after="100" w:afterAutospacing="1"/>
              <w:rPr>
                <w:rFonts w:ascii="仿宋_GB2312" w:eastAsia="仿宋_GB2312" w:hAnsi="Times New Roman" w:cs="宋体"/>
                <w:kern w:val="0"/>
                <w:sz w:val="24"/>
                <w:szCs w:val="28"/>
              </w:rPr>
            </w:pPr>
            <w:r>
              <w:rPr>
                <w:rFonts w:ascii="Times New Roman" w:eastAsia="仿宋_GB2312" w:hAnsi="Times New Roman" w:cs="宋体"/>
                <w:kern w:val="0"/>
                <w:sz w:val="24"/>
                <w:szCs w:val="28"/>
              </w:rPr>
              <w:t> </w:t>
            </w:r>
          </w:p>
        </w:tc>
        <w:tc>
          <w:tcPr>
            <w:tcW w:w="1420" w:type="dxa"/>
            <w:tcBorders>
              <w:top w:val="nil"/>
              <w:left w:val="nil"/>
              <w:bottom w:val="single" w:sz="8" w:space="0" w:color="auto"/>
              <w:right w:val="single" w:sz="8" w:space="0" w:color="auto"/>
            </w:tcBorders>
            <w:shd w:val="clear" w:color="auto" w:fill="FFFFFF"/>
            <w:tcMar>
              <w:left w:w="108" w:type="dxa"/>
              <w:right w:w="108" w:type="dxa"/>
            </w:tcMar>
          </w:tcPr>
          <w:p w:rsidR="00FC3217" w:rsidRDefault="00FC3217" w:rsidP="007E5952">
            <w:pPr>
              <w:widowControl/>
              <w:spacing w:before="100" w:beforeAutospacing="1" w:after="100" w:afterAutospacing="1"/>
              <w:rPr>
                <w:rFonts w:ascii="仿宋_GB2312" w:eastAsia="仿宋_GB2312" w:hAnsi="Times New Roman" w:cs="宋体"/>
                <w:kern w:val="0"/>
                <w:sz w:val="24"/>
                <w:szCs w:val="28"/>
              </w:rPr>
            </w:pPr>
            <w:r>
              <w:rPr>
                <w:rFonts w:ascii="仿宋_GB2312" w:eastAsia="仿宋_GB2312" w:hAnsi="Times New Roman" w:cs="宋体" w:hint="eastAsia"/>
                <w:kern w:val="0"/>
                <w:sz w:val="24"/>
                <w:szCs w:val="28"/>
              </w:rPr>
              <w:t>义务仓持仓量</w:t>
            </w:r>
          </w:p>
        </w:tc>
        <w:tc>
          <w:tcPr>
            <w:tcW w:w="951" w:type="dxa"/>
            <w:tcBorders>
              <w:top w:val="nil"/>
              <w:left w:val="nil"/>
              <w:bottom w:val="single" w:sz="8" w:space="0" w:color="auto"/>
              <w:right w:val="single" w:sz="8" w:space="0" w:color="auto"/>
            </w:tcBorders>
            <w:shd w:val="clear" w:color="auto" w:fill="FFFFFF"/>
            <w:tcMar>
              <w:left w:w="108" w:type="dxa"/>
              <w:right w:w="108" w:type="dxa"/>
            </w:tcMar>
          </w:tcPr>
          <w:p w:rsidR="00FC3217" w:rsidRDefault="00FC3217" w:rsidP="007E5952">
            <w:pPr>
              <w:widowControl/>
              <w:spacing w:before="100" w:beforeAutospacing="1" w:after="100" w:afterAutospacing="1"/>
              <w:rPr>
                <w:rFonts w:ascii="仿宋_GB2312" w:eastAsia="仿宋_GB2312" w:hAnsi="Times New Roman" w:cs="宋体"/>
                <w:kern w:val="0"/>
                <w:sz w:val="24"/>
                <w:szCs w:val="28"/>
              </w:rPr>
            </w:pPr>
            <w:r>
              <w:rPr>
                <w:rFonts w:ascii="Times New Roman" w:eastAsia="仿宋_GB2312" w:hAnsi="Times New Roman" w:cs="宋体"/>
                <w:kern w:val="0"/>
                <w:sz w:val="24"/>
                <w:szCs w:val="28"/>
              </w:rPr>
              <w:t> </w:t>
            </w:r>
          </w:p>
        </w:tc>
        <w:tc>
          <w:tcPr>
            <w:tcW w:w="1560" w:type="dxa"/>
            <w:gridSpan w:val="2"/>
            <w:tcBorders>
              <w:top w:val="nil"/>
              <w:left w:val="nil"/>
              <w:bottom w:val="single" w:sz="8" w:space="0" w:color="auto"/>
              <w:right w:val="single" w:sz="8" w:space="0" w:color="auto"/>
            </w:tcBorders>
            <w:shd w:val="clear" w:color="auto" w:fill="FFFFFF"/>
            <w:tcMar>
              <w:left w:w="108" w:type="dxa"/>
              <w:right w:w="108" w:type="dxa"/>
            </w:tcMar>
          </w:tcPr>
          <w:p w:rsidR="00FC3217" w:rsidRDefault="00FC3217" w:rsidP="007E5952">
            <w:pPr>
              <w:widowControl/>
              <w:spacing w:before="100" w:beforeAutospacing="1" w:after="100" w:afterAutospacing="1"/>
              <w:rPr>
                <w:rFonts w:ascii="仿宋_GB2312" w:eastAsia="仿宋_GB2312" w:hAnsi="Times New Roman" w:cs="宋体"/>
                <w:kern w:val="0"/>
                <w:sz w:val="24"/>
                <w:szCs w:val="28"/>
              </w:rPr>
            </w:pPr>
            <w:r>
              <w:rPr>
                <w:rFonts w:ascii="仿宋_GB2312" w:eastAsia="仿宋_GB2312" w:hAnsi="Times New Roman" w:cs="宋体" w:hint="eastAsia"/>
                <w:kern w:val="0"/>
                <w:sz w:val="24"/>
                <w:szCs w:val="28"/>
              </w:rPr>
              <w:t>备兑持仓</w:t>
            </w:r>
          </w:p>
        </w:tc>
        <w:tc>
          <w:tcPr>
            <w:tcW w:w="1751" w:type="dxa"/>
            <w:tcBorders>
              <w:top w:val="nil"/>
              <w:left w:val="nil"/>
              <w:bottom w:val="single" w:sz="8" w:space="0" w:color="auto"/>
              <w:right w:val="single" w:sz="8" w:space="0" w:color="auto"/>
            </w:tcBorders>
            <w:shd w:val="clear" w:color="auto" w:fill="FFFFFF"/>
            <w:tcMar>
              <w:left w:w="108" w:type="dxa"/>
              <w:right w:w="108" w:type="dxa"/>
            </w:tcMar>
          </w:tcPr>
          <w:p w:rsidR="00FC3217" w:rsidRDefault="00FC3217" w:rsidP="007E5952">
            <w:pPr>
              <w:widowControl/>
              <w:spacing w:before="100" w:beforeAutospacing="1" w:after="100" w:afterAutospacing="1"/>
              <w:rPr>
                <w:rFonts w:ascii="仿宋_GB2312" w:eastAsia="仿宋_GB2312" w:hAnsi="Times New Roman" w:cs="宋体"/>
                <w:kern w:val="0"/>
                <w:sz w:val="24"/>
                <w:szCs w:val="28"/>
              </w:rPr>
            </w:pPr>
            <w:r>
              <w:rPr>
                <w:rFonts w:ascii="Times New Roman" w:eastAsia="仿宋_GB2312" w:hAnsi="Times New Roman" w:cs="宋体"/>
                <w:kern w:val="0"/>
                <w:sz w:val="24"/>
                <w:szCs w:val="28"/>
              </w:rPr>
              <w:t> </w:t>
            </w:r>
          </w:p>
        </w:tc>
      </w:tr>
      <w:tr w:rsidR="00FC3217" w:rsidTr="007E5952">
        <w:trPr>
          <w:jc w:val="center"/>
        </w:trPr>
        <w:tc>
          <w:tcPr>
            <w:tcW w:w="2093" w:type="dxa"/>
            <w:tcBorders>
              <w:top w:val="nil"/>
              <w:left w:val="single" w:sz="8" w:space="0" w:color="auto"/>
              <w:bottom w:val="single" w:sz="8" w:space="0" w:color="auto"/>
              <w:right w:val="single" w:sz="8" w:space="0" w:color="auto"/>
            </w:tcBorders>
            <w:shd w:val="clear" w:color="auto" w:fill="FFFFFF"/>
            <w:tcMar>
              <w:left w:w="108" w:type="dxa"/>
              <w:right w:w="108" w:type="dxa"/>
            </w:tcMar>
          </w:tcPr>
          <w:p w:rsidR="00FC3217" w:rsidRDefault="00FC3217" w:rsidP="007E5952">
            <w:pPr>
              <w:widowControl/>
              <w:spacing w:before="100" w:beforeAutospacing="1" w:after="100" w:afterAutospacing="1"/>
              <w:rPr>
                <w:rFonts w:ascii="仿宋_GB2312" w:eastAsia="仿宋_GB2312" w:hAnsi="Times New Roman" w:cs="宋体"/>
                <w:kern w:val="0"/>
                <w:sz w:val="24"/>
                <w:szCs w:val="28"/>
              </w:rPr>
            </w:pPr>
            <w:r>
              <w:rPr>
                <w:rFonts w:ascii="仿宋_GB2312" w:eastAsia="仿宋_GB2312" w:hAnsi="Times New Roman" w:cs="宋体" w:hint="eastAsia"/>
                <w:kern w:val="0"/>
                <w:sz w:val="24"/>
                <w:szCs w:val="28"/>
              </w:rPr>
              <w:t>持仓意向（含行权意愿与可能被行权准备情况说明）</w:t>
            </w:r>
          </w:p>
        </w:tc>
        <w:tc>
          <w:tcPr>
            <w:tcW w:w="6794" w:type="dxa"/>
            <w:gridSpan w:val="6"/>
            <w:tcBorders>
              <w:top w:val="nil"/>
              <w:left w:val="nil"/>
              <w:bottom w:val="single" w:sz="8" w:space="0" w:color="auto"/>
              <w:right w:val="single" w:sz="8" w:space="0" w:color="auto"/>
            </w:tcBorders>
            <w:shd w:val="clear" w:color="auto" w:fill="FFFFFF"/>
            <w:tcMar>
              <w:left w:w="108" w:type="dxa"/>
              <w:right w:w="108" w:type="dxa"/>
            </w:tcMar>
          </w:tcPr>
          <w:p w:rsidR="00FC3217" w:rsidRDefault="00FC3217" w:rsidP="007E5952">
            <w:pPr>
              <w:widowControl/>
              <w:spacing w:before="100" w:beforeAutospacing="1" w:after="100" w:afterAutospacing="1"/>
              <w:rPr>
                <w:rFonts w:ascii="仿宋_GB2312" w:eastAsia="仿宋_GB2312" w:hAnsi="Times New Roman" w:cs="宋体"/>
                <w:kern w:val="0"/>
                <w:sz w:val="24"/>
                <w:szCs w:val="28"/>
              </w:rPr>
            </w:pPr>
            <w:r>
              <w:rPr>
                <w:rFonts w:ascii="Times New Roman" w:eastAsia="仿宋_GB2312" w:hAnsi="Times New Roman" w:cs="宋体"/>
                <w:kern w:val="0"/>
                <w:sz w:val="24"/>
                <w:szCs w:val="28"/>
              </w:rPr>
              <w:t> </w:t>
            </w:r>
          </w:p>
          <w:p w:rsidR="00FC3217" w:rsidRDefault="00FC3217" w:rsidP="007E5952">
            <w:pPr>
              <w:keepNext/>
              <w:keepLines/>
              <w:widowControl/>
              <w:spacing w:before="100" w:beforeAutospacing="1" w:after="100" w:afterAutospacing="1"/>
              <w:outlineLvl w:val="2"/>
              <w:rPr>
                <w:rFonts w:ascii="仿宋_GB2312" w:eastAsia="仿宋_GB2312" w:hAnsi="Times New Roman" w:cs="宋体"/>
                <w:kern w:val="0"/>
                <w:sz w:val="24"/>
                <w:szCs w:val="28"/>
              </w:rPr>
            </w:pPr>
          </w:p>
        </w:tc>
      </w:tr>
      <w:tr w:rsidR="00FC3217" w:rsidTr="007E5952">
        <w:trPr>
          <w:jc w:val="center"/>
        </w:trPr>
        <w:tc>
          <w:tcPr>
            <w:tcW w:w="2093" w:type="dxa"/>
            <w:tcBorders>
              <w:top w:val="nil"/>
              <w:left w:val="single" w:sz="8" w:space="0" w:color="auto"/>
              <w:bottom w:val="single" w:sz="8" w:space="0" w:color="auto"/>
              <w:right w:val="single" w:sz="8" w:space="0" w:color="auto"/>
            </w:tcBorders>
            <w:shd w:val="clear" w:color="auto" w:fill="FFFFFF"/>
            <w:tcMar>
              <w:left w:w="108" w:type="dxa"/>
              <w:right w:w="108" w:type="dxa"/>
            </w:tcMar>
          </w:tcPr>
          <w:p w:rsidR="00FC3217" w:rsidRDefault="00FC3217" w:rsidP="007E5952">
            <w:pPr>
              <w:widowControl/>
              <w:spacing w:before="100" w:beforeAutospacing="1" w:after="100" w:afterAutospacing="1"/>
              <w:rPr>
                <w:rFonts w:ascii="仿宋_GB2312" w:eastAsia="仿宋_GB2312" w:hAnsi="Times New Roman" w:cs="宋体"/>
                <w:kern w:val="0"/>
                <w:sz w:val="24"/>
                <w:szCs w:val="28"/>
              </w:rPr>
            </w:pPr>
            <w:r>
              <w:rPr>
                <w:rFonts w:ascii="仿宋_GB2312" w:eastAsia="仿宋_GB2312" w:hAnsi="Times New Roman" w:cs="宋体" w:hint="eastAsia"/>
                <w:kern w:val="0"/>
                <w:sz w:val="24"/>
                <w:szCs w:val="28"/>
              </w:rPr>
              <w:t>总持仓保证金</w:t>
            </w:r>
          </w:p>
        </w:tc>
        <w:tc>
          <w:tcPr>
            <w:tcW w:w="1112" w:type="dxa"/>
            <w:tcBorders>
              <w:top w:val="nil"/>
              <w:left w:val="nil"/>
              <w:bottom w:val="single" w:sz="8" w:space="0" w:color="auto"/>
              <w:right w:val="single" w:sz="8" w:space="0" w:color="auto"/>
            </w:tcBorders>
            <w:shd w:val="clear" w:color="auto" w:fill="FFFFFF"/>
            <w:tcMar>
              <w:left w:w="108" w:type="dxa"/>
              <w:right w:w="108" w:type="dxa"/>
            </w:tcMar>
          </w:tcPr>
          <w:p w:rsidR="00FC3217" w:rsidRDefault="00FC3217" w:rsidP="007E5952">
            <w:pPr>
              <w:widowControl/>
              <w:spacing w:before="100" w:beforeAutospacing="1" w:after="100" w:afterAutospacing="1"/>
              <w:rPr>
                <w:rFonts w:ascii="仿宋_GB2312" w:eastAsia="仿宋_GB2312" w:hAnsi="Times New Roman" w:cs="宋体"/>
                <w:kern w:val="0"/>
                <w:sz w:val="24"/>
                <w:szCs w:val="28"/>
              </w:rPr>
            </w:pPr>
            <w:r>
              <w:rPr>
                <w:rFonts w:ascii="Times New Roman" w:eastAsia="仿宋_GB2312" w:hAnsi="Times New Roman" w:cs="宋体"/>
                <w:kern w:val="0"/>
                <w:sz w:val="24"/>
                <w:szCs w:val="28"/>
              </w:rPr>
              <w:t> </w:t>
            </w:r>
          </w:p>
        </w:tc>
        <w:tc>
          <w:tcPr>
            <w:tcW w:w="1420" w:type="dxa"/>
            <w:tcBorders>
              <w:top w:val="nil"/>
              <w:left w:val="nil"/>
              <w:bottom w:val="single" w:sz="8" w:space="0" w:color="auto"/>
              <w:right w:val="single" w:sz="8" w:space="0" w:color="auto"/>
            </w:tcBorders>
            <w:shd w:val="clear" w:color="auto" w:fill="FFFFFF"/>
            <w:tcMar>
              <w:left w:w="108" w:type="dxa"/>
              <w:right w:w="108" w:type="dxa"/>
            </w:tcMar>
          </w:tcPr>
          <w:p w:rsidR="00FC3217" w:rsidRDefault="00FC3217" w:rsidP="007E5952">
            <w:pPr>
              <w:widowControl/>
              <w:spacing w:before="100" w:beforeAutospacing="1" w:after="100" w:afterAutospacing="1"/>
              <w:rPr>
                <w:rFonts w:ascii="仿宋_GB2312" w:eastAsia="仿宋_GB2312" w:hAnsi="Times New Roman" w:cs="宋体"/>
                <w:kern w:val="0"/>
                <w:sz w:val="24"/>
                <w:szCs w:val="28"/>
              </w:rPr>
            </w:pPr>
            <w:r>
              <w:rPr>
                <w:rFonts w:ascii="仿宋_GB2312" w:eastAsia="仿宋_GB2312" w:hAnsi="Times New Roman" w:cs="宋体" w:hint="eastAsia"/>
                <w:kern w:val="0"/>
                <w:sz w:val="24"/>
                <w:szCs w:val="28"/>
              </w:rPr>
              <w:t>资金规模</w:t>
            </w:r>
          </w:p>
        </w:tc>
        <w:tc>
          <w:tcPr>
            <w:tcW w:w="951" w:type="dxa"/>
            <w:tcBorders>
              <w:top w:val="nil"/>
              <w:left w:val="nil"/>
              <w:bottom w:val="single" w:sz="8" w:space="0" w:color="auto"/>
              <w:right w:val="single" w:sz="8" w:space="0" w:color="auto"/>
            </w:tcBorders>
            <w:shd w:val="clear" w:color="auto" w:fill="FFFFFF"/>
            <w:tcMar>
              <w:left w:w="108" w:type="dxa"/>
              <w:right w:w="108" w:type="dxa"/>
            </w:tcMar>
          </w:tcPr>
          <w:p w:rsidR="00FC3217" w:rsidRDefault="00FC3217" w:rsidP="007E5952">
            <w:pPr>
              <w:widowControl/>
              <w:spacing w:before="100" w:beforeAutospacing="1" w:after="100" w:afterAutospacing="1"/>
              <w:rPr>
                <w:rFonts w:ascii="仿宋_GB2312" w:eastAsia="仿宋_GB2312" w:hAnsi="Times New Roman" w:cs="宋体"/>
                <w:kern w:val="0"/>
                <w:sz w:val="24"/>
                <w:szCs w:val="28"/>
              </w:rPr>
            </w:pPr>
            <w:r>
              <w:rPr>
                <w:rFonts w:ascii="Times New Roman" w:eastAsia="仿宋_GB2312" w:hAnsi="Times New Roman" w:cs="宋体"/>
                <w:kern w:val="0"/>
                <w:sz w:val="24"/>
                <w:szCs w:val="28"/>
              </w:rPr>
              <w:t> </w:t>
            </w:r>
          </w:p>
        </w:tc>
        <w:tc>
          <w:tcPr>
            <w:tcW w:w="1560" w:type="dxa"/>
            <w:gridSpan w:val="2"/>
            <w:tcBorders>
              <w:top w:val="nil"/>
              <w:left w:val="nil"/>
              <w:bottom w:val="single" w:sz="8" w:space="0" w:color="auto"/>
              <w:right w:val="single" w:sz="8" w:space="0" w:color="auto"/>
            </w:tcBorders>
            <w:shd w:val="clear" w:color="auto" w:fill="FFFFFF"/>
            <w:tcMar>
              <w:left w:w="108" w:type="dxa"/>
              <w:right w:w="108" w:type="dxa"/>
            </w:tcMar>
          </w:tcPr>
          <w:p w:rsidR="00FC3217" w:rsidRDefault="00FC3217" w:rsidP="007E5952">
            <w:pPr>
              <w:widowControl/>
              <w:spacing w:before="100" w:beforeAutospacing="1" w:after="100" w:afterAutospacing="1"/>
              <w:rPr>
                <w:rFonts w:ascii="仿宋_GB2312" w:eastAsia="仿宋_GB2312" w:hAnsi="Times New Roman" w:cs="宋体"/>
                <w:kern w:val="0"/>
                <w:sz w:val="24"/>
                <w:szCs w:val="28"/>
              </w:rPr>
            </w:pPr>
            <w:r>
              <w:rPr>
                <w:rFonts w:ascii="仿宋_GB2312" w:eastAsia="仿宋_GB2312" w:hAnsi="Times New Roman" w:cs="宋体" w:hint="eastAsia"/>
                <w:kern w:val="0"/>
                <w:sz w:val="24"/>
                <w:szCs w:val="28"/>
              </w:rPr>
              <w:t>实际控制人</w:t>
            </w:r>
          </w:p>
        </w:tc>
        <w:tc>
          <w:tcPr>
            <w:tcW w:w="1751" w:type="dxa"/>
            <w:tcBorders>
              <w:top w:val="nil"/>
              <w:left w:val="nil"/>
              <w:bottom w:val="single" w:sz="8" w:space="0" w:color="auto"/>
              <w:right w:val="single" w:sz="8" w:space="0" w:color="auto"/>
            </w:tcBorders>
            <w:shd w:val="clear" w:color="auto" w:fill="FFFFFF"/>
            <w:tcMar>
              <w:left w:w="108" w:type="dxa"/>
              <w:right w:w="108" w:type="dxa"/>
            </w:tcMar>
          </w:tcPr>
          <w:p w:rsidR="00FC3217" w:rsidRDefault="00FC3217" w:rsidP="007E5952">
            <w:pPr>
              <w:widowControl/>
              <w:spacing w:before="100" w:beforeAutospacing="1" w:after="100" w:afterAutospacing="1"/>
              <w:rPr>
                <w:rFonts w:ascii="仿宋_GB2312" w:eastAsia="仿宋_GB2312" w:hAnsi="Times New Roman" w:cs="宋体"/>
                <w:kern w:val="0"/>
                <w:sz w:val="24"/>
                <w:szCs w:val="28"/>
              </w:rPr>
            </w:pPr>
            <w:r>
              <w:rPr>
                <w:rFonts w:ascii="Times New Roman" w:eastAsia="仿宋_GB2312" w:hAnsi="Times New Roman" w:cs="宋体"/>
                <w:kern w:val="0"/>
                <w:sz w:val="24"/>
                <w:szCs w:val="28"/>
              </w:rPr>
              <w:t> </w:t>
            </w:r>
          </w:p>
        </w:tc>
      </w:tr>
      <w:tr w:rsidR="00FC3217" w:rsidTr="007E5952">
        <w:trPr>
          <w:jc w:val="center"/>
        </w:trPr>
        <w:tc>
          <w:tcPr>
            <w:tcW w:w="2093" w:type="dxa"/>
            <w:tcBorders>
              <w:top w:val="nil"/>
              <w:left w:val="single" w:sz="8" w:space="0" w:color="auto"/>
              <w:bottom w:val="single" w:sz="8" w:space="0" w:color="auto"/>
              <w:right w:val="single" w:sz="8" w:space="0" w:color="auto"/>
            </w:tcBorders>
            <w:shd w:val="clear" w:color="auto" w:fill="FFFFFF"/>
            <w:tcMar>
              <w:left w:w="108" w:type="dxa"/>
              <w:right w:w="108" w:type="dxa"/>
            </w:tcMar>
          </w:tcPr>
          <w:p w:rsidR="00FC3217" w:rsidRDefault="00FC3217" w:rsidP="007E5952">
            <w:pPr>
              <w:widowControl/>
              <w:spacing w:before="100" w:beforeAutospacing="1" w:after="100" w:afterAutospacing="1"/>
              <w:rPr>
                <w:rFonts w:ascii="仿宋_GB2312" w:eastAsia="仿宋_GB2312" w:hAnsi="Times New Roman" w:cs="宋体"/>
                <w:kern w:val="0"/>
                <w:sz w:val="24"/>
                <w:szCs w:val="28"/>
              </w:rPr>
            </w:pPr>
            <w:r>
              <w:rPr>
                <w:rFonts w:ascii="仿宋_GB2312" w:eastAsia="仿宋_GB2312" w:hAnsi="Times New Roman" w:cs="宋体" w:hint="eastAsia"/>
                <w:kern w:val="0"/>
                <w:sz w:val="24"/>
                <w:szCs w:val="28"/>
              </w:rPr>
              <w:t>证券担保物情况</w:t>
            </w:r>
          </w:p>
        </w:tc>
        <w:tc>
          <w:tcPr>
            <w:tcW w:w="6794" w:type="dxa"/>
            <w:gridSpan w:val="6"/>
            <w:tcBorders>
              <w:top w:val="nil"/>
              <w:left w:val="nil"/>
              <w:bottom w:val="single" w:sz="8" w:space="0" w:color="auto"/>
              <w:right w:val="single" w:sz="8" w:space="0" w:color="auto"/>
            </w:tcBorders>
            <w:shd w:val="clear" w:color="auto" w:fill="FFFFFF"/>
            <w:tcMar>
              <w:left w:w="108" w:type="dxa"/>
              <w:right w:w="108" w:type="dxa"/>
            </w:tcMar>
          </w:tcPr>
          <w:p w:rsidR="00FC3217" w:rsidRDefault="00FC3217" w:rsidP="007E5952">
            <w:pPr>
              <w:keepNext/>
              <w:keepLines/>
              <w:widowControl/>
              <w:spacing w:before="100" w:beforeAutospacing="1" w:after="100" w:afterAutospacing="1"/>
              <w:outlineLvl w:val="2"/>
              <w:rPr>
                <w:rFonts w:ascii="仿宋_GB2312" w:eastAsia="仿宋_GB2312" w:hAnsi="Times New Roman" w:cs="宋体"/>
                <w:kern w:val="0"/>
                <w:sz w:val="24"/>
                <w:szCs w:val="28"/>
              </w:rPr>
            </w:pPr>
          </w:p>
        </w:tc>
      </w:tr>
      <w:tr w:rsidR="00FC3217" w:rsidTr="007E5952">
        <w:trPr>
          <w:jc w:val="center"/>
        </w:trPr>
        <w:tc>
          <w:tcPr>
            <w:tcW w:w="2093" w:type="dxa"/>
            <w:tcBorders>
              <w:top w:val="nil"/>
              <w:left w:val="single" w:sz="8" w:space="0" w:color="auto"/>
              <w:bottom w:val="single" w:sz="8" w:space="0" w:color="auto"/>
              <w:right w:val="single" w:sz="8" w:space="0" w:color="auto"/>
            </w:tcBorders>
            <w:shd w:val="clear" w:color="auto" w:fill="FFFFFF"/>
            <w:tcMar>
              <w:left w:w="108" w:type="dxa"/>
              <w:right w:w="108" w:type="dxa"/>
            </w:tcMar>
          </w:tcPr>
          <w:p w:rsidR="00FC3217" w:rsidRDefault="00FC3217" w:rsidP="007E5952">
            <w:pPr>
              <w:widowControl/>
              <w:spacing w:before="100" w:beforeAutospacing="1" w:after="100" w:afterAutospacing="1"/>
              <w:rPr>
                <w:rFonts w:ascii="仿宋_GB2312" w:eastAsia="仿宋_GB2312" w:hAnsi="Times New Roman" w:cs="宋体"/>
                <w:kern w:val="0"/>
                <w:sz w:val="24"/>
                <w:szCs w:val="28"/>
              </w:rPr>
            </w:pPr>
            <w:r>
              <w:rPr>
                <w:rFonts w:ascii="仿宋_GB2312" w:eastAsia="仿宋_GB2312" w:hAnsi="Times New Roman" w:cs="宋体" w:hint="eastAsia"/>
                <w:kern w:val="0"/>
                <w:sz w:val="24"/>
                <w:szCs w:val="28"/>
              </w:rPr>
              <w:t>持有其他期货期权品种情况说明</w:t>
            </w:r>
          </w:p>
        </w:tc>
        <w:tc>
          <w:tcPr>
            <w:tcW w:w="6794" w:type="dxa"/>
            <w:gridSpan w:val="6"/>
            <w:tcBorders>
              <w:top w:val="nil"/>
              <w:left w:val="nil"/>
              <w:bottom w:val="single" w:sz="8" w:space="0" w:color="auto"/>
              <w:right w:val="single" w:sz="8" w:space="0" w:color="auto"/>
            </w:tcBorders>
            <w:shd w:val="clear" w:color="auto" w:fill="FFFFFF"/>
            <w:tcMar>
              <w:left w:w="108" w:type="dxa"/>
              <w:right w:w="108" w:type="dxa"/>
            </w:tcMar>
          </w:tcPr>
          <w:p w:rsidR="00FC3217" w:rsidRDefault="00FC3217" w:rsidP="007E5952">
            <w:pPr>
              <w:keepNext/>
              <w:keepLines/>
              <w:widowControl/>
              <w:spacing w:before="100" w:beforeAutospacing="1" w:after="100" w:afterAutospacing="1"/>
              <w:outlineLvl w:val="2"/>
              <w:rPr>
                <w:rFonts w:ascii="仿宋_GB2312" w:eastAsia="仿宋_GB2312" w:hAnsi="Times New Roman" w:cs="宋体"/>
                <w:kern w:val="0"/>
                <w:sz w:val="24"/>
                <w:szCs w:val="28"/>
              </w:rPr>
            </w:pPr>
          </w:p>
        </w:tc>
      </w:tr>
      <w:tr w:rsidR="00FC3217" w:rsidTr="007E5952">
        <w:trPr>
          <w:jc w:val="center"/>
        </w:trPr>
        <w:tc>
          <w:tcPr>
            <w:tcW w:w="2093" w:type="dxa"/>
            <w:tcBorders>
              <w:top w:val="nil"/>
              <w:left w:val="single" w:sz="8" w:space="0" w:color="auto"/>
              <w:bottom w:val="single" w:sz="8" w:space="0" w:color="auto"/>
              <w:right w:val="single" w:sz="8" w:space="0" w:color="auto"/>
            </w:tcBorders>
            <w:shd w:val="clear" w:color="auto" w:fill="FFFFFF"/>
            <w:tcMar>
              <w:left w:w="108" w:type="dxa"/>
              <w:right w:w="108" w:type="dxa"/>
            </w:tcMar>
          </w:tcPr>
          <w:p w:rsidR="00FC3217" w:rsidRDefault="00FC3217" w:rsidP="007E5952">
            <w:pPr>
              <w:widowControl/>
              <w:spacing w:before="100" w:beforeAutospacing="1" w:after="100" w:afterAutospacing="1"/>
              <w:rPr>
                <w:rFonts w:ascii="仿宋_GB2312" w:eastAsia="仿宋_GB2312" w:hAnsi="Times New Roman" w:cs="宋体"/>
                <w:kern w:val="0"/>
                <w:sz w:val="24"/>
                <w:szCs w:val="28"/>
              </w:rPr>
            </w:pPr>
            <w:r>
              <w:rPr>
                <w:rFonts w:ascii="仿宋_GB2312" w:eastAsia="仿宋_GB2312" w:hAnsi="Times New Roman" w:cs="宋体" w:hint="eastAsia"/>
                <w:kern w:val="0"/>
                <w:sz w:val="24"/>
                <w:szCs w:val="28"/>
              </w:rPr>
              <w:t>资金来源</w:t>
            </w:r>
          </w:p>
        </w:tc>
        <w:tc>
          <w:tcPr>
            <w:tcW w:w="6794" w:type="dxa"/>
            <w:gridSpan w:val="6"/>
            <w:tcBorders>
              <w:top w:val="nil"/>
              <w:left w:val="nil"/>
              <w:bottom w:val="single" w:sz="8" w:space="0" w:color="auto"/>
              <w:right w:val="single" w:sz="8" w:space="0" w:color="auto"/>
            </w:tcBorders>
            <w:shd w:val="clear" w:color="auto" w:fill="FFFFFF"/>
            <w:tcMar>
              <w:left w:w="108" w:type="dxa"/>
              <w:right w:w="108" w:type="dxa"/>
            </w:tcMar>
          </w:tcPr>
          <w:p w:rsidR="00FC3217" w:rsidRDefault="00FC3217" w:rsidP="007E5952">
            <w:pPr>
              <w:widowControl/>
              <w:spacing w:before="100" w:beforeAutospacing="1" w:after="100" w:afterAutospacing="1"/>
              <w:rPr>
                <w:rFonts w:ascii="仿宋_GB2312" w:eastAsia="仿宋_GB2312" w:hAnsi="Times New Roman" w:cs="宋体"/>
                <w:kern w:val="0"/>
                <w:sz w:val="24"/>
                <w:szCs w:val="28"/>
              </w:rPr>
            </w:pPr>
            <w:r>
              <w:rPr>
                <w:rFonts w:ascii="Times New Roman" w:eastAsia="仿宋_GB2312" w:hAnsi="Times New Roman" w:cs="宋体"/>
                <w:kern w:val="0"/>
                <w:sz w:val="24"/>
                <w:szCs w:val="28"/>
              </w:rPr>
              <w:t> </w:t>
            </w:r>
          </w:p>
          <w:p w:rsidR="00FC3217" w:rsidRDefault="00FC3217" w:rsidP="007E5952">
            <w:pPr>
              <w:widowControl/>
              <w:spacing w:before="100" w:beforeAutospacing="1" w:after="100" w:afterAutospacing="1"/>
              <w:rPr>
                <w:rFonts w:ascii="仿宋_GB2312" w:eastAsia="仿宋_GB2312" w:hAnsi="Times New Roman" w:cs="宋体"/>
                <w:kern w:val="0"/>
                <w:sz w:val="24"/>
                <w:szCs w:val="28"/>
              </w:rPr>
            </w:pPr>
            <w:r>
              <w:rPr>
                <w:rFonts w:ascii="Times New Roman" w:eastAsia="仿宋_GB2312" w:hAnsi="Times New Roman" w:cs="宋体"/>
                <w:kern w:val="0"/>
                <w:sz w:val="24"/>
                <w:szCs w:val="28"/>
              </w:rPr>
              <w:t>  </w:t>
            </w:r>
          </w:p>
        </w:tc>
      </w:tr>
      <w:tr w:rsidR="00FC3217" w:rsidTr="007E5952">
        <w:trPr>
          <w:jc w:val="center"/>
        </w:trPr>
        <w:tc>
          <w:tcPr>
            <w:tcW w:w="8887" w:type="dxa"/>
            <w:gridSpan w:val="7"/>
            <w:tcBorders>
              <w:top w:val="nil"/>
              <w:left w:val="single" w:sz="8" w:space="0" w:color="auto"/>
              <w:bottom w:val="single" w:sz="8" w:space="0" w:color="auto"/>
              <w:right w:val="single" w:sz="8" w:space="0" w:color="auto"/>
            </w:tcBorders>
            <w:shd w:val="clear" w:color="auto" w:fill="FFFFFF"/>
            <w:tcMar>
              <w:left w:w="108" w:type="dxa"/>
              <w:right w:w="108" w:type="dxa"/>
            </w:tcMar>
          </w:tcPr>
          <w:p w:rsidR="00FC3217" w:rsidRDefault="00FC3217" w:rsidP="007E5952">
            <w:pPr>
              <w:widowControl/>
              <w:spacing w:before="100" w:beforeAutospacing="1" w:after="100" w:afterAutospacing="1"/>
              <w:ind w:firstLine="360"/>
              <w:rPr>
                <w:rFonts w:ascii="仿宋_GB2312" w:eastAsia="仿宋_GB2312" w:hAnsi="Times New Roman" w:cs="宋体"/>
                <w:kern w:val="0"/>
                <w:sz w:val="24"/>
                <w:szCs w:val="28"/>
              </w:rPr>
            </w:pPr>
            <w:r>
              <w:rPr>
                <w:rFonts w:ascii="仿宋_GB2312" w:eastAsia="仿宋_GB2312" w:hAnsi="Times New Roman" w:cs="宋体" w:hint="eastAsia"/>
                <w:kern w:val="0"/>
                <w:sz w:val="24"/>
                <w:szCs w:val="28"/>
              </w:rPr>
              <w:t>本人（公司）保证以上报告内容的真实性和准确性，不存在任何故意虚假或者遗漏。</w:t>
            </w:r>
          </w:p>
          <w:p w:rsidR="00FC3217" w:rsidRDefault="00FC3217" w:rsidP="007E5952">
            <w:pPr>
              <w:widowControl/>
              <w:spacing w:before="100" w:beforeAutospacing="1" w:after="100" w:afterAutospacing="1"/>
              <w:rPr>
                <w:rFonts w:ascii="仿宋_GB2312" w:eastAsia="仿宋_GB2312" w:hAnsi="Times New Roman" w:cs="宋体"/>
                <w:kern w:val="0"/>
                <w:sz w:val="24"/>
                <w:szCs w:val="28"/>
              </w:rPr>
            </w:pPr>
            <w:r>
              <w:rPr>
                <w:rFonts w:ascii="Times New Roman" w:eastAsia="仿宋_GB2312" w:hAnsi="Times New Roman" w:cs="宋体"/>
                <w:kern w:val="0"/>
                <w:sz w:val="24"/>
                <w:szCs w:val="28"/>
              </w:rPr>
              <w:t> </w:t>
            </w:r>
            <w:r>
              <w:rPr>
                <w:rFonts w:ascii="仿宋_GB2312" w:eastAsia="仿宋_GB2312" w:hAnsi="Times New Roman" w:cs="宋体" w:hint="eastAsia"/>
                <w:kern w:val="0"/>
                <w:sz w:val="24"/>
                <w:szCs w:val="28"/>
              </w:rPr>
              <w:t xml:space="preserve">报告人签名：　　　　　　　　　　　　　　　　　</w:t>
            </w:r>
            <w:r>
              <w:rPr>
                <w:rFonts w:ascii="Times New Roman" w:eastAsia="仿宋_GB2312" w:hAnsi="Times New Roman" w:cs="宋体"/>
                <w:kern w:val="0"/>
                <w:sz w:val="24"/>
                <w:szCs w:val="28"/>
              </w:rPr>
              <w:t> </w:t>
            </w:r>
            <w:r>
              <w:rPr>
                <w:rFonts w:ascii="仿宋_GB2312" w:eastAsia="仿宋_GB2312" w:hAnsi="Times New Roman" w:cs="宋体" w:hint="eastAsia"/>
                <w:kern w:val="0"/>
                <w:sz w:val="24"/>
                <w:szCs w:val="28"/>
              </w:rPr>
              <w:t xml:space="preserve">　　　　　报告日期：　　　年　</w:t>
            </w:r>
            <w:r>
              <w:rPr>
                <w:rFonts w:ascii="Times New Roman" w:eastAsia="仿宋_GB2312" w:hAnsi="Times New Roman" w:cs="宋体"/>
                <w:kern w:val="0"/>
                <w:sz w:val="24"/>
                <w:szCs w:val="28"/>
              </w:rPr>
              <w:t> </w:t>
            </w:r>
            <w:r>
              <w:rPr>
                <w:rFonts w:ascii="仿宋_GB2312" w:eastAsia="仿宋_GB2312" w:hAnsi="Times New Roman" w:cs="宋体" w:hint="eastAsia"/>
                <w:kern w:val="0"/>
                <w:sz w:val="24"/>
                <w:szCs w:val="28"/>
              </w:rPr>
              <w:t xml:space="preserve">月　</w:t>
            </w:r>
            <w:r>
              <w:rPr>
                <w:rFonts w:ascii="Times New Roman" w:eastAsia="仿宋_GB2312" w:hAnsi="Times New Roman" w:cs="宋体"/>
                <w:kern w:val="0"/>
                <w:sz w:val="24"/>
                <w:szCs w:val="28"/>
              </w:rPr>
              <w:t> </w:t>
            </w:r>
            <w:r>
              <w:rPr>
                <w:rFonts w:ascii="仿宋_GB2312" w:eastAsia="仿宋_GB2312" w:hAnsi="Times New Roman" w:cs="宋体" w:hint="eastAsia"/>
                <w:kern w:val="0"/>
                <w:sz w:val="24"/>
                <w:szCs w:val="28"/>
              </w:rPr>
              <w:t>日</w:t>
            </w:r>
          </w:p>
        </w:tc>
      </w:tr>
      <w:tr w:rsidR="00FC3217" w:rsidTr="007E5952">
        <w:trPr>
          <w:jc w:val="center"/>
        </w:trPr>
        <w:tc>
          <w:tcPr>
            <w:tcW w:w="2093" w:type="dxa"/>
            <w:tcBorders>
              <w:top w:val="nil"/>
              <w:left w:val="single" w:sz="8" w:space="0" w:color="auto"/>
              <w:bottom w:val="single" w:sz="8" w:space="0" w:color="auto"/>
              <w:right w:val="single" w:sz="8" w:space="0" w:color="auto"/>
            </w:tcBorders>
            <w:shd w:val="clear" w:color="auto" w:fill="FFFFFF"/>
            <w:tcMar>
              <w:left w:w="108" w:type="dxa"/>
              <w:right w:w="108" w:type="dxa"/>
            </w:tcMar>
          </w:tcPr>
          <w:p w:rsidR="00FC3217" w:rsidRDefault="00FC3217" w:rsidP="007E5952">
            <w:pPr>
              <w:widowControl/>
              <w:spacing w:before="100" w:beforeAutospacing="1" w:after="100" w:afterAutospacing="1"/>
              <w:rPr>
                <w:rFonts w:ascii="仿宋_GB2312" w:eastAsia="仿宋_GB2312" w:hAnsi="Times New Roman" w:cs="宋体"/>
                <w:kern w:val="0"/>
                <w:sz w:val="24"/>
                <w:szCs w:val="28"/>
              </w:rPr>
            </w:pPr>
            <w:r>
              <w:rPr>
                <w:rFonts w:ascii="仿宋_GB2312" w:eastAsia="仿宋_GB2312" w:hAnsi="Times New Roman" w:cs="宋体" w:hint="eastAsia"/>
                <w:kern w:val="0"/>
                <w:sz w:val="24"/>
                <w:szCs w:val="28"/>
              </w:rPr>
              <w:t>期货公司名称</w:t>
            </w:r>
          </w:p>
        </w:tc>
        <w:tc>
          <w:tcPr>
            <w:tcW w:w="2532" w:type="dxa"/>
            <w:gridSpan w:val="2"/>
            <w:tcBorders>
              <w:top w:val="nil"/>
              <w:left w:val="nil"/>
              <w:bottom w:val="single" w:sz="8" w:space="0" w:color="auto"/>
              <w:right w:val="single" w:sz="8" w:space="0" w:color="auto"/>
            </w:tcBorders>
            <w:shd w:val="clear" w:color="auto" w:fill="FFFFFF"/>
            <w:tcMar>
              <w:left w:w="108" w:type="dxa"/>
              <w:right w:w="108" w:type="dxa"/>
            </w:tcMar>
          </w:tcPr>
          <w:p w:rsidR="00FC3217" w:rsidRDefault="00FC3217" w:rsidP="007E5952">
            <w:pPr>
              <w:widowControl/>
              <w:spacing w:before="100" w:beforeAutospacing="1" w:after="100" w:afterAutospacing="1"/>
              <w:rPr>
                <w:rFonts w:ascii="仿宋_GB2312" w:eastAsia="仿宋_GB2312" w:hAnsi="Times New Roman" w:cs="宋体"/>
                <w:kern w:val="0"/>
                <w:sz w:val="24"/>
                <w:szCs w:val="28"/>
              </w:rPr>
            </w:pPr>
            <w:r>
              <w:rPr>
                <w:rFonts w:ascii="Times New Roman" w:eastAsia="仿宋_GB2312" w:hAnsi="Times New Roman" w:cs="宋体"/>
                <w:kern w:val="0"/>
                <w:sz w:val="24"/>
                <w:szCs w:val="28"/>
              </w:rPr>
              <w:t> </w:t>
            </w:r>
          </w:p>
        </w:tc>
        <w:tc>
          <w:tcPr>
            <w:tcW w:w="1518" w:type="dxa"/>
            <w:gridSpan w:val="2"/>
            <w:tcBorders>
              <w:top w:val="nil"/>
              <w:left w:val="nil"/>
              <w:bottom w:val="single" w:sz="8" w:space="0" w:color="auto"/>
              <w:right w:val="single" w:sz="8" w:space="0" w:color="auto"/>
            </w:tcBorders>
            <w:shd w:val="clear" w:color="auto" w:fill="FFFFFF"/>
            <w:tcMar>
              <w:left w:w="108" w:type="dxa"/>
              <w:right w:w="108" w:type="dxa"/>
            </w:tcMar>
          </w:tcPr>
          <w:p w:rsidR="00FC3217" w:rsidRDefault="00FC3217" w:rsidP="007E5952">
            <w:pPr>
              <w:widowControl/>
              <w:spacing w:before="100" w:beforeAutospacing="1" w:after="100" w:afterAutospacing="1"/>
              <w:rPr>
                <w:rFonts w:ascii="仿宋_GB2312" w:eastAsia="仿宋_GB2312" w:hAnsi="Times New Roman" w:cs="宋体"/>
                <w:kern w:val="0"/>
                <w:sz w:val="24"/>
                <w:szCs w:val="28"/>
              </w:rPr>
            </w:pPr>
            <w:r>
              <w:rPr>
                <w:rFonts w:ascii="仿宋_GB2312" w:eastAsia="仿宋_GB2312" w:hAnsi="Times New Roman" w:cs="宋体" w:hint="eastAsia"/>
                <w:kern w:val="0"/>
                <w:sz w:val="24"/>
                <w:szCs w:val="28"/>
              </w:rPr>
              <w:t>期货公司代码</w:t>
            </w:r>
          </w:p>
        </w:tc>
        <w:tc>
          <w:tcPr>
            <w:tcW w:w="2744" w:type="dxa"/>
            <w:gridSpan w:val="2"/>
            <w:tcBorders>
              <w:top w:val="nil"/>
              <w:left w:val="nil"/>
              <w:bottom w:val="single" w:sz="8" w:space="0" w:color="auto"/>
              <w:right w:val="single" w:sz="8" w:space="0" w:color="auto"/>
            </w:tcBorders>
            <w:shd w:val="clear" w:color="auto" w:fill="FFFFFF"/>
            <w:tcMar>
              <w:left w:w="108" w:type="dxa"/>
              <w:right w:w="108" w:type="dxa"/>
            </w:tcMar>
          </w:tcPr>
          <w:p w:rsidR="00FC3217" w:rsidRDefault="00FC3217" w:rsidP="007E5952">
            <w:pPr>
              <w:widowControl/>
              <w:spacing w:before="100" w:beforeAutospacing="1" w:after="100" w:afterAutospacing="1"/>
              <w:rPr>
                <w:rFonts w:ascii="仿宋_GB2312" w:eastAsia="仿宋_GB2312" w:hAnsi="Times New Roman" w:cs="宋体"/>
                <w:kern w:val="0"/>
                <w:sz w:val="24"/>
                <w:szCs w:val="28"/>
              </w:rPr>
            </w:pPr>
            <w:r>
              <w:rPr>
                <w:rFonts w:ascii="Times New Roman" w:eastAsia="仿宋_GB2312" w:hAnsi="Times New Roman" w:cs="宋体"/>
                <w:kern w:val="0"/>
                <w:sz w:val="24"/>
                <w:szCs w:val="28"/>
              </w:rPr>
              <w:t> </w:t>
            </w:r>
          </w:p>
        </w:tc>
      </w:tr>
      <w:tr w:rsidR="00FC3217" w:rsidTr="007E5952">
        <w:trPr>
          <w:jc w:val="center"/>
        </w:trPr>
        <w:tc>
          <w:tcPr>
            <w:tcW w:w="2093" w:type="dxa"/>
            <w:tcBorders>
              <w:top w:val="nil"/>
              <w:left w:val="single" w:sz="8" w:space="0" w:color="auto"/>
              <w:bottom w:val="single" w:sz="8" w:space="0" w:color="auto"/>
              <w:right w:val="single" w:sz="8" w:space="0" w:color="auto"/>
            </w:tcBorders>
            <w:shd w:val="clear" w:color="auto" w:fill="FFFFFF"/>
            <w:tcMar>
              <w:left w:w="108" w:type="dxa"/>
              <w:right w:w="108" w:type="dxa"/>
            </w:tcMar>
          </w:tcPr>
          <w:p w:rsidR="00FC3217" w:rsidRDefault="00FC3217" w:rsidP="007E5952">
            <w:pPr>
              <w:widowControl/>
              <w:spacing w:before="100" w:beforeAutospacing="1" w:after="100" w:afterAutospacing="1"/>
              <w:rPr>
                <w:rFonts w:ascii="仿宋_GB2312" w:eastAsia="仿宋_GB2312" w:hAnsi="Times New Roman" w:cs="宋体"/>
                <w:kern w:val="0"/>
                <w:sz w:val="24"/>
                <w:szCs w:val="28"/>
              </w:rPr>
            </w:pPr>
            <w:r>
              <w:rPr>
                <w:rFonts w:ascii="仿宋_GB2312" w:eastAsia="仿宋_GB2312" w:hAnsi="Times New Roman" w:cs="宋体" w:hint="eastAsia"/>
                <w:kern w:val="0"/>
                <w:sz w:val="24"/>
                <w:szCs w:val="28"/>
              </w:rPr>
              <w:t>投资者开户日期</w:t>
            </w:r>
          </w:p>
        </w:tc>
        <w:tc>
          <w:tcPr>
            <w:tcW w:w="2532" w:type="dxa"/>
            <w:gridSpan w:val="2"/>
            <w:tcBorders>
              <w:top w:val="nil"/>
              <w:left w:val="nil"/>
              <w:bottom w:val="single" w:sz="8" w:space="0" w:color="auto"/>
              <w:right w:val="single" w:sz="8" w:space="0" w:color="auto"/>
            </w:tcBorders>
            <w:shd w:val="clear" w:color="auto" w:fill="FFFFFF"/>
            <w:tcMar>
              <w:left w:w="108" w:type="dxa"/>
              <w:right w:w="108" w:type="dxa"/>
            </w:tcMar>
          </w:tcPr>
          <w:p w:rsidR="00FC3217" w:rsidRDefault="00FC3217" w:rsidP="007E5952">
            <w:pPr>
              <w:widowControl/>
              <w:spacing w:before="100" w:beforeAutospacing="1" w:after="100" w:afterAutospacing="1"/>
              <w:rPr>
                <w:rFonts w:ascii="仿宋_GB2312" w:eastAsia="仿宋_GB2312" w:hAnsi="Times New Roman" w:cs="宋体"/>
                <w:kern w:val="0"/>
                <w:sz w:val="24"/>
                <w:szCs w:val="28"/>
              </w:rPr>
            </w:pPr>
            <w:r>
              <w:rPr>
                <w:rFonts w:ascii="Times New Roman" w:eastAsia="仿宋_GB2312" w:hAnsi="Times New Roman" w:cs="宋体"/>
                <w:kern w:val="0"/>
                <w:sz w:val="24"/>
                <w:szCs w:val="28"/>
              </w:rPr>
              <w:t> </w:t>
            </w:r>
          </w:p>
        </w:tc>
        <w:tc>
          <w:tcPr>
            <w:tcW w:w="1518" w:type="dxa"/>
            <w:gridSpan w:val="2"/>
            <w:tcBorders>
              <w:top w:val="nil"/>
              <w:left w:val="nil"/>
              <w:bottom w:val="single" w:sz="8" w:space="0" w:color="auto"/>
              <w:right w:val="single" w:sz="8" w:space="0" w:color="auto"/>
            </w:tcBorders>
            <w:shd w:val="clear" w:color="auto" w:fill="FFFFFF"/>
            <w:tcMar>
              <w:left w:w="108" w:type="dxa"/>
              <w:right w:w="108" w:type="dxa"/>
            </w:tcMar>
          </w:tcPr>
          <w:p w:rsidR="00FC3217" w:rsidRDefault="00FC3217" w:rsidP="007E5952">
            <w:pPr>
              <w:widowControl/>
              <w:spacing w:before="100" w:beforeAutospacing="1" w:after="100" w:afterAutospacing="1"/>
              <w:rPr>
                <w:rFonts w:ascii="仿宋_GB2312" w:eastAsia="仿宋_GB2312" w:hAnsi="Times New Roman" w:cs="宋体"/>
                <w:kern w:val="0"/>
                <w:sz w:val="24"/>
                <w:szCs w:val="28"/>
              </w:rPr>
            </w:pPr>
            <w:r>
              <w:rPr>
                <w:rFonts w:ascii="仿宋_GB2312" w:eastAsia="仿宋_GB2312" w:hAnsi="Times New Roman" w:cs="宋体" w:hint="eastAsia"/>
                <w:kern w:val="0"/>
                <w:sz w:val="24"/>
                <w:szCs w:val="28"/>
              </w:rPr>
              <w:t>投资者交易方式</w:t>
            </w:r>
          </w:p>
        </w:tc>
        <w:tc>
          <w:tcPr>
            <w:tcW w:w="2744" w:type="dxa"/>
            <w:gridSpan w:val="2"/>
            <w:tcBorders>
              <w:top w:val="nil"/>
              <w:left w:val="nil"/>
              <w:bottom w:val="single" w:sz="8" w:space="0" w:color="auto"/>
              <w:right w:val="single" w:sz="8" w:space="0" w:color="auto"/>
            </w:tcBorders>
            <w:shd w:val="clear" w:color="auto" w:fill="FFFFFF"/>
            <w:tcMar>
              <w:left w:w="108" w:type="dxa"/>
              <w:right w:w="108" w:type="dxa"/>
            </w:tcMar>
          </w:tcPr>
          <w:p w:rsidR="00FC3217" w:rsidRDefault="00FC3217" w:rsidP="007E5952">
            <w:pPr>
              <w:widowControl/>
              <w:spacing w:before="100" w:beforeAutospacing="1" w:after="100" w:afterAutospacing="1"/>
              <w:rPr>
                <w:rFonts w:ascii="仿宋_GB2312" w:eastAsia="仿宋_GB2312" w:hAnsi="Times New Roman" w:cs="宋体"/>
                <w:kern w:val="0"/>
                <w:sz w:val="24"/>
                <w:szCs w:val="28"/>
              </w:rPr>
            </w:pPr>
            <w:r>
              <w:rPr>
                <w:rFonts w:ascii="Times New Roman" w:eastAsia="仿宋_GB2312" w:hAnsi="Times New Roman" w:cs="宋体"/>
                <w:kern w:val="0"/>
                <w:sz w:val="24"/>
                <w:szCs w:val="28"/>
              </w:rPr>
              <w:t> </w:t>
            </w:r>
          </w:p>
        </w:tc>
      </w:tr>
      <w:tr w:rsidR="00FC3217" w:rsidTr="007E5952">
        <w:trPr>
          <w:jc w:val="center"/>
        </w:trPr>
        <w:tc>
          <w:tcPr>
            <w:tcW w:w="8887" w:type="dxa"/>
            <w:gridSpan w:val="7"/>
            <w:tcBorders>
              <w:top w:val="nil"/>
              <w:left w:val="single" w:sz="8" w:space="0" w:color="auto"/>
              <w:bottom w:val="single" w:sz="8" w:space="0" w:color="auto"/>
              <w:right w:val="single" w:sz="8" w:space="0" w:color="auto"/>
            </w:tcBorders>
            <w:shd w:val="clear" w:color="auto" w:fill="FFFFFF"/>
            <w:tcMar>
              <w:left w:w="108" w:type="dxa"/>
              <w:right w:w="108" w:type="dxa"/>
            </w:tcMar>
          </w:tcPr>
          <w:p w:rsidR="00FC3217" w:rsidRDefault="00FC3217" w:rsidP="007E5952">
            <w:pPr>
              <w:widowControl/>
              <w:spacing w:before="100" w:beforeAutospacing="1" w:after="100" w:afterAutospacing="1"/>
              <w:ind w:firstLine="360"/>
              <w:rPr>
                <w:rFonts w:ascii="仿宋_GB2312" w:eastAsia="仿宋_GB2312" w:hAnsi="Times New Roman" w:cs="宋体"/>
                <w:kern w:val="0"/>
                <w:sz w:val="24"/>
                <w:szCs w:val="28"/>
              </w:rPr>
            </w:pPr>
            <w:r>
              <w:rPr>
                <w:rFonts w:ascii="仿宋_GB2312" w:eastAsia="仿宋_GB2312" w:hAnsi="Times New Roman" w:cs="宋体" w:hint="eastAsia"/>
                <w:kern w:val="0"/>
                <w:sz w:val="24"/>
                <w:szCs w:val="28"/>
              </w:rPr>
              <w:t>经审核，本公司保证本报告所有内容的真实性和准确性，不存在任何隐瞒或者遗漏。</w:t>
            </w:r>
          </w:p>
          <w:p w:rsidR="00FC3217" w:rsidRDefault="00FC3217" w:rsidP="007E5952">
            <w:pPr>
              <w:widowControl/>
              <w:spacing w:before="100" w:beforeAutospacing="1" w:after="100" w:afterAutospacing="1"/>
              <w:rPr>
                <w:rFonts w:ascii="仿宋_GB2312" w:eastAsia="仿宋_GB2312" w:hAnsi="Times New Roman" w:cs="宋体"/>
                <w:kern w:val="0"/>
                <w:sz w:val="24"/>
                <w:szCs w:val="28"/>
              </w:rPr>
            </w:pPr>
            <w:r>
              <w:rPr>
                <w:rFonts w:ascii="Times New Roman" w:eastAsia="仿宋_GB2312" w:hAnsi="Times New Roman" w:cs="宋体"/>
                <w:kern w:val="0"/>
                <w:sz w:val="24"/>
                <w:szCs w:val="28"/>
              </w:rPr>
              <w:t> </w:t>
            </w:r>
          </w:p>
          <w:p w:rsidR="00FC3217" w:rsidRDefault="00FC3217" w:rsidP="007E5952">
            <w:pPr>
              <w:widowControl/>
              <w:spacing w:before="100" w:beforeAutospacing="1" w:after="100" w:afterAutospacing="1"/>
              <w:jc w:val="right"/>
              <w:rPr>
                <w:rFonts w:ascii="仿宋_GB2312" w:eastAsia="仿宋_GB2312" w:hAnsi="Times New Roman" w:cs="宋体"/>
                <w:kern w:val="0"/>
                <w:sz w:val="24"/>
                <w:szCs w:val="28"/>
              </w:rPr>
            </w:pPr>
            <w:r>
              <w:rPr>
                <w:rFonts w:ascii="仿宋_GB2312" w:eastAsia="仿宋_GB2312" w:hAnsi="Times New Roman" w:cs="宋体" w:hint="eastAsia"/>
                <w:kern w:val="0"/>
                <w:sz w:val="24"/>
                <w:szCs w:val="28"/>
              </w:rPr>
              <w:t xml:space="preserve">期货公司单位盖章：　　　　　　　　　　　　　　　　　　　　　　　报告日期：　　　年　</w:t>
            </w:r>
            <w:r>
              <w:rPr>
                <w:rFonts w:ascii="Times New Roman" w:eastAsia="仿宋_GB2312" w:hAnsi="Times New Roman" w:cs="宋体"/>
                <w:kern w:val="0"/>
                <w:sz w:val="24"/>
                <w:szCs w:val="28"/>
              </w:rPr>
              <w:t> </w:t>
            </w:r>
            <w:r>
              <w:rPr>
                <w:rFonts w:ascii="仿宋_GB2312" w:eastAsia="仿宋_GB2312" w:hAnsi="Times New Roman" w:cs="宋体" w:hint="eastAsia"/>
                <w:kern w:val="0"/>
                <w:sz w:val="24"/>
                <w:szCs w:val="28"/>
              </w:rPr>
              <w:t xml:space="preserve">月　</w:t>
            </w:r>
            <w:r>
              <w:rPr>
                <w:rFonts w:ascii="Times New Roman" w:eastAsia="仿宋_GB2312" w:hAnsi="Times New Roman" w:cs="宋体"/>
                <w:kern w:val="0"/>
                <w:sz w:val="24"/>
                <w:szCs w:val="28"/>
              </w:rPr>
              <w:t> </w:t>
            </w:r>
            <w:r>
              <w:rPr>
                <w:rFonts w:ascii="仿宋_GB2312" w:eastAsia="仿宋_GB2312" w:hAnsi="Times New Roman" w:cs="宋体" w:hint="eastAsia"/>
                <w:kern w:val="0"/>
                <w:sz w:val="24"/>
                <w:szCs w:val="28"/>
              </w:rPr>
              <w:t>日</w:t>
            </w:r>
          </w:p>
        </w:tc>
      </w:tr>
    </w:tbl>
    <w:p w:rsidR="00FC3217" w:rsidRDefault="00FC3217" w:rsidP="00FC3217">
      <w:pPr>
        <w:jc w:val="center"/>
        <w:rPr>
          <w:rFonts w:ascii="仿宋_GB2312" w:eastAsia="仿宋_GB2312"/>
          <w:color w:val="000000"/>
          <w:sz w:val="28"/>
          <w:szCs w:val="28"/>
        </w:rPr>
      </w:pPr>
    </w:p>
    <w:p w:rsidR="00FC3217" w:rsidRDefault="00FC3217" w:rsidP="00FC3217">
      <w:pPr>
        <w:pStyle w:val="2"/>
        <w:ind w:firstLine="562"/>
      </w:pPr>
      <w:bookmarkStart w:id="595" w:name="_Toc408749949"/>
      <w:bookmarkStart w:id="596" w:name="_Toc23588"/>
      <w:bookmarkStart w:id="597" w:name="_Toc9616"/>
      <w:bookmarkStart w:id="598" w:name="_Toc28696"/>
      <w:bookmarkStart w:id="599" w:name="_Toc25944"/>
      <w:bookmarkStart w:id="600" w:name="_Toc23947045"/>
      <w:r>
        <w:rPr>
          <w:rFonts w:hint="eastAsia"/>
        </w:rPr>
        <w:lastRenderedPageBreak/>
        <w:t>附件六：中间介绍业务协议范本</w:t>
      </w:r>
      <w:bookmarkEnd w:id="595"/>
      <w:bookmarkEnd w:id="596"/>
      <w:bookmarkEnd w:id="597"/>
      <w:bookmarkEnd w:id="598"/>
      <w:bookmarkEnd w:id="599"/>
      <w:bookmarkEnd w:id="600"/>
    </w:p>
    <w:p w:rsidR="00FC3217" w:rsidRDefault="00FC3217" w:rsidP="00FC3217">
      <w:pPr>
        <w:autoSpaceDN w:val="0"/>
        <w:spacing w:line="480" w:lineRule="exact"/>
        <w:jc w:val="center"/>
        <w:rPr>
          <w:rFonts w:ascii="黑体" w:eastAsia="黑体" w:hAnsi="黑体"/>
          <w:sz w:val="44"/>
          <w:szCs w:val="44"/>
        </w:rPr>
      </w:pPr>
      <w:r>
        <w:rPr>
          <w:rFonts w:ascii="黑体" w:eastAsia="黑体" w:hAnsi="黑体" w:hint="eastAsia"/>
          <w:sz w:val="44"/>
          <w:szCs w:val="44"/>
        </w:rPr>
        <w:t>期货公司为期权经营机构提供股票期权</w:t>
      </w:r>
    </w:p>
    <w:p w:rsidR="00FC3217" w:rsidRDefault="00FC3217" w:rsidP="00FC3217">
      <w:pPr>
        <w:autoSpaceDN w:val="0"/>
        <w:spacing w:line="480" w:lineRule="exact"/>
        <w:jc w:val="center"/>
        <w:rPr>
          <w:rFonts w:hAnsi="宋体"/>
          <w:sz w:val="30"/>
          <w:szCs w:val="30"/>
        </w:rPr>
      </w:pPr>
      <w:r>
        <w:rPr>
          <w:rFonts w:ascii="黑体" w:eastAsia="黑体" w:hAnsi="黑体" w:hint="eastAsia"/>
          <w:sz w:val="44"/>
          <w:szCs w:val="44"/>
        </w:rPr>
        <w:t>中间</w:t>
      </w:r>
      <w:r>
        <w:rPr>
          <w:rFonts w:ascii="黑体" w:eastAsia="黑体" w:hAnsi="黑体"/>
          <w:sz w:val="44"/>
          <w:szCs w:val="44"/>
        </w:rPr>
        <w:t>介绍业务协议</w:t>
      </w:r>
      <w:r>
        <w:rPr>
          <w:rFonts w:ascii="黑体" w:eastAsia="黑体" w:hAnsi="黑体" w:hint="eastAsia"/>
          <w:sz w:val="44"/>
          <w:szCs w:val="44"/>
        </w:rPr>
        <w:t>参考范本</w:t>
      </w:r>
    </w:p>
    <w:p w:rsidR="00FC3217" w:rsidRDefault="00FC3217" w:rsidP="00FC3217">
      <w:pPr>
        <w:autoSpaceDN w:val="0"/>
        <w:spacing w:line="600" w:lineRule="exact"/>
        <w:ind w:firstLineChars="200" w:firstLine="560"/>
        <w:jc w:val="left"/>
        <w:rPr>
          <w:rFonts w:ascii="仿宋_GB2312" w:eastAsia="仿宋_GB2312" w:hAnsi="宋体"/>
          <w:sz w:val="28"/>
          <w:szCs w:val="28"/>
        </w:rPr>
      </w:pPr>
      <w:r>
        <w:rPr>
          <w:rFonts w:ascii="仿宋_GB2312" w:eastAsia="仿宋_GB2312" w:hAnsi="仿宋_GB2312"/>
          <w:sz w:val="28"/>
          <w:szCs w:val="28"/>
        </w:rPr>
        <w:t xml:space="preserve">甲方 : </w:t>
      </w:r>
      <w:r>
        <w:rPr>
          <w:rFonts w:ascii="仿宋_GB2312" w:eastAsia="仿宋_GB2312" w:hAnsi="仿宋_GB2312"/>
          <w:sz w:val="28"/>
          <w:szCs w:val="28"/>
          <w:u w:val="single"/>
        </w:rPr>
        <w:t xml:space="preserve">            </w:t>
      </w:r>
      <w:r>
        <w:rPr>
          <w:rFonts w:ascii="仿宋_GB2312" w:eastAsia="仿宋_GB2312" w:hAnsi="仿宋_GB2312" w:hint="eastAsia"/>
          <w:sz w:val="28"/>
          <w:szCs w:val="28"/>
          <w:u w:val="single"/>
        </w:rPr>
        <w:t>（</w:t>
      </w:r>
      <w:r>
        <w:rPr>
          <w:rFonts w:ascii="仿宋_GB2312" w:eastAsia="仿宋_GB2312" w:hAnsi="仿宋_GB2312"/>
          <w:sz w:val="28"/>
          <w:szCs w:val="28"/>
        </w:rPr>
        <w:t>期货公司</w:t>
      </w:r>
      <w:r>
        <w:rPr>
          <w:rFonts w:ascii="仿宋_GB2312" w:eastAsia="仿宋_GB2312" w:hAnsi="仿宋_GB2312" w:hint="eastAsia"/>
          <w:sz w:val="28"/>
          <w:szCs w:val="28"/>
        </w:rPr>
        <w:t>）</w:t>
      </w:r>
      <w:r>
        <w:rPr>
          <w:rFonts w:ascii="仿宋_GB2312" w:eastAsia="仿宋_GB2312" w:hAnsi="仿宋_GB2312"/>
          <w:sz w:val="28"/>
          <w:szCs w:val="28"/>
        </w:rPr>
        <w:t xml:space="preserve">                 </w:t>
      </w:r>
    </w:p>
    <w:p w:rsidR="00FC3217" w:rsidRDefault="00FC3217" w:rsidP="00FC3217">
      <w:pPr>
        <w:autoSpaceDN w:val="0"/>
        <w:spacing w:line="600" w:lineRule="exact"/>
        <w:ind w:firstLineChars="200" w:firstLine="560"/>
        <w:jc w:val="left"/>
        <w:rPr>
          <w:rFonts w:ascii="仿宋_GB2312" w:eastAsia="仿宋_GB2312" w:hAnsi="宋体"/>
          <w:sz w:val="28"/>
          <w:szCs w:val="28"/>
        </w:rPr>
      </w:pPr>
      <w:r>
        <w:rPr>
          <w:rFonts w:ascii="仿宋_GB2312" w:eastAsia="仿宋_GB2312" w:hAnsi="仿宋_GB2312"/>
          <w:sz w:val="28"/>
          <w:szCs w:val="28"/>
        </w:rPr>
        <w:t xml:space="preserve">乙方 : </w:t>
      </w:r>
      <w:r>
        <w:rPr>
          <w:rFonts w:ascii="仿宋_GB2312" w:eastAsia="仿宋_GB2312" w:hAnsi="仿宋_GB2312"/>
          <w:sz w:val="28"/>
          <w:szCs w:val="28"/>
          <w:u w:val="single"/>
        </w:rPr>
        <w:t xml:space="preserve">            </w:t>
      </w:r>
      <w:r>
        <w:rPr>
          <w:rFonts w:ascii="仿宋_GB2312" w:eastAsia="仿宋_GB2312" w:hAnsi="仿宋_GB2312" w:hint="eastAsia"/>
          <w:sz w:val="28"/>
          <w:szCs w:val="28"/>
          <w:u w:val="single"/>
        </w:rPr>
        <w:t>（</w:t>
      </w:r>
      <w:r>
        <w:rPr>
          <w:rFonts w:ascii="仿宋_GB2312" w:eastAsia="仿宋_GB2312" w:hAnsi="仿宋_GB2312"/>
          <w:sz w:val="28"/>
          <w:szCs w:val="28"/>
        </w:rPr>
        <w:t>证券公司</w:t>
      </w:r>
      <w:r>
        <w:rPr>
          <w:rFonts w:ascii="仿宋_GB2312" w:eastAsia="仿宋_GB2312" w:hAnsi="仿宋_GB2312" w:hint="eastAsia"/>
          <w:sz w:val="28"/>
          <w:szCs w:val="28"/>
        </w:rPr>
        <w:t>或期货公司）</w:t>
      </w:r>
      <w:r>
        <w:rPr>
          <w:rFonts w:ascii="仿宋_GB2312" w:eastAsia="仿宋_GB2312" w:hAnsi="仿宋_GB2312"/>
          <w:sz w:val="28"/>
          <w:szCs w:val="28"/>
        </w:rPr>
        <w:t xml:space="preserve">   </w:t>
      </w:r>
    </w:p>
    <w:p w:rsidR="00FC3217" w:rsidRDefault="00FC3217" w:rsidP="00FC3217">
      <w:pPr>
        <w:autoSpaceDN w:val="0"/>
        <w:spacing w:line="600" w:lineRule="exact"/>
        <w:ind w:firstLineChars="200" w:firstLine="560"/>
        <w:jc w:val="left"/>
        <w:rPr>
          <w:rFonts w:ascii="仿宋_GB2312" w:eastAsia="仿宋_GB2312" w:hAnsi="仿宋_GB2312"/>
          <w:sz w:val="28"/>
          <w:szCs w:val="28"/>
        </w:rPr>
      </w:pPr>
      <w:r>
        <w:rPr>
          <w:rFonts w:ascii="仿宋_GB2312" w:eastAsia="仿宋_GB2312" w:hAnsi="仿宋_GB2312"/>
          <w:sz w:val="28"/>
          <w:szCs w:val="28"/>
        </w:rPr>
        <w:t>依据《合同法》、《股票期权交易</w:t>
      </w:r>
      <w:r>
        <w:rPr>
          <w:rFonts w:ascii="仿宋_GB2312" w:eastAsia="仿宋_GB2312" w:hAnsi="仿宋_GB2312" w:hint="eastAsia"/>
          <w:sz w:val="28"/>
          <w:szCs w:val="28"/>
        </w:rPr>
        <w:t>试点管理办法</w:t>
      </w:r>
      <w:r>
        <w:rPr>
          <w:rFonts w:ascii="仿宋_GB2312" w:eastAsia="仿宋_GB2312" w:hAnsi="仿宋_GB2312"/>
          <w:sz w:val="28"/>
          <w:szCs w:val="28"/>
        </w:rPr>
        <w:t>》、</w:t>
      </w:r>
      <w:r>
        <w:rPr>
          <w:rFonts w:ascii="仿宋_GB2312" w:eastAsia="仿宋_GB2312" w:hAnsi="仿宋_GB2312" w:hint="eastAsia"/>
          <w:sz w:val="28"/>
          <w:szCs w:val="28"/>
        </w:rPr>
        <w:t>《证券期货经营机构参与股票期权交易试点指引》</w:t>
      </w:r>
      <w:r>
        <w:rPr>
          <w:rFonts w:ascii="仿宋_GB2312" w:eastAsia="仿宋_GB2312" w:hAnsi="仿宋_GB2312"/>
          <w:sz w:val="28"/>
          <w:szCs w:val="28"/>
        </w:rPr>
        <w:t>及其他相关法律、法规的规定，甲乙双方经友好协商，就甲方为乙方提供股票期权</w:t>
      </w:r>
      <w:r>
        <w:rPr>
          <w:rFonts w:ascii="仿宋_GB2312" w:eastAsia="仿宋_GB2312" w:hAnsi="仿宋_GB2312" w:hint="eastAsia"/>
          <w:sz w:val="28"/>
          <w:szCs w:val="28"/>
        </w:rPr>
        <w:t>中间</w:t>
      </w:r>
      <w:r>
        <w:rPr>
          <w:rFonts w:ascii="仿宋_GB2312" w:eastAsia="仿宋_GB2312" w:hAnsi="仿宋_GB2312"/>
          <w:sz w:val="28"/>
          <w:szCs w:val="28"/>
        </w:rPr>
        <w:t>介绍业务（以下简称介绍业务）有关事宜达成如下协议：</w:t>
      </w:r>
    </w:p>
    <w:p w:rsidR="00FC3217" w:rsidRDefault="00FC3217" w:rsidP="00FC3217">
      <w:pPr>
        <w:autoSpaceDN w:val="0"/>
        <w:spacing w:line="600" w:lineRule="exact"/>
        <w:jc w:val="center"/>
        <w:rPr>
          <w:rFonts w:ascii="仿宋_GB2312" w:eastAsia="仿宋_GB2312" w:hAnsi="宋体"/>
          <w:sz w:val="28"/>
          <w:szCs w:val="28"/>
        </w:rPr>
      </w:pPr>
      <w:r>
        <w:rPr>
          <w:rFonts w:ascii="仿宋_GB2312" w:eastAsia="仿宋_GB2312" w:hAnsi="仿宋_GB2312"/>
          <w:sz w:val="28"/>
          <w:szCs w:val="28"/>
        </w:rPr>
        <w:t xml:space="preserve"> </w:t>
      </w:r>
      <w:r>
        <w:rPr>
          <w:rFonts w:ascii="仿宋_GB2312" w:eastAsia="仿宋_GB2312" w:hAnsi="仿宋_GB2312"/>
          <w:b/>
          <w:sz w:val="28"/>
          <w:szCs w:val="28"/>
        </w:rPr>
        <w:t>第一章    双方声明</w:t>
      </w:r>
    </w:p>
    <w:p w:rsidR="00FC3217" w:rsidRDefault="00FC3217" w:rsidP="00FC3217">
      <w:pPr>
        <w:widowControl/>
        <w:numPr>
          <w:ilvl w:val="0"/>
          <w:numId w:val="8"/>
        </w:numPr>
        <w:shd w:val="clear" w:color="auto" w:fill="FFFFFF"/>
        <w:spacing w:line="600" w:lineRule="exact"/>
        <w:ind w:left="0" w:firstLineChars="200" w:firstLine="560"/>
        <w:jc w:val="left"/>
        <w:rPr>
          <w:rFonts w:ascii="仿宋_GB2312" w:eastAsia="仿宋_GB2312" w:hAnsi="微软雅黑" w:cs="宋体"/>
          <w:kern w:val="0"/>
          <w:sz w:val="28"/>
          <w:szCs w:val="28"/>
        </w:rPr>
      </w:pPr>
      <w:r>
        <w:rPr>
          <w:rFonts w:ascii="仿宋_GB2312" w:eastAsia="仿宋_GB2312" w:hAnsi="仿宋_GB2312"/>
          <w:sz w:val="28"/>
          <w:szCs w:val="28"/>
        </w:rPr>
        <w:t>甲方向乙方作如下声明</w:t>
      </w:r>
      <w:r>
        <w:rPr>
          <w:rFonts w:ascii="仿宋_GB2312" w:eastAsia="仿宋_GB2312" w:hAnsi="仿宋_GB2312" w:hint="eastAsia"/>
          <w:sz w:val="28"/>
          <w:szCs w:val="28"/>
        </w:rPr>
        <w:t>：</w:t>
      </w:r>
    </w:p>
    <w:p w:rsidR="00FC3217" w:rsidRDefault="00FC3217" w:rsidP="00FC3217">
      <w:pPr>
        <w:pStyle w:val="af2"/>
        <w:autoSpaceDN w:val="0"/>
        <w:spacing w:line="600" w:lineRule="exact"/>
        <w:ind w:firstLine="560"/>
        <w:jc w:val="left"/>
        <w:rPr>
          <w:rFonts w:ascii="仿宋_GB2312" w:eastAsia="仿宋_GB2312" w:hAnsi="仿宋_GB2312"/>
          <w:sz w:val="28"/>
          <w:szCs w:val="28"/>
        </w:rPr>
      </w:pPr>
      <w:r>
        <w:rPr>
          <w:rFonts w:ascii="仿宋_GB2312" w:eastAsia="仿宋_GB2312" w:hAnsi="仿宋_GB2312"/>
          <w:sz w:val="28"/>
          <w:szCs w:val="28"/>
        </w:rPr>
        <w:t xml:space="preserve">（一）甲方为依法设立的期货公司。     </w:t>
      </w:r>
    </w:p>
    <w:p w:rsidR="00FC3217" w:rsidRDefault="00FC3217" w:rsidP="00FC3217">
      <w:pPr>
        <w:pStyle w:val="af2"/>
        <w:autoSpaceDN w:val="0"/>
        <w:spacing w:line="600" w:lineRule="exact"/>
        <w:ind w:firstLine="560"/>
        <w:jc w:val="left"/>
        <w:rPr>
          <w:rFonts w:ascii="仿宋_GB2312" w:eastAsia="仿宋_GB2312" w:hAnsi="宋体"/>
          <w:sz w:val="28"/>
          <w:szCs w:val="28"/>
        </w:rPr>
      </w:pPr>
      <w:r>
        <w:rPr>
          <w:rFonts w:ascii="仿宋_GB2312" w:eastAsia="仿宋_GB2312" w:hAnsi="仿宋_GB2312"/>
          <w:sz w:val="28"/>
          <w:szCs w:val="28"/>
        </w:rPr>
        <w:t xml:space="preserve">（二）甲方具有相应的人员、经营场所、设备和信息系统，能够为进行介绍业务提供必要的条件。 </w:t>
      </w:r>
    </w:p>
    <w:p w:rsidR="00FC3217" w:rsidRDefault="00FC3217" w:rsidP="00FC3217">
      <w:pPr>
        <w:pStyle w:val="af2"/>
        <w:autoSpaceDN w:val="0"/>
        <w:spacing w:line="600" w:lineRule="exact"/>
        <w:ind w:firstLine="560"/>
        <w:jc w:val="left"/>
        <w:rPr>
          <w:rFonts w:ascii="仿宋_GB2312" w:eastAsia="仿宋_GB2312" w:hAnsi="仿宋_GB2312"/>
          <w:sz w:val="28"/>
          <w:szCs w:val="28"/>
        </w:rPr>
      </w:pPr>
      <w:r>
        <w:rPr>
          <w:rFonts w:ascii="仿宋_GB2312" w:eastAsia="仿宋_GB2312" w:hAnsi="仿宋_GB2312"/>
          <w:sz w:val="28"/>
          <w:szCs w:val="28"/>
        </w:rPr>
        <w:t xml:space="preserve">（三）甲方对所属营业部开展的介绍业务实行统一管理。 </w:t>
      </w:r>
    </w:p>
    <w:p w:rsidR="00FC3217" w:rsidRDefault="00FC3217" w:rsidP="00FC3217">
      <w:pPr>
        <w:pStyle w:val="af2"/>
        <w:autoSpaceDN w:val="0"/>
        <w:spacing w:line="600" w:lineRule="exact"/>
        <w:ind w:firstLine="560"/>
        <w:jc w:val="left"/>
        <w:rPr>
          <w:rFonts w:ascii="仿宋_GB2312" w:eastAsia="仿宋_GB2312" w:hAnsi="仿宋_GB2312"/>
          <w:sz w:val="28"/>
          <w:szCs w:val="28"/>
        </w:rPr>
      </w:pPr>
      <w:r>
        <w:rPr>
          <w:rFonts w:ascii="仿宋_GB2312" w:eastAsia="仿宋_GB2312" w:hAnsi="仿宋_GB2312"/>
          <w:sz w:val="28"/>
          <w:szCs w:val="28"/>
        </w:rPr>
        <w:t>甲方保证上述声明的真实性、准确性，并承诺承担因违背上述声明给自己及他人造成的损失</w:t>
      </w:r>
    </w:p>
    <w:p w:rsidR="00FC3217" w:rsidRDefault="00FC3217" w:rsidP="00FC3217">
      <w:pPr>
        <w:widowControl/>
        <w:numPr>
          <w:ilvl w:val="0"/>
          <w:numId w:val="8"/>
        </w:numPr>
        <w:shd w:val="clear" w:color="auto" w:fill="FFFFFF"/>
        <w:autoSpaceDN w:val="0"/>
        <w:spacing w:line="600" w:lineRule="exact"/>
        <w:ind w:left="0" w:firstLineChars="200" w:firstLine="560"/>
        <w:jc w:val="left"/>
        <w:rPr>
          <w:rFonts w:ascii="仿宋_GB2312" w:eastAsia="仿宋_GB2312" w:hAnsi="宋体"/>
          <w:sz w:val="28"/>
          <w:szCs w:val="28"/>
        </w:rPr>
      </w:pPr>
      <w:r>
        <w:rPr>
          <w:rFonts w:ascii="仿宋_GB2312" w:eastAsia="仿宋_GB2312" w:hAnsi="仿宋_GB2312"/>
          <w:sz w:val="28"/>
          <w:szCs w:val="28"/>
        </w:rPr>
        <w:t>乙方向甲方作如下声明：</w:t>
      </w:r>
    </w:p>
    <w:p w:rsidR="00FC3217" w:rsidRDefault="00FC3217" w:rsidP="00FC3217">
      <w:pPr>
        <w:pStyle w:val="af2"/>
        <w:autoSpaceDN w:val="0"/>
        <w:spacing w:line="600" w:lineRule="exact"/>
        <w:ind w:firstLine="560"/>
        <w:jc w:val="left"/>
        <w:rPr>
          <w:rFonts w:ascii="仿宋_GB2312" w:eastAsia="仿宋_GB2312" w:hAnsi="仿宋_GB2312"/>
          <w:sz w:val="28"/>
          <w:szCs w:val="28"/>
        </w:rPr>
      </w:pPr>
      <w:r>
        <w:rPr>
          <w:rFonts w:ascii="仿宋_GB2312" w:eastAsia="仿宋_GB2312" w:hAnsi="仿宋_GB2312"/>
          <w:sz w:val="28"/>
          <w:szCs w:val="28"/>
        </w:rPr>
        <w:t>（一）乙方为依法设立的证券公司</w:t>
      </w:r>
      <w:r>
        <w:rPr>
          <w:rFonts w:ascii="仿宋_GB2312" w:eastAsia="仿宋_GB2312" w:hAnsi="仿宋_GB2312" w:hint="eastAsia"/>
          <w:sz w:val="28"/>
          <w:szCs w:val="28"/>
        </w:rPr>
        <w:t>或期货公司</w:t>
      </w:r>
      <w:r>
        <w:rPr>
          <w:rFonts w:ascii="仿宋_GB2312" w:eastAsia="仿宋_GB2312" w:hAnsi="仿宋_GB2312"/>
          <w:sz w:val="28"/>
          <w:szCs w:val="28"/>
        </w:rPr>
        <w:t xml:space="preserve">，具有股票期权经纪业务资格。    </w:t>
      </w:r>
    </w:p>
    <w:p w:rsidR="00FC3217" w:rsidRDefault="00FC3217" w:rsidP="00FC3217">
      <w:pPr>
        <w:pStyle w:val="af2"/>
        <w:autoSpaceDN w:val="0"/>
        <w:spacing w:line="600" w:lineRule="exact"/>
        <w:ind w:firstLine="560"/>
        <w:jc w:val="left"/>
        <w:rPr>
          <w:rFonts w:ascii="仿宋_GB2312" w:eastAsia="仿宋_GB2312" w:hAnsi="宋体"/>
          <w:sz w:val="28"/>
          <w:szCs w:val="28"/>
        </w:rPr>
      </w:pPr>
      <w:r>
        <w:rPr>
          <w:rFonts w:ascii="仿宋_GB2312" w:eastAsia="仿宋_GB2312" w:hAnsi="仿宋_GB2312"/>
          <w:sz w:val="28"/>
          <w:szCs w:val="28"/>
        </w:rPr>
        <w:t xml:space="preserve">（二）乙方具有相应的人员、经营场所、设备和信息系统，能够为甲方开展介绍业务提供必要的条件。 </w:t>
      </w:r>
    </w:p>
    <w:p w:rsidR="00FC3217" w:rsidRDefault="00FC3217" w:rsidP="00FC3217">
      <w:pPr>
        <w:widowControl/>
        <w:shd w:val="clear" w:color="auto" w:fill="FFFFFF"/>
        <w:autoSpaceDN w:val="0"/>
        <w:spacing w:line="600" w:lineRule="exact"/>
        <w:ind w:firstLineChars="200" w:firstLine="560"/>
        <w:jc w:val="left"/>
        <w:rPr>
          <w:rFonts w:ascii="仿宋_GB2312" w:eastAsia="仿宋_GB2312" w:hAnsi="仿宋_GB2312"/>
          <w:sz w:val="28"/>
          <w:szCs w:val="28"/>
        </w:rPr>
      </w:pPr>
      <w:r>
        <w:rPr>
          <w:rFonts w:ascii="仿宋_GB2312" w:eastAsia="仿宋_GB2312" w:hAnsi="仿宋_GB2312" w:hint="eastAsia"/>
          <w:sz w:val="28"/>
          <w:szCs w:val="28"/>
        </w:rPr>
        <w:lastRenderedPageBreak/>
        <w:t>乙方保证上述声明的真实性、准确性，并承诺承担因违背上述声明给自己及他人造成的损失。</w:t>
      </w:r>
    </w:p>
    <w:p w:rsidR="00FC3217" w:rsidRDefault="00FC3217" w:rsidP="00FC3217">
      <w:pPr>
        <w:widowControl/>
        <w:shd w:val="clear" w:color="auto" w:fill="FFFFFF"/>
        <w:autoSpaceDN w:val="0"/>
        <w:spacing w:line="600" w:lineRule="exact"/>
        <w:jc w:val="center"/>
        <w:rPr>
          <w:rFonts w:ascii="仿宋_GB2312" w:eastAsia="仿宋_GB2312" w:hAnsi="宋体"/>
          <w:sz w:val="28"/>
          <w:szCs w:val="28"/>
        </w:rPr>
      </w:pPr>
      <w:r>
        <w:rPr>
          <w:rFonts w:ascii="仿宋_GB2312" w:eastAsia="仿宋_GB2312" w:hAnsi="仿宋_GB2312"/>
          <w:b/>
          <w:sz w:val="28"/>
          <w:szCs w:val="28"/>
        </w:rPr>
        <w:t xml:space="preserve">第二章 </w:t>
      </w:r>
      <w:r>
        <w:rPr>
          <w:rFonts w:ascii="仿宋_GB2312" w:eastAsia="仿宋_GB2312" w:hAnsi="宋体"/>
          <w:b/>
          <w:sz w:val="28"/>
          <w:szCs w:val="28"/>
        </w:rPr>
        <w:t xml:space="preserve">    </w:t>
      </w:r>
      <w:r>
        <w:rPr>
          <w:rFonts w:ascii="仿宋_GB2312" w:eastAsia="仿宋_GB2312" w:hAnsi="仿宋_GB2312"/>
          <w:b/>
          <w:sz w:val="28"/>
          <w:szCs w:val="28"/>
        </w:rPr>
        <w:t>介绍业务范围</w:t>
      </w:r>
    </w:p>
    <w:p w:rsidR="00FC3217" w:rsidRDefault="00FC3217" w:rsidP="00FC3217">
      <w:pPr>
        <w:widowControl/>
        <w:numPr>
          <w:ilvl w:val="0"/>
          <w:numId w:val="8"/>
        </w:numPr>
        <w:shd w:val="clear" w:color="auto" w:fill="FFFFFF"/>
        <w:autoSpaceDN w:val="0"/>
        <w:spacing w:line="600" w:lineRule="exact"/>
        <w:ind w:left="0" w:firstLineChars="200" w:firstLine="560"/>
        <w:jc w:val="left"/>
        <w:rPr>
          <w:rFonts w:ascii="仿宋_GB2312" w:eastAsia="仿宋_GB2312" w:hAnsi="宋体"/>
          <w:sz w:val="28"/>
          <w:szCs w:val="28"/>
        </w:rPr>
      </w:pPr>
      <w:r>
        <w:rPr>
          <w:rFonts w:ascii="仿宋_GB2312" w:eastAsia="仿宋_GB2312" w:hAnsi="仿宋_GB2312"/>
          <w:sz w:val="28"/>
          <w:szCs w:val="28"/>
        </w:rPr>
        <w:t>甲方接受乙方委托，为乙方介绍客户参与股票期权交易，并提供下列服务：</w:t>
      </w:r>
    </w:p>
    <w:p w:rsidR="00FC3217" w:rsidRDefault="00FC3217" w:rsidP="00FC3217">
      <w:pPr>
        <w:pStyle w:val="af2"/>
        <w:autoSpaceDN w:val="0"/>
        <w:spacing w:line="600" w:lineRule="exact"/>
        <w:ind w:firstLine="560"/>
        <w:jc w:val="left"/>
        <w:rPr>
          <w:rFonts w:ascii="仿宋_GB2312" w:eastAsia="仿宋_GB2312" w:hAnsi="宋体"/>
          <w:sz w:val="28"/>
          <w:szCs w:val="28"/>
        </w:rPr>
      </w:pPr>
      <w:r>
        <w:rPr>
          <w:rFonts w:ascii="仿宋_GB2312" w:eastAsia="仿宋_GB2312" w:hAnsi="仿宋_GB2312"/>
          <w:sz w:val="28"/>
          <w:szCs w:val="28"/>
        </w:rPr>
        <w:t xml:space="preserve">（一）协助办理客户开户手续； </w:t>
      </w:r>
    </w:p>
    <w:p w:rsidR="00FC3217" w:rsidRDefault="00FC3217" w:rsidP="00FC3217">
      <w:pPr>
        <w:pStyle w:val="af2"/>
        <w:autoSpaceDN w:val="0"/>
        <w:spacing w:line="600" w:lineRule="exact"/>
        <w:ind w:firstLine="560"/>
        <w:jc w:val="left"/>
        <w:rPr>
          <w:rFonts w:ascii="仿宋_GB2312" w:eastAsia="仿宋_GB2312" w:hAnsi="仿宋_GB2312"/>
          <w:sz w:val="28"/>
          <w:szCs w:val="28"/>
        </w:rPr>
      </w:pPr>
      <w:r>
        <w:rPr>
          <w:rFonts w:ascii="仿宋_GB2312" w:eastAsia="仿宋_GB2312" w:hAnsi="仿宋_GB2312"/>
          <w:sz w:val="28"/>
          <w:szCs w:val="28"/>
        </w:rPr>
        <w:t>（二）为客户提供股票期权行情信息、交易设施；</w:t>
      </w:r>
    </w:p>
    <w:p w:rsidR="00FC3217" w:rsidRDefault="00FC3217" w:rsidP="00FC3217">
      <w:pPr>
        <w:pStyle w:val="af2"/>
        <w:autoSpaceDN w:val="0"/>
        <w:spacing w:line="600" w:lineRule="exact"/>
        <w:ind w:firstLine="560"/>
        <w:jc w:val="left"/>
        <w:rPr>
          <w:rFonts w:ascii="仿宋_GB2312" w:eastAsia="仿宋_GB2312" w:hAnsi="宋体"/>
          <w:sz w:val="28"/>
          <w:szCs w:val="28"/>
        </w:rPr>
      </w:pPr>
      <w:r>
        <w:rPr>
          <w:rFonts w:ascii="仿宋_GB2312" w:eastAsia="仿宋_GB2312" w:hAnsi="仿宋_GB2312" w:hint="eastAsia"/>
          <w:sz w:val="28"/>
          <w:szCs w:val="28"/>
        </w:rPr>
        <w:t>（三）协助开展股票期权风险控制；（可选项）</w:t>
      </w:r>
      <w:r>
        <w:rPr>
          <w:rFonts w:ascii="仿宋_GB2312" w:eastAsia="仿宋_GB2312" w:hAnsi="仿宋_GB2312"/>
          <w:sz w:val="28"/>
          <w:szCs w:val="28"/>
        </w:rPr>
        <w:t xml:space="preserve"> </w:t>
      </w:r>
    </w:p>
    <w:p w:rsidR="00FC3217" w:rsidRDefault="00FC3217" w:rsidP="00FC3217">
      <w:pPr>
        <w:pStyle w:val="af2"/>
        <w:autoSpaceDN w:val="0"/>
        <w:spacing w:line="600" w:lineRule="exact"/>
        <w:ind w:firstLine="560"/>
        <w:jc w:val="left"/>
        <w:rPr>
          <w:rFonts w:ascii="仿宋_GB2312" w:eastAsia="仿宋_GB2312" w:hAnsi="宋体"/>
          <w:sz w:val="28"/>
          <w:szCs w:val="28"/>
        </w:rPr>
      </w:pPr>
      <w:r>
        <w:rPr>
          <w:rFonts w:ascii="仿宋_GB2312" w:eastAsia="仿宋_GB2312" w:hAnsi="仿宋_GB2312"/>
          <w:sz w:val="28"/>
          <w:szCs w:val="28"/>
        </w:rPr>
        <w:t xml:space="preserve">（四）双方约定的其他服务。 </w:t>
      </w:r>
    </w:p>
    <w:p w:rsidR="00FC3217" w:rsidRDefault="00FC3217" w:rsidP="00FC3217">
      <w:pPr>
        <w:pStyle w:val="af2"/>
        <w:widowControl/>
        <w:shd w:val="clear" w:color="auto" w:fill="FFFFFF"/>
        <w:autoSpaceDN w:val="0"/>
        <w:spacing w:line="600" w:lineRule="exact"/>
        <w:ind w:firstLine="560"/>
        <w:jc w:val="left"/>
        <w:rPr>
          <w:rFonts w:ascii="仿宋_GB2312" w:eastAsia="仿宋_GB2312" w:hAnsi="宋体"/>
          <w:sz w:val="28"/>
          <w:szCs w:val="28"/>
        </w:rPr>
      </w:pPr>
      <w:r>
        <w:rPr>
          <w:rFonts w:ascii="仿宋_GB2312" w:eastAsia="仿宋_GB2312" w:hAnsi="仿宋_GB2312" w:hint="eastAsia"/>
          <w:sz w:val="28"/>
          <w:szCs w:val="28"/>
        </w:rPr>
        <w:t>介绍业务的报酬及相关费用，由甲乙双方本着平等自愿、互利互惠的原则协商确定。</w:t>
      </w:r>
    </w:p>
    <w:p w:rsidR="00FC3217" w:rsidRDefault="00FC3217" w:rsidP="00FC3217">
      <w:pPr>
        <w:widowControl/>
        <w:numPr>
          <w:ilvl w:val="0"/>
          <w:numId w:val="8"/>
        </w:numPr>
        <w:shd w:val="clear" w:color="auto" w:fill="FFFFFF"/>
        <w:autoSpaceDN w:val="0"/>
        <w:spacing w:line="600" w:lineRule="exact"/>
        <w:ind w:left="0" w:firstLineChars="200" w:firstLine="560"/>
        <w:jc w:val="left"/>
        <w:rPr>
          <w:rFonts w:ascii="仿宋_GB2312" w:eastAsia="仿宋_GB2312" w:hAnsi="宋体"/>
          <w:sz w:val="28"/>
          <w:szCs w:val="28"/>
        </w:rPr>
      </w:pPr>
      <w:r>
        <w:rPr>
          <w:rFonts w:ascii="仿宋_GB2312" w:eastAsia="仿宋_GB2312" w:hAnsi="仿宋_GB2312"/>
          <w:sz w:val="28"/>
          <w:szCs w:val="28"/>
        </w:rPr>
        <w:t>甲方按照本协议约定对乙方承担介绍业务受托责任，甲方与乙方客户之间不存在基于股票期权交易产生的权利义务法律关系。乙方基于股票期权经纪合同直接对客户承担责任</w:t>
      </w:r>
    </w:p>
    <w:p w:rsidR="00FC3217" w:rsidRDefault="00FC3217" w:rsidP="00FC3217">
      <w:pPr>
        <w:widowControl/>
        <w:numPr>
          <w:ilvl w:val="0"/>
          <w:numId w:val="8"/>
        </w:numPr>
        <w:shd w:val="clear" w:color="auto" w:fill="FFFFFF"/>
        <w:autoSpaceDN w:val="0"/>
        <w:spacing w:line="600" w:lineRule="exact"/>
        <w:ind w:left="0" w:firstLineChars="200" w:firstLine="560"/>
        <w:jc w:val="left"/>
        <w:rPr>
          <w:rFonts w:ascii="仿宋_GB2312" w:eastAsia="仿宋_GB2312" w:hAnsi="宋体"/>
          <w:sz w:val="28"/>
          <w:szCs w:val="28"/>
        </w:rPr>
      </w:pPr>
      <w:r>
        <w:rPr>
          <w:rFonts w:ascii="仿宋_GB2312" w:eastAsia="仿宋_GB2312" w:hint="eastAsia"/>
          <w:sz w:val="28"/>
          <w:szCs w:val="28"/>
        </w:rPr>
        <w:t>甲方不得代理客户进行股票期权的交易、结算，不得代客户接收、保管或者修改交易密码，也不得利用客户的衍生品合约账户、股票期权保证金账户进行股票期权交易。</w:t>
      </w:r>
    </w:p>
    <w:p w:rsidR="00FC3217" w:rsidRDefault="00FC3217" w:rsidP="00FC3217">
      <w:pPr>
        <w:widowControl/>
        <w:numPr>
          <w:ilvl w:val="0"/>
          <w:numId w:val="8"/>
        </w:numPr>
        <w:shd w:val="clear" w:color="auto" w:fill="FFFFFF"/>
        <w:autoSpaceDN w:val="0"/>
        <w:spacing w:line="600" w:lineRule="exact"/>
        <w:ind w:left="0" w:firstLineChars="200" w:firstLine="560"/>
        <w:jc w:val="left"/>
        <w:rPr>
          <w:rFonts w:ascii="仿宋_GB2312" w:eastAsia="仿宋_GB2312" w:hAnsi="微软雅黑" w:cs="宋体"/>
          <w:kern w:val="0"/>
          <w:sz w:val="28"/>
          <w:szCs w:val="28"/>
        </w:rPr>
      </w:pPr>
      <w:r>
        <w:rPr>
          <w:rFonts w:ascii="仿宋_GB2312" w:eastAsia="仿宋_GB2312" w:hAnsi="宋体" w:cs="宋体" w:hint="eastAsia"/>
          <w:kern w:val="0"/>
          <w:sz w:val="28"/>
          <w:szCs w:val="28"/>
        </w:rPr>
        <w:t>甲方不得代乙方、客户收付股票期权保证金。</w:t>
      </w:r>
    </w:p>
    <w:p w:rsidR="00FC3217" w:rsidRDefault="00FC3217" w:rsidP="00FC3217">
      <w:pPr>
        <w:widowControl/>
        <w:numPr>
          <w:ilvl w:val="0"/>
          <w:numId w:val="8"/>
        </w:numPr>
        <w:shd w:val="clear" w:color="auto" w:fill="FFFFFF"/>
        <w:autoSpaceDN w:val="0"/>
        <w:spacing w:line="600" w:lineRule="exact"/>
        <w:ind w:left="0" w:firstLineChars="200" w:firstLine="560"/>
        <w:jc w:val="left"/>
        <w:rPr>
          <w:rFonts w:ascii="仿宋_GB2312" w:eastAsia="仿宋_GB2312" w:hAnsi="微软雅黑" w:cs="宋体"/>
          <w:kern w:val="0"/>
          <w:sz w:val="28"/>
          <w:szCs w:val="28"/>
        </w:rPr>
      </w:pPr>
      <w:r>
        <w:rPr>
          <w:rFonts w:ascii="仿宋_GB2312" w:eastAsia="仿宋_GB2312" w:hAnsi="仿宋_GB2312"/>
          <w:sz w:val="28"/>
          <w:szCs w:val="28"/>
        </w:rPr>
        <w:t>甲方不得直接或者间接为客户从事股票期权交易提供融资或担保</w:t>
      </w:r>
      <w:r>
        <w:rPr>
          <w:rFonts w:ascii="仿宋_GB2312" w:eastAsia="仿宋_GB2312" w:hAnsi="仿宋_GB2312" w:hint="eastAsia"/>
          <w:sz w:val="28"/>
          <w:szCs w:val="28"/>
        </w:rPr>
        <w:t>。</w:t>
      </w:r>
    </w:p>
    <w:p w:rsidR="00FC3217" w:rsidRDefault="00FC3217" w:rsidP="00FC3217">
      <w:pPr>
        <w:widowControl/>
        <w:shd w:val="clear" w:color="auto" w:fill="FFFFFF"/>
        <w:autoSpaceDN w:val="0"/>
        <w:spacing w:line="480" w:lineRule="exact"/>
        <w:jc w:val="center"/>
        <w:rPr>
          <w:rFonts w:ascii="仿宋_GB2312" w:eastAsia="仿宋_GB2312" w:hAnsi="微软雅黑" w:cs="宋体"/>
          <w:kern w:val="0"/>
          <w:sz w:val="28"/>
          <w:szCs w:val="28"/>
        </w:rPr>
      </w:pPr>
      <w:r>
        <w:rPr>
          <w:rFonts w:ascii="仿宋_GB2312" w:eastAsia="仿宋_GB2312" w:hAnsi="仿宋_GB2312"/>
          <w:b/>
          <w:sz w:val="28"/>
          <w:szCs w:val="28"/>
        </w:rPr>
        <w:t xml:space="preserve">第三章 </w:t>
      </w:r>
      <w:r>
        <w:rPr>
          <w:rFonts w:hAnsi="宋体"/>
          <w:b/>
          <w:sz w:val="28"/>
          <w:szCs w:val="28"/>
        </w:rPr>
        <w:t xml:space="preserve">         </w:t>
      </w:r>
      <w:r>
        <w:rPr>
          <w:rFonts w:ascii="仿宋_GB2312" w:eastAsia="仿宋_GB2312" w:hAnsi="仿宋_GB2312"/>
          <w:b/>
          <w:sz w:val="28"/>
          <w:szCs w:val="28"/>
        </w:rPr>
        <w:t>介绍业务</w:t>
      </w:r>
      <w:r>
        <w:rPr>
          <w:rFonts w:ascii="仿宋_GB2312" w:eastAsia="仿宋_GB2312" w:hAnsi="仿宋_GB2312" w:hint="eastAsia"/>
          <w:b/>
          <w:sz w:val="28"/>
          <w:szCs w:val="28"/>
        </w:rPr>
        <w:t>对接管理</w:t>
      </w:r>
    </w:p>
    <w:p w:rsidR="00FC3217" w:rsidRDefault="00FC3217" w:rsidP="00FC3217">
      <w:pPr>
        <w:widowControl/>
        <w:numPr>
          <w:ilvl w:val="0"/>
          <w:numId w:val="8"/>
        </w:numPr>
        <w:shd w:val="clear" w:color="auto" w:fill="FFFFFF"/>
        <w:autoSpaceDN w:val="0"/>
        <w:spacing w:line="600" w:lineRule="exact"/>
        <w:ind w:left="0" w:firstLineChars="200" w:firstLine="560"/>
        <w:jc w:val="left"/>
        <w:rPr>
          <w:rFonts w:ascii="仿宋_GB2312" w:eastAsia="仿宋_GB2312" w:hAnsi="微软雅黑" w:cs="宋体"/>
          <w:kern w:val="0"/>
          <w:sz w:val="28"/>
          <w:szCs w:val="28"/>
        </w:rPr>
      </w:pPr>
      <w:r>
        <w:rPr>
          <w:rFonts w:ascii="仿宋_GB2312" w:eastAsia="仿宋_GB2312" w:hint="eastAsia"/>
          <w:sz w:val="28"/>
          <w:szCs w:val="28"/>
        </w:rPr>
        <w:t>乙方向甲方提供与股票期权交易业务有关的《股票期权风险揭示书》、《股票期权经纪合同》、股票期权交易流程、股票期权</w:t>
      </w:r>
      <w:r>
        <w:rPr>
          <w:rFonts w:ascii="仿宋_GB2312" w:eastAsia="仿宋_GB2312" w:hint="eastAsia"/>
          <w:sz w:val="28"/>
          <w:szCs w:val="28"/>
        </w:rPr>
        <w:lastRenderedPageBreak/>
        <w:t>保证金安全存管的方式和要求、股票期权结算结果的查询方式、必要的业务单据等资料，并为甲方提供开展介绍业务所必需的业务培训以及其他相应业务支持。</w:t>
      </w:r>
    </w:p>
    <w:p w:rsidR="00FC3217" w:rsidRDefault="00FC3217" w:rsidP="00FC3217">
      <w:pPr>
        <w:widowControl/>
        <w:shd w:val="clear" w:color="auto" w:fill="FFFFFF"/>
        <w:autoSpaceDN w:val="0"/>
        <w:spacing w:line="600" w:lineRule="exact"/>
        <w:ind w:firstLineChars="200" w:firstLine="560"/>
        <w:jc w:val="left"/>
        <w:rPr>
          <w:rFonts w:ascii="仿宋_GB2312" w:eastAsia="仿宋_GB2312" w:hAnsi="微软雅黑" w:cs="宋体"/>
          <w:kern w:val="0"/>
          <w:sz w:val="28"/>
          <w:szCs w:val="28"/>
        </w:rPr>
      </w:pPr>
      <w:r>
        <w:rPr>
          <w:rFonts w:ascii="仿宋_GB2312" w:eastAsia="仿宋_GB2312" w:hAnsi="仿宋_GB2312"/>
          <w:sz w:val="28"/>
          <w:szCs w:val="28"/>
        </w:rPr>
        <w:t>甲方可以根据开展介绍业务的需要，要求乙方提供公司基本情况介绍、有关负责人和业务人员简历等资料，以备客户咨询。</w:t>
      </w:r>
    </w:p>
    <w:p w:rsidR="00FC3217" w:rsidRDefault="00FC3217" w:rsidP="00FC3217">
      <w:pPr>
        <w:widowControl/>
        <w:numPr>
          <w:ilvl w:val="0"/>
          <w:numId w:val="8"/>
        </w:numPr>
        <w:shd w:val="clear" w:color="auto" w:fill="FFFFFF"/>
        <w:autoSpaceDN w:val="0"/>
        <w:spacing w:line="600" w:lineRule="exact"/>
        <w:ind w:left="0" w:firstLineChars="200" w:firstLine="560"/>
        <w:jc w:val="left"/>
        <w:rPr>
          <w:rFonts w:ascii="仿宋_GB2312" w:eastAsia="仿宋_GB2312" w:hAnsi="微软雅黑" w:cs="宋体"/>
          <w:kern w:val="0"/>
          <w:sz w:val="28"/>
          <w:szCs w:val="28"/>
        </w:rPr>
      </w:pPr>
      <w:r>
        <w:rPr>
          <w:rFonts w:ascii="仿宋_GB2312" w:eastAsia="仿宋_GB2312" w:hAnsi="仿宋_GB2312"/>
          <w:sz w:val="28"/>
          <w:szCs w:val="28"/>
        </w:rPr>
        <w:t>甲方按照合规、审慎经营的原则，制定并有效执行介绍业务规则、内部控制、合规检查等制度，确保有效防范和隔离介绍业务与其他业务的风险。</w:t>
      </w:r>
    </w:p>
    <w:p w:rsidR="00FC3217" w:rsidRDefault="00FC3217" w:rsidP="00FC3217">
      <w:pPr>
        <w:widowControl/>
        <w:numPr>
          <w:ilvl w:val="0"/>
          <w:numId w:val="8"/>
        </w:numPr>
        <w:shd w:val="clear" w:color="auto" w:fill="FFFFFF"/>
        <w:autoSpaceDN w:val="0"/>
        <w:spacing w:line="600" w:lineRule="exact"/>
        <w:ind w:left="0" w:firstLineChars="200" w:firstLine="560"/>
        <w:jc w:val="left"/>
        <w:rPr>
          <w:rFonts w:ascii="仿宋_GB2312" w:eastAsia="仿宋_GB2312" w:hAnsi="微软雅黑" w:cs="宋体"/>
          <w:kern w:val="0"/>
          <w:sz w:val="28"/>
          <w:szCs w:val="28"/>
        </w:rPr>
      </w:pPr>
      <w:r>
        <w:rPr>
          <w:rFonts w:ascii="仿宋_GB2312" w:eastAsia="仿宋_GB2312" w:hAnsi="仿宋_GB2312"/>
          <w:sz w:val="28"/>
          <w:szCs w:val="28"/>
        </w:rPr>
        <w:t>甲方在其经营场所显著位置或其网站，公开下列信息：</w:t>
      </w:r>
    </w:p>
    <w:p w:rsidR="00FC3217" w:rsidRDefault="00FC3217" w:rsidP="00FC3217">
      <w:pPr>
        <w:autoSpaceDN w:val="0"/>
        <w:spacing w:line="600" w:lineRule="exact"/>
        <w:ind w:firstLineChars="200" w:firstLine="560"/>
        <w:jc w:val="left"/>
        <w:rPr>
          <w:rFonts w:ascii="仿宋_GB2312" w:eastAsia="仿宋_GB2312" w:hAnsi="宋体"/>
          <w:sz w:val="28"/>
          <w:szCs w:val="28"/>
        </w:rPr>
      </w:pPr>
      <w:r>
        <w:rPr>
          <w:rFonts w:ascii="仿宋_GB2312" w:eastAsia="仿宋_GB2312" w:hAnsi="仿宋_GB2312"/>
          <w:sz w:val="28"/>
          <w:szCs w:val="28"/>
        </w:rPr>
        <w:t>（一）</w:t>
      </w:r>
      <w:r>
        <w:rPr>
          <w:rFonts w:ascii="仿宋_GB2312" w:eastAsia="仿宋_GB2312" w:hAnsi="宋体"/>
          <w:sz w:val="28"/>
          <w:szCs w:val="28"/>
        </w:rPr>
        <w:t xml:space="preserve"> </w:t>
      </w:r>
      <w:r>
        <w:rPr>
          <w:rFonts w:ascii="仿宋_GB2312" w:eastAsia="仿宋_GB2312" w:hAnsi="仿宋_GB2312"/>
          <w:sz w:val="28"/>
          <w:szCs w:val="28"/>
        </w:rPr>
        <w:t xml:space="preserve">受托从事的介绍业务范围； </w:t>
      </w:r>
    </w:p>
    <w:p w:rsidR="00FC3217" w:rsidRDefault="00FC3217" w:rsidP="00FC3217">
      <w:pPr>
        <w:autoSpaceDN w:val="0"/>
        <w:spacing w:line="600" w:lineRule="exact"/>
        <w:ind w:firstLineChars="200" w:firstLine="560"/>
        <w:jc w:val="left"/>
        <w:rPr>
          <w:rFonts w:ascii="仿宋_GB2312" w:eastAsia="仿宋_GB2312" w:hAnsi="宋体"/>
          <w:sz w:val="28"/>
          <w:szCs w:val="28"/>
        </w:rPr>
      </w:pPr>
      <w:r>
        <w:rPr>
          <w:rFonts w:ascii="仿宋_GB2312" w:eastAsia="仿宋_GB2312" w:hAnsi="仿宋_GB2312"/>
          <w:sz w:val="28"/>
          <w:szCs w:val="28"/>
        </w:rPr>
        <w:t>（二）</w:t>
      </w:r>
      <w:r>
        <w:rPr>
          <w:rFonts w:ascii="仿宋_GB2312" w:eastAsia="仿宋_GB2312" w:hAnsi="宋体"/>
          <w:sz w:val="28"/>
          <w:szCs w:val="28"/>
        </w:rPr>
        <w:t xml:space="preserve"> </w:t>
      </w:r>
      <w:r>
        <w:rPr>
          <w:rFonts w:ascii="仿宋_GB2312" w:eastAsia="仿宋_GB2312" w:hAnsi="仿宋_GB2312"/>
          <w:sz w:val="28"/>
          <w:szCs w:val="28"/>
        </w:rPr>
        <w:t xml:space="preserve">从事介绍业务的管理人员和业务人员的名单和照片； </w:t>
      </w:r>
    </w:p>
    <w:p w:rsidR="00FC3217" w:rsidRDefault="00FC3217" w:rsidP="00FC3217">
      <w:pPr>
        <w:autoSpaceDN w:val="0"/>
        <w:spacing w:line="600" w:lineRule="exact"/>
        <w:ind w:firstLineChars="200" w:firstLine="560"/>
        <w:jc w:val="left"/>
        <w:rPr>
          <w:rFonts w:ascii="仿宋_GB2312" w:eastAsia="仿宋_GB2312" w:hAnsi="宋体"/>
          <w:sz w:val="28"/>
          <w:szCs w:val="28"/>
        </w:rPr>
      </w:pPr>
      <w:r>
        <w:rPr>
          <w:rFonts w:ascii="仿宋_GB2312" w:eastAsia="仿宋_GB2312" w:hAnsi="仿宋_GB2312"/>
          <w:sz w:val="28"/>
          <w:szCs w:val="28"/>
        </w:rPr>
        <w:t>（三）</w:t>
      </w:r>
      <w:r>
        <w:rPr>
          <w:rFonts w:ascii="仿宋_GB2312" w:eastAsia="仿宋_GB2312" w:hAnsi="宋体"/>
          <w:sz w:val="28"/>
          <w:szCs w:val="28"/>
        </w:rPr>
        <w:t xml:space="preserve"> </w:t>
      </w:r>
      <w:r>
        <w:rPr>
          <w:rFonts w:ascii="仿宋_GB2312" w:eastAsia="仿宋_GB2312" w:hAnsi="仿宋_GB2312"/>
          <w:sz w:val="28"/>
          <w:szCs w:val="28"/>
        </w:rPr>
        <w:t xml:space="preserve">乙方股票期权保证金账户信息、保证金安全存管方式； </w:t>
      </w:r>
    </w:p>
    <w:p w:rsidR="00FC3217" w:rsidRDefault="00FC3217" w:rsidP="00FC3217">
      <w:pPr>
        <w:autoSpaceDN w:val="0"/>
        <w:spacing w:line="600" w:lineRule="exact"/>
        <w:ind w:firstLineChars="200" w:firstLine="560"/>
        <w:jc w:val="left"/>
        <w:rPr>
          <w:rFonts w:ascii="仿宋_GB2312" w:eastAsia="仿宋_GB2312" w:hAnsi="宋体"/>
          <w:sz w:val="28"/>
          <w:szCs w:val="28"/>
        </w:rPr>
      </w:pPr>
      <w:r>
        <w:rPr>
          <w:rFonts w:ascii="仿宋_GB2312" w:eastAsia="仿宋_GB2312" w:hAnsi="仿宋_GB2312"/>
          <w:sz w:val="28"/>
          <w:szCs w:val="28"/>
        </w:rPr>
        <w:t>（四）</w:t>
      </w:r>
      <w:r>
        <w:rPr>
          <w:rFonts w:ascii="仿宋_GB2312" w:eastAsia="仿宋_GB2312" w:hAnsi="宋体"/>
          <w:sz w:val="28"/>
          <w:szCs w:val="28"/>
        </w:rPr>
        <w:t xml:space="preserve"> </w:t>
      </w:r>
      <w:r>
        <w:rPr>
          <w:rFonts w:ascii="仿宋_GB2312" w:eastAsia="仿宋_GB2312" w:hAnsi="仿宋_GB2312"/>
          <w:sz w:val="28"/>
          <w:szCs w:val="28"/>
        </w:rPr>
        <w:t xml:space="preserve">客户开户和交易流程、出入金流程； </w:t>
      </w:r>
    </w:p>
    <w:p w:rsidR="00FC3217" w:rsidRDefault="00FC3217" w:rsidP="00FC3217">
      <w:pPr>
        <w:autoSpaceDN w:val="0"/>
        <w:spacing w:line="600" w:lineRule="exact"/>
        <w:ind w:firstLineChars="200" w:firstLine="560"/>
        <w:jc w:val="left"/>
        <w:rPr>
          <w:rFonts w:ascii="仿宋_GB2312" w:eastAsia="仿宋_GB2312" w:hAnsi="宋体"/>
          <w:sz w:val="28"/>
          <w:szCs w:val="28"/>
        </w:rPr>
      </w:pPr>
      <w:r>
        <w:rPr>
          <w:rFonts w:ascii="仿宋_GB2312" w:eastAsia="仿宋_GB2312" w:hAnsi="仿宋_GB2312"/>
          <w:sz w:val="28"/>
          <w:szCs w:val="28"/>
        </w:rPr>
        <w:t>（五）</w:t>
      </w:r>
      <w:r>
        <w:rPr>
          <w:rFonts w:ascii="仿宋_GB2312" w:eastAsia="仿宋_GB2312" w:hAnsi="宋体"/>
          <w:sz w:val="28"/>
          <w:szCs w:val="28"/>
        </w:rPr>
        <w:t xml:space="preserve"> </w:t>
      </w:r>
      <w:r>
        <w:rPr>
          <w:rFonts w:ascii="仿宋_GB2312" w:eastAsia="仿宋_GB2312" w:hAnsi="仿宋_GB2312"/>
          <w:sz w:val="28"/>
          <w:szCs w:val="28"/>
        </w:rPr>
        <w:t xml:space="preserve">客户交易结算结果的查询方式； </w:t>
      </w:r>
    </w:p>
    <w:p w:rsidR="00FC3217" w:rsidRDefault="00FC3217" w:rsidP="00FC3217">
      <w:pPr>
        <w:autoSpaceDN w:val="0"/>
        <w:spacing w:line="600" w:lineRule="exact"/>
        <w:ind w:firstLineChars="200" w:firstLine="560"/>
        <w:jc w:val="left"/>
        <w:rPr>
          <w:rFonts w:ascii="仿宋_GB2312" w:eastAsia="仿宋_GB2312" w:hAnsi="仿宋_GB2312"/>
          <w:sz w:val="28"/>
          <w:szCs w:val="28"/>
        </w:rPr>
      </w:pPr>
      <w:r>
        <w:rPr>
          <w:rFonts w:ascii="仿宋_GB2312" w:eastAsia="仿宋_GB2312" w:hAnsi="仿宋_GB2312"/>
          <w:sz w:val="28"/>
          <w:szCs w:val="28"/>
        </w:rPr>
        <w:t>（六）双方约定的其他信息。</w:t>
      </w:r>
    </w:p>
    <w:p w:rsidR="00FC3217" w:rsidRDefault="00FC3217" w:rsidP="00FC3217">
      <w:pPr>
        <w:autoSpaceDN w:val="0"/>
        <w:spacing w:line="600" w:lineRule="exact"/>
        <w:ind w:firstLineChars="200" w:firstLine="560"/>
        <w:jc w:val="left"/>
        <w:rPr>
          <w:rFonts w:ascii="仿宋_GB2312" w:eastAsia="仿宋_GB2312" w:hAnsi="宋体"/>
          <w:sz w:val="28"/>
          <w:szCs w:val="28"/>
        </w:rPr>
      </w:pPr>
      <w:r>
        <w:rPr>
          <w:rFonts w:ascii="仿宋_GB2312" w:eastAsia="仿宋_GB2312" w:hAnsi="仿宋_GB2312"/>
          <w:sz w:val="28"/>
          <w:szCs w:val="28"/>
        </w:rPr>
        <w:t>乙方在其经营场所显著位置或其网站，对前款（三）、（四）（五）、（六）项规定的有关信息予以公开列示</w:t>
      </w:r>
      <w:r>
        <w:rPr>
          <w:rFonts w:ascii="仿宋_GB2312" w:eastAsia="仿宋_GB2312" w:hAnsi="仿宋_GB2312" w:hint="eastAsia"/>
          <w:sz w:val="28"/>
          <w:szCs w:val="28"/>
        </w:rPr>
        <w:t>。</w:t>
      </w:r>
    </w:p>
    <w:p w:rsidR="00FC3217" w:rsidRDefault="00FC3217" w:rsidP="00FC3217">
      <w:pPr>
        <w:widowControl/>
        <w:numPr>
          <w:ilvl w:val="0"/>
          <w:numId w:val="8"/>
        </w:numPr>
        <w:shd w:val="clear" w:color="auto" w:fill="FFFFFF"/>
        <w:autoSpaceDN w:val="0"/>
        <w:spacing w:line="600" w:lineRule="exact"/>
        <w:ind w:left="0" w:firstLineChars="200" w:firstLine="560"/>
        <w:jc w:val="left"/>
        <w:rPr>
          <w:rFonts w:ascii="仿宋_GB2312" w:eastAsia="仿宋_GB2312" w:hAnsi="微软雅黑" w:cs="宋体"/>
          <w:kern w:val="0"/>
          <w:sz w:val="28"/>
          <w:szCs w:val="28"/>
        </w:rPr>
      </w:pPr>
      <w:r>
        <w:rPr>
          <w:rFonts w:ascii="仿宋_GB2312" w:eastAsia="仿宋_GB2312" w:hAnsi="仿宋_GB2312"/>
          <w:sz w:val="28"/>
          <w:szCs w:val="28"/>
        </w:rPr>
        <w:t>甲方在为乙方介绍客户时，应当向客户明示其与乙方的介绍业务委托关系，解释甲方、客户、乙方三者之间的权利义务关系，告知股票期权保证金安全存管要求。乙方也应在股票期权经纪合同中明确注明甲方、乙方、客户三者之间的权利义务关系。</w:t>
      </w:r>
    </w:p>
    <w:p w:rsidR="00FC3217" w:rsidRDefault="00FC3217" w:rsidP="00FC3217">
      <w:pPr>
        <w:widowControl/>
        <w:shd w:val="clear" w:color="auto" w:fill="FFFFFF"/>
        <w:autoSpaceDN w:val="0"/>
        <w:spacing w:line="600" w:lineRule="exact"/>
        <w:ind w:firstLineChars="200" w:firstLine="560"/>
        <w:jc w:val="left"/>
        <w:rPr>
          <w:rFonts w:ascii="仿宋_GB2312" w:eastAsia="仿宋_GB2312" w:hAnsi="微软雅黑" w:cs="宋体"/>
          <w:kern w:val="0"/>
          <w:sz w:val="28"/>
          <w:szCs w:val="28"/>
        </w:rPr>
      </w:pPr>
      <w:r>
        <w:rPr>
          <w:rFonts w:ascii="仿宋_GB2312" w:eastAsia="仿宋_GB2312" w:hAnsi="仿宋_GB2312"/>
          <w:sz w:val="28"/>
          <w:szCs w:val="28"/>
        </w:rPr>
        <w:lastRenderedPageBreak/>
        <w:t>甲方在开发客户过程中，应当向客户解释股票期权交易的方式、流程，充分揭示股票期权交易风险，并不得向客户作获利保证、共担风险等承诺，不得虚假宣传误导客户。</w:t>
      </w:r>
    </w:p>
    <w:p w:rsidR="00FC3217" w:rsidRDefault="00FC3217" w:rsidP="00FC3217">
      <w:pPr>
        <w:widowControl/>
        <w:numPr>
          <w:ilvl w:val="0"/>
          <w:numId w:val="8"/>
        </w:numPr>
        <w:shd w:val="clear" w:color="auto" w:fill="FFFFFF"/>
        <w:autoSpaceDN w:val="0"/>
        <w:spacing w:line="600" w:lineRule="exact"/>
        <w:ind w:left="0" w:firstLineChars="200" w:firstLine="560"/>
        <w:jc w:val="left"/>
        <w:rPr>
          <w:rFonts w:ascii="仿宋_GB2312" w:eastAsia="仿宋_GB2312" w:hAnsi="微软雅黑" w:cs="宋体"/>
          <w:kern w:val="0"/>
          <w:sz w:val="28"/>
          <w:szCs w:val="28"/>
        </w:rPr>
      </w:pPr>
      <w:r>
        <w:rPr>
          <w:rFonts w:ascii="仿宋_GB2312" w:eastAsia="仿宋_GB2312" w:hAnsi="仿宋_GB2312"/>
          <w:sz w:val="28"/>
          <w:szCs w:val="28"/>
        </w:rPr>
        <w:t>甲乙双方协商确定客户开户审查的方式、内容和程序，甲方设专人负责协助开户及开户审核工作。</w:t>
      </w:r>
    </w:p>
    <w:p w:rsidR="00FC3217" w:rsidRDefault="00FC3217" w:rsidP="00FC3217">
      <w:pPr>
        <w:widowControl/>
        <w:numPr>
          <w:ilvl w:val="0"/>
          <w:numId w:val="8"/>
        </w:numPr>
        <w:shd w:val="clear" w:color="auto" w:fill="FFFFFF"/>
        <w:autoSpaceDN w:val="0"/>
        <w:spacing w:line="600" w:lineRule="exact"/>
        <w:ind w:left="0" w:firstLineChars="200" w:firstLine="560"/>
        <w:jc w:val="left"/>
        <w:rPr>
          <w:rFonts w:ascii="仿宋_GB2312" w:eastAsia="仿宋_GB2312" w:hAnsi="微软雅黑" w:cs="宋体"/>
          <w:kern w:val="0"/>
          <w:sz w:val="28"/>
          <w:szCs w:val="28"/>
        </w:rPr>
      </w:pPr>
      <w:r>
        <w:rPr>
          <w:rFonts w:ascii="仿宋_GB2312" w:eastAsia="仿宋_GB2312" w:hAnsi="宋体" w:cs="宋体" w:hint="eastAsia"/>
          <w:kern w:val="0"/>
          <w:sz w:val="28"/>
          <w:szCs w:val="28"/>
        </w:rPr>
        <w:t>甲方建立并有效执行协助开户制度，</w:t>
      </w:r>
      <w:r>
        <w:rPr>
          <w:rFonts w:ascii="仿宋_GB2312" w:eastAsia="仿宋_GB2312" w:hint="eastAsia"/>
          <w:sz w:val="28"/>
          <w:szCs w:val="28"/>
        </w:rPr>
        <w:t>协助乙方严格执行股票期权投资者适当性管理制度，</w:t>
      </w:r>
      <w:r>
        <w:rPr>
          <w:rFonts w:ascii="仿宋_GB2312" w:eastAsia="仿宋_GB2312" w:hAnsi="宋体" w:cs="宋体" w:hint="eastAsia"/>
          <w:kern w:val="0"/>
          <w:sz w:val="28"/>
          <w:szCs w:val="28"/>
        </w:rPr>
        <w:t>指导客户阅读和签署《股票期权风险揭示书》、《股票期权经纪合同》等相关文件，对客户开户资料的真实性、合规性、完整性进行审查，</w:t>
      </w:r>
      <w:r>
        <w:rPr>
          <w:rFonts w:ascii="仿宋_GB2312" w:eastAsia="仿宋_GB2312" w:hAnsi="仿宋_GB2312"/>
          <w:sz w:val="28"/>
          <w:szCs w:val="28"/>
        </w:rPr>
        <w:t>做好开户入金指导，</w:t>
      </w:r>
      <w:r>
        <w:rPr>
          <w:rFonts w:ascii="仿宋_GB2312" w:eastAsia="仿宋_GB2312" w:hAnsi="宋体" w:cs="宋体" w:hint="eastAsia"/>
          <w:kern w:val="0"/>
          <w:sz w:val="28"/>
          <w:szCs w:val="28"/>
        </w:rPr>
        <w:t>并及时将符合适当性管理要求的客户开户资料提交乙方。</w:t>
      </w:r>
    </w:p>
    <w:p w:rsidR="00FC3217" w:rsidRDefault="00FC3217" w:rsidP="00FC3217">
      <w:pPr>
        <w:autoSpaceDN w:val="0"/>
        <w:spacing w:line="600" w:lineRule="exact"/>
        <w:ind w:firstLineChars="200" w:firstLine="560"/>
        <w:jc w:val="left"/>
        <w:rPr>
          <w:rFonts w:ascii="仿宋_GB2312" w:eastAsia="仿宋_GB2312" w:hAnsi="宋体"/>
          <w:sz w:val="28"/>
          <w:szCs w:val="28"/>
        </w:rPr>
      </w:pPr>
      <w:r>
        <w:rPr>
          <w:rFonts w:ascii="仿宋_GB2312" w:eastAsia="仿宋_GB2312" w:hAnsi="宋体" w:hint="eastAsia"/>
          <w:sz w:val="28"/>
          <w:szCs w:val="28"/>
        </w:rPr>
        <w:t>乙方在复核</w:t>
      </w:r>
      <w:r>
        <w:rPr>
          <w:rFonts w:ascii="仿宋_GB2312" w:eastAsia="仿宋_GB2312" w:hAnsi="仿宋_GB2312" w:cs="宋体"/>
          <w:kern w:val="0"/>
          <w:sz w:val="28"/>
          <w:szCs w:val="28"/>
        </w:rPr>
        <w:t>甲方提交的客户开户资料无误后，</w:t>
      </w:r>
      <w:r>
        <w:rPr>
          <w:rFonts w:ascii="仿宋_GB2312" w:eastAsia="仿宋_GB2312" w:hAnsi="宋体" w:hint="eastAsia"/>
          <w:sz w:val="28"/>
          <w:szCs w:val="28"/>
        </w:rPr>
        <w:t>与客户签订股票期权经纪合同，办理开户手续。</w:t>
      </w:r>
    </w:p>
    <w:p w:rsidR="00FC3217" w:rsidRDefault="00FC3217" w:rsidP="00FC3217">
      <w:pPr>
        <w:autoSpaceDN w:val="0"/>
        <w:spacing w:line="600" w:lineRule="exact"/>
        <w:ind w:firstLineChars="200" w:firstLine="560"/>
        <w:jc w:val="left"/>
        <w:rPr>
          <w:rFonts w:ascii="仿宋_GB2312" w:eastAsia="仿宋_GB2312" w:hAnsi="宋体"/>
          <w:sz w:val="28"/>
          <w:szCs w:val="28"/>
        </w:rPr>
      </w:pPr>
      <w:r>
        <w:rPr>
          <w:rFonts w:ascii="仿宋_GB2312" w:eastAsia="仿宋_GB2312" w:hAnsi="宋体" w:hint="eastAsia"/>
          <w:sz w:val="28"/>
          <w:szCs w:val="28"/>
        </w:rPr>
        <w:t>股票期权客户的反洗钱工作由乙方负责。甲方分支机构协助乙方在客户办理开户手续时，完成客户身份识别工作，同时采集并留存客户的影像资料。</w:t>
      </w:r>
    </w:p>
    <w:p w:rsidR="00FC3217" w:rsidRDefault="00FC3217" w:rsidP="00FC3217">
      <w:pPr>
        <w:widowControl/>
        <w:numPr>
          <w:ilvl w:val="0"/>
          <w:numId w:val="8"/>
        </w:numPr>
        <w:shd w:val="clear" w:color="auto" w:fill="FFFFFF"/>
        <w:spacing w:line="600" w:lineRule="exact"/>
        <w:ind w:left="0" w:firstLineChars="200" w:firstLine="560"/>
        <w:jc w:val="left"/>
        <w:rPr>
          <w:rFonts w:ascii="仿宋_GB2312" w:eastAsia="仿宋_GB2312" w:hAnsi="宋体"/>
          <w:sz w:val="28"/>
          <w:szCs w:val="28"/>
        </w:rPr>
      </w:pPr>
      <w:r>
        <w:rPr>
          <w:rFonts w:ascii="仿宋_GB2312" w:eastAsia="仿宋_GB2312" w:hAnsi="宋体" w:cs="宋体" w:hint="eastAsia"/>
          <w:kern w:val="0"/>
          <w:sz w:val="28"/>
          <w:szCs w:val="28"/>
        </w:rPr>
        <w:t>乙方应当及时对介绍业务客户进行回访，确认客户了解股票期权交易风险及股票期权经纪合同主要条款。</w:t>
      </w:r>
    </w:p>
    <w:p w:rsidR="00FC3217" w:rsidRDefault="00FC3217" w:rsidP="00FC3217">
      <w:pPr>
        <w:widowControl/>
        <w:numPr>
          <w:ilvl w:val="0"/>
          <w:numId w:val="8"/>
        </w:numPr>
        <w:shd w:val="clear" w:color="auto" w:fill="FFFFFF"/>
        <w:spacing w:line="600" w:lineRule="exact"/>
        <w:ind w:left="0" w:firstLineChars="200" w:firstLine="560"/>
        <w:jc w:val="left"/>
        <w:rPr>
          <w:rFonts w:ascii="仿宋_GB2312" w:eastAsia="仿宋_GB2312" w:hAnsi="宋体"/>
          <w:sz w:val="28"/>
          <w:szCs w:val="28"/>
        </w:rPr>
      </w:pPr>
      <w:r>
        <w:rPr>
          <w:rFonts w:ascii="仿宋_GB2312" w:eastAsia="仿宋_GB2312" w:hAnsi="仿宋_GB2312"/>
          <w:sz w:val="28"/>
          <w:szCs w:val="28"/>
        </w:rPr>
        <w:t>甲乙双方应各自对股票期权交易涉及的行情、交易系统及设备负责，并共同作好股票期权交易数据传送的安全保密工作。</w:t>
      </w:r>
    </w:p>
    <w:p w:rsidR="00FC3217" w:rsidRDefault="00FC3217" w:rsidP="00FC3217">
      <w:pPr>
        <w:widowControl/>
        <w:shd w:val="clear" w:color="auto" w:fill="FFFFFF"/>
        <w:spacing w:line="600" w:lineRule="exact"/>
        <w:ind w:firstLineChars="200" w:firstLine="560"/>
        <w:jc w:val="left"/>
        <w:rPr>
          <w:rFonts w:ascii="仿宋_GB2312" w:eastAsia="仿宋_GB2312" w:hAnsi="宋体"/>
          <w:sz w:val="28"/>
          <w:szCs w:val="28"/>
        </w:rPr>
      </w:pPr>
      <w:r>
        <w:rPr>
          <w:rFonts w:ascii="仿宋_GB2312" w:eastAsia="仿宋_GB2312" w:hAnsi="仿宋_GB2312"/>
          <w:sz w:val="28"/>
          <w:szCs w:val="28"/>
        </w:rPr>
        <w:t>甲方应协助乙方维护股票期权交易系统的稳定运行，保证股票期权交易数据传送的安全和独立。</w:t>
      </w:r>
    </w:p>
    <w:p w:rsidR="00FC3217" w:rsidRDefault="00FC3217" w:rsidP="00FC3217">
      <w:pPr>
        <w:widowControl/>
        <w:numPr>
          <w:ilvl w:val="0"/>
          <w:numId w:val="8"/>
        </w:numPr>
        <w:shd w:val="clear" w:color="auto" w:fill="FFFFFF"/>
        <w:spacing w:line="600" w:lineRule="exact"/>
        <w:ind w:left="0" w:firstLineChars="200" w:firstLine="560"/>
        <w:jc w:val="left"/>
        <w:rPr>
          <w:rFonts w:ascii="仿宋_GB2312" w:eastAsia="仿宋_GB2312" w:hAnsi="宋体"/>
          <w:sz w:val="28"/>
          <w:szCs w:val="28"/>
        </w:rPr>
      </w:pPr>
      <w:r>
        <w:rPr>
          <w:rFonts w:ascii="仿宋_GB2312" w:eastAsia="仿宋_GB2312" w:hAnsi="仿宋_GB2312"/>
          <w:sz w:val="28"/>
          <w:szCs w:val="28"/>
        </w:rPr>
        <w:lastRenderedPageBreak/>
        <w:t>甲方应告知所介绍客户获取股票期权交易结算</w:t>
      </w:r>
      <w:r>
        <w:rPr>
          <w:rFonts w:ascii="仿宋_GB2312" w:eastAsia="仿宋_GB2312" w:hAnsi="仿宋_GB2312" w:hint="eastAsia"/>
          <w:sz w:val="28"/>
          <w:szCs w:val="28"/>
        </w:rPr>
        <w:t>结果</w:t>
      </w:r>
      <w:r>
        <w:rPr>
          <w:rFonts w:ascii="仿宋_GB2312" w:eastAsia="仿宋_GB2312" w:hAnsi="仿宋_GB2312"/>
          <w:sz w:val="28"/>
          <w:szCs w:val="28"/>
        </w:rPr>
        <w:t>的渠道或方式，提示客户有义务及时查看，并协助有异议的客户向乙方提出异议。</w:t>
      </w:r>
    </w:p>
    <w:p w:rsidR="00FC3217" w:rsidRDefault="00FC3217" w:rsidP="00FC3217">
      <w:pPr>
        <w:widowControl/>
        <w:numPr>
          <w:ilvl w:val="0"/>
          <w:numId w:val="8"/>
        </w:numPr>
        <w:shd w:val="clear" w:color="auto" w:fill="FFFFFF"/>
        <w:spacing w:line="600" w:lineRule="exact"/>
        <w:ind w:left="0" w:firstLineChars="200" w:firstLine="560"/>
        <w:jc w:val="left"/>
        <w:rPr>
          <w:rFonts w:ascii="仿宋_GB2312" w:eastAsia="仿宋_GB2312" w:hAnsi="宋体"/>
          <w:sz w:val="28"/>
          <w:szCs w:val="28"/>
        </w:rPr>
      </w:pPr>
      <w:r>
        <w:rPr>
          <w:rFonts w:ascii="仿宋_GB2312" w:eastAsia="仿宋_GB2312" w:hAnsi="宋体" w:cs="宋体" w:hint="eastAsia"/>
          <w:kern w:val="0"/>
          <w:sz w:val="28"/>
          <w:szCs w:val="28"/>
        </w:rPr>
        <w:t>乙方负责股票期权业务风险控制制度的制定和执行，并负责向客户发送追加保证金通知和执行强行平仓。</w:t>
      </w:r>
    </w:p>
    <w:p w:rsidR="00FC3217" w:rsidRDefault="00FC3217" w:rsidP="00FC3217">
      <w:pPr>
        <w:widowControl/>
        <w:numPr>
          <w:ilvl w:val="0"/>
          <w:numId w:val="8"/>
        </w:numPr>
        <w:shd w:val="clear" w:color="auto" w:fill="FFFFFF"/>
        <w:spacing w:line="600" w:lineRule="exact"/>
        <w:ind w:left="0" w:firstLineChars="200" w:firstLine="560"/>
        <w:jc w:val="left"/>
        <w:rPr>
          <w:rFonts w:ascii="仿宋_GB2312" w:eastAsia="仿宋_GB2312" w:hAnsi="宋体"/>
          <w:sz w:val="28"/>
          <w:szCs w:val="28"/>
        </w:rPr>
      </w:pPr>
      <w:r>
        <w:rPr>
          <w:rFonts w:ascii="仿宋_GB2312" w:eastAsia="仿宋_GB2312" w:hAnsi="宋体" w:cs="宋体" w:hint="eastAsia"/>
          <w:kern w:val="0"/>
          <w:sz w:val="28"/>
          <w:szCs w:val="28"/>
        </w:rPr>
        <w:t>甲方按照约定承担协助风险控制职责的，提供下列服务：</w:t>
      </w:r>
    </w:p>
    <w:p w:rsidR="00FC3217" w:rsidRDefault="00FC3217" w:rsidP="00FC3217">
      <w:pPr>
        <w:widowControl/>
        <w:shd w:val="clear" w:color="auto" w:fill="FFFFFF"/>
        <w:spacing w:line="600" w:lineRule="exact"/>
        <w:ind w:firstLineChars="200" w:firstLine="560"/>
        <w:jc w:val="left"/>
        <w:rPr>
          <w:rFonts w:ascii="仿宋_GB2312" w:eastAsia="仿宋_GB2312" w:hAnsi="宋体" w:cs="宋体"/>
          <w:kern w:val="0"/>
          <w:sz w:val="28"/>
          <w:szCs w:val="28"/>
        </w:rPr>
      </w:pPr>
      <w:r>
        <w:rPr>
          <w:rFonts w:ascii="仿宋_GB2312" w:eastAsia="仿宋_GB2312" w:hAnsi="宋体" w:cs="宋体" w:hint="eastAsia"/>
          <w:kern w:val="0"/>
          <w:sz w:val="28"/>
          <w:szCs w:val="28"/>
        </w:rPr>
        <w:t>1、当客户被乙方通知追加保证金或被强行平仓时，甲方受乙方委托，对客户进行督促或解释工作；</w:t>
      </w:r>
    </w:p>
    <w:p w:rsidR="00FC3217" w:rsidRDefault="00FC3217" w:rsidP="00FC3217">
      <w:pPr>
        <w:widowControl/>
        <w:shd w:val="clear" w:color="auto" w:fill="FFFFFF"/>
        <w:spacing w:line="600" w:lineRule="exact"/>
        <w:ind w:firstLineChars="200" w:firstLine="560"/>
        <w:jc w:val="left"/>
        <w:rPr>
          <w:rFonts w:ascii="仿宋_GB2312" w:eastAsia="仿宋_GB2312" w:hAnsi="宋体"/>
          <w:sz w:val="28"/>
          <w:szCs w:val="28"/>
        </w:rPr>
      </w:pPr>
      <w:r>
        <w:rPr>
          <w:rFonts w:ascii="仿宋_GB2312" w:eastAsia="仿宋_GB2312" w:hAnsi="宋体" w:cs="宋体"/>
          <w:kern w:val="0"/>
          <w:sz w:val="28"/>
          <w:szCs w:val="28"/>
        </w:rPr>
        <w:t>2、当股票期权、现货市场行情发生重大变化或者客户可能出现交易风险时，甲方受乙方委托进行风险提示。</w:t>
      </w:r>
    </w:p>
    <w:p w:rsidR="00FC3217" w:rsidRDefault="00FC3217" w:rsidP="00FC3217">
      <w:pPr>
        <w:widowControl/>
        <w:shd w:val="clear" w:color="auto" w:fill="FFFFFF"/>
        <w:spacing w:line="600" w:lineRule="exact"/>
        <w:ind w:firstLineChars="200" w:firstLine="560"/>
        <w:jc w:val="left"/>
        <w:rPr>
          <w:rFonts w:ascii="仿宋_GB2312" w:eastAsia="仿宋_GB2312" w:hAnsi="宋体"/>
          <w:sz w:val="28"/>
          <w:szCs w:val="28"/>
        </w:rPr>
      </w:pPr>
      <w:r>
        <w:rPr>
          <w:rFonts w:ascii="仿宋_GB2312" w:eastAsia="仿宋_GB2312" w:hAnsi="仿宋_GB2312"/>
          <w:sz w:val="28"/>
          <w:szCs w:val="28"/>
        </w:rPr>
        <w:t>甲方协助乙方从事向客户提示风险等工作的，乙方应向甲方提供必要的风险控制系统及报表等，以便甲方开展相关工作。</w:t>
      </w:r>
    </w:p>
    <w:p w:rsidR="00FC3217" w:rsidRDefault="00FC3217" w:rsidP="00FC3217">
      <w:pPr>
        <w:widowControl/>
        <w:numPr>
          <w:ilvl w:val="0"/>
          <w:numId w:val="8"/>
        </w:numPr>
        <w:shd w:val="clear" w:color="auto" w:fill="FFFFFF"/>
        <w:spacing w:line="600" w:lineRule="exact"/>
        <w:ind w:left="0" w:firstLineChars="200" w:firstLine="560"/>
        <w:jc w:val="left"/>
        <w:rPr>
          <w:rFonts w:ascii="仿宋_GB2312" w:eastAsia="仿宋_GB2312" w:hAnsi="宋体"/>
          <w:sz w:val="28"/>
          <w:szCs w:val="28"/>
        </w:rPr>
      </w:pPr>
      <w:r>
        <w:rPr>
          <w:rFonts w:ascii="仿宋_GB2312" w:eastAsia="仿宋_GB2312" w:hAnsi="仿宋_GB2312"/>
          <w:sz w:val="28"/>
          <w:szCs w:val="28"/>
        </w:rPr>
        <w:t xml:space="preserve">甲乙双方中任何一方被监管机关采取限制、取消相关业务资格等监管措施时，应自事发之日起 </w:t>
      </w:r>
      <w:r>
        <w:rPr>
          <w:rFonts w:ascii="仿宋_GB2312" w:eastAsia="仿宋_GB2312" w:hAnsi="仿宋_GB2312"/>
          <w:sz w:val="28"/>
          <w:szCs w:val="28"/>
          <w:u w:val="single"/>
        </w:rPr>
        <w:t xml:space="preserve">   </w:t>
      </w:r>
      <w:r>
        <w:rPr>
          <w:rFonts w:ascii="仿宋_GB2312" w:eastAsia="仿宋_GB2312" w:hAnsi="仿宋_GB2312"/>
          <w:sz w:val="28"/>
          <w:szCs w:val="28"/>
        </w:rPr>
        <w:t>个工作日内书面通知对方。</w:t>
      </w:r>
    </w:p>
    <w:p w:rsidR="00FC3217" w:rsidRDefault="00FC3217" w:rsidP="00FC3217">
      <w:pPr>
        <w:widowControl/>
        <w:numPr>
          <w:ilvl w:val="0"/>
          <w:numId w:val="8"/>
        </w:numPr>
        <w:shd w:val="clear" w:color="auto" w:fill="FFFFFF"/>
        <w:spacing w:line="600" w:lineRule="exact"/>
        <w:ind w:left="0" w:firstLineChars="200" w:firstLine="560"/>
        <w:jc w:val="left"/>
        <w:rPr>
          <w:rFonts w:ascii="仿宋_GB2312" w:eastAsia="仿宋_GB2312" w:hAnsi="宋体"/>
          <w:sz w:val="28"/>
          <w:szCs w:val="28"/>
        </w:rPr>
      </w:pPr>
      <w:r>
        <w:rPr>
          <w:rFonts w:ascii="仿宋_GB2312" w:eastAsia="仿宋_GB2312" w:hAnsi="宋体" w:cs="宋体" w:hint="eastAsia"/>
          <w:kern w:val="0"/>
          <w:sz w:val="28"/>
          <w:szCs w:val="28"/>
        </w:rPr>
        <w:t>甲乙双方应当建立和完善介绍业务相关信息系统管理制度。任何一方变更、升级信息系统的，应当做好变更、升级的书面留痕工作，提前</w:t>
      </w:r>
      <w:r>
        <w:rPr>
          <w:rFonts w:ascii="仿宋_GB2312" w:eastAsia="仿宋_GB2312" w:hAnsi="宋体" w:cs="宋体"/>
          <w:kern w:val="0"/>
          <w:sz w:val="28"/>
          <w:szCs w:val="28"/>
        </w:rPr>
        <w:t xml:space="preserve">3 </w:t>
      </w:r>
      <w:r>
        <w:rPr>
          <w:rFonts w:ascii="仿宋_GB2312" w:eastAsia="仿宋_GB2312" w:hAnsi="宋体" w:cs="宋体" w:hint="eastAsia"/>
          <w:kern w:val="0"/>
          <w:sz w:val="28"/>
          <w:szCs w:val="28"/>
        </w:rPr>
        <w:t>个工作日书面通知对方，并通过适当的方式告知客户防范可能出现的风险。</w:t>
      </w:r>
    </w:p>
    <w:p w:rsidR="00FC3217" w:rsidRDefault="00FC3217" w:rsidP="00FC3217">
      <w:pPr>
        <w:widowControl/>
        <w:numPr>
          <w:ilvl w:val="0"/>
          <w:numId w:val="8"/>
        </w:numPr>
        <w:shd w:val="clear" w:color="auto" w:fill="FFFFFF"/>
        <w:spacing w:line="600" w:lineRule="exact"/>
        <w:ind w:left="0" w:firstLineChars="200" w:firstLine="560"/>
        <w:jc w:val="left"/>
        <w:rPr>
          <w:rFonts w:ascii="仿宋_GB2312" w:eastAsia="仿宋_GB2312" w:hAnsi="宋体"/>
          <w:sz w:val="28"/>
          <w:szCs w:val="28"/>
        </w:rPr>
      </w:pPr>
      <w:r>
        <w:rPr>
          <w:rFonts w:ascii="仿宋_GB2312" w:eastAsia="仿宋_GB2312" w:hAnsi="仿宋_GB2312" w:cs="仿宋_GB2312" w:hint="eastAsia"/>
          <w:sz w:val="28"/>
          <w:szCs w:val="28"/>
        </w:rPr>
        <w:t>客户出入金必须在乙方的股票期权保证金账户和客户所指定的股票期权结算账户之间进行。</w:t>
      </w:r>
    </w:p>
    <w:p w:rsidR="00FC3217" w:rsidRDefault="00FC3217" w:rsidP="00FC3217">
      <w:pPr>
        <w:widowControl/>
        <w:numPr>
          <w:ilvl w:val="0"/>
          <w:numId w:val="8"/>
        </w:numPr>
        <w:shd w:val="clear" w:color="auto" w:fill="FFFFFF"/>
        <w:spacing w:line="600" w:lineRule="exact"/>
        <w:ind w:left="0"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乙方变更或撤销股票期权保证金账户的，应当在向监管机关和股票期权保证金安全存管监控机构备案之日起</w:t>
      </w:r>
      <w:r>
        <w:rPr>
          <w:rFonts w:ascii="仿宋_GB2312" w:eastAsia="仿宋_GB2312" w:hAnsi="仿宋_GB2312" w:cs="仿宋_GB2312"/>
          <w:sz w:val="28"/>
          <w:szCs w:val="28"/>
          <w:u w:val="single"/>
        </w:rPr>
        <w:t xml:space="preserve">    </w:t>
      </w:r>
      <w:r>
        <w:rPr>
          <w:rFonts w:ascii="仿宋_GB2312" w:eastAsia="仿宋_GB2312" w:hAnsi="仿宋_GB2312" w:cs="仿宋_GB2312" w:hint="eastAsia"/>
          <w:sz w:val="28"/>
          <w:szCs w:val="28"/>
        </w:rPr>
        <w:t>个工作日内书面通知甲方，并依法向客户披露变更或者撤销情况。</w:t>
      </w:r>
    </w:p>
    <w:p w:rsidR="00FC3217" w:rsidRDefault="00FC3217" w:rsidP="00FC3217">
      <w:pPr>
        <w:widowControl/>
        <w:shd w:val="clear" w:color="auto" w:fill="FFFFFF"/>
        <w:spacing w:line="420" w:lineRule="atLeast"/>
        <w:jc w:val="center"/>
        <w:rPr>
          <w:rFonts w:ascii="仿宋_GB2312" w:eastAsia="仿宋_GB2312" w:hAnsi="仿宋_GB2312" w:cs="仿宋_GB2312"/>
          <w:sz w:val="28"/>
          <w:szCs w:val="28"/>
        </w:rPr>
      </w:pPr>
      <w:r>
        <w:rPr>
          <w:rFonts w:ascii="仿宋_GB2312" w:eastAsia="仿宋_GB2312" w:hAnsi="仿宋_GB2312" w:cs="仿宋_GB2312"/>
          <w:b/>
          <w:sz w:val="28"/>
          <w:szCs w:val="28"/>
        </w:rPr>
        <w:t>第</w:t>
      </w:r>
      <w:r>
        <w:rPr>
          <w:rFonts w:ascii="仿宋_GB2312" w:eastAsia="仿宋_GB2312" w:hAnsi="仿宋_GB2312" w:cs="仿宋_GB2312" w:hint="eastAsia"/>
          <w:b/>
          <w:sz w:val="28"/>
          <w:szCs w:val="28"/>
        </w:rPr>
        <w:t>四</w:t>
      </w:r>
      <w:r>
        <w:rPr>
          <w:rFonts w:ascii="仿宋_GB2312" w:eastAsia="仿宋_GB2312" w:hAnsi="仿宋_GB2312" w:cs="仿宋_GB2312"/>
          <w:b/>
          <w:sz w:val="28"/>
          <w:szCs w:val="28"/>
        </w:rPr>
        <w:t>章</w:t>
      </w:r>
      <w:r>
        <w:rPr>
          <w:rFonts w:ascii="仿宋_GB2312" w:eastAsia="仿宋_GB2312" w:hAnsi="仿宋_GB2312" w:cs="仿宋_GB2312"/>
          <w:sz w:val="28"/>
          <w:szCs w:val="28"/>
        </w:rPr>
        <w:t xml:space="preserve">   </w:t>
      </w:r>
      <w:r>
        <w:rPr>
          <w:rFonts w:ascii="仿宋_GB2312" w:eastAsia="仿宋_GB2312" w:hAnsi="仿宋_GB2312" w:cs="仿宋_GB2312"/>
          <w:b/>
          <w:sz w:val="28"/>
          <w:szCs w:val="28"/>
        </w:rPr>
        <w:t>客户投诉的处理方式</w:t>
      </w:r>
    </w:p>
    <w:p w:rsidR="00FC3217" w:rsidRDefault="00FC3217" w:rsidP="00FC3217">
      <w:pPr>
        <w:widowControl/>
        <w:numPr>
          <w:ilvl w:val="0"/>
          <w:numId w:val="8"/>
        </w:numPr>
        <w:shd w:val="clear" w:color="auto" w:fill="FFFFFF"/>
        <w:spacing w:line="600" w:lineRule="exact"/>
        <w:ind w:left="0" w:firstLineChars="200" w:firstLine="560"/>
        <w:jc w:val="left"/>
        <w:rPr>
          <w:rFonts w:ascii="仿宋_GB2312" w:eastAsia="仿宋_GB2312" w:hAnsi="宋体"/>
          <w:sz w:val="28"/>
          <w:szCs w:val="28"/>
        </w:rPr>
      </w:pPr>
      <w:r>
        <w:rPr>
          <w:rFonts w:ascii="仿宋_GB2312" w:eastAsia="仿宋_GB2312" w:hAnsi="仿宋_GB2312" w:cs="仿宋_GB2312" w:hint="eastAsia"/>
          <w:color w:val="000000"/>
          <w:sz w:val="28"/>
          <w:szCs w:val="28"/>
        </w:rPr>
        <w:t>乙方负</w:t>
      </w:r>
      <w:r>
        <w:rPr>
          <w:rFonts w:ascii="仿宋_GB2312" w:eastAsia="仿宋_GB2312" w:hAnsi="仿宋_GB2312" w:cs="仿宋_GB2312" w:hint="eastAsia"/>
          <w:color w:val="000000"/>
          <w:sz w:val="28"/>
          <w:szCs w:val="28"/>
          <w:u w:val="single"/>
        </w:rPr>
        <w:t>责客户投</w:t>
      </w:r>
      <w:r>
        <w:rPr>
          <w:rFonts w:ascii="仿宋_GB2312" w:eastAsia="仿宋_GB2312" w:hAnsi="仿宋_GB2312" w:cs="仿宋_GB2312" w:hint="eastAsia"/>
          <w:color w:val="000000"/>
          <w:sz w:val="28"/>
          <w:szCs w:val="28"/>
        </w:rPr>
        <w:t>诉的具体处理工作，如需甲方配合，甲方应予以协助。</w:t>
      </w:r>
      <w:r>
        <w:rPr>
          <w:rFonts w:ascii="仿宋_GB2312" w:eastAsia="仿宋_GB2312" w:hAnsi="仿宋_GB2312" w:cs="仿宋_GB2312"/>
          <w:sz w:val="28"/>
          <w:szCs w:val="28"/>
        </w:rPr>
        <w:t>甲乙双方应当</w:t>
      </w:r>
      <w:r>
        <w:rPr>
          <w:rFonts w:ascii="仿宋_GB2312" w:eastAsia="仿宋_GB2312" w:hAnsi="仿宋_GB2312"/>
          <w:sz w:val="28"/>
          <w:szCs w:val="28"/>
        </w:rPr>
        <w:t>建立健全各自的客户投诉接待处理制度以及双方的协作程序，</w:t>
      </w:r>
      <w:r>
        <w:rPr>
          <w:rFonts w:ascii="仿宋_GB2312" w:eastAsia="仿宋_GB2312" w:hAnsi="仿宋_GB2312" w:hint="eastAsia"/>
          <w:sz w:val="28"/>
          <w:szCs w:val="28"/>
        </w:rPr>
        <w:t>指定</w:t>
      </w:r>
      <w:r>
        <w:rPr>
          <w:rFonts w:ascii="仿宋_GB2312" w:eastAsia="仿宋_GB2312" w:hAnsi="仿宋_GB2312"/>
          <w:sz w:val="28"/>
          <w:szCs w:val="28"/>
        </w:rPr>
        <w:t>具体部门和人员负责双方的客户投诉情况的沟通与联络。</w:t>
      </w:r>
    </w:p>
    <w:p w:rsidR="00FC3217" w:rsidRDefault="00FC3217" w:rsidP="00FC3217">
      <w:pPr>
        <w:widowControl/>
        <w:shd w:val="clear" w:color="auto" w:fill="FFFFFF"/>
        <w:spacing w:line="600" w:lineRule="exact"/>
        <w:ind w:firstLine="567"/>
        <w:jc w:val="left"/>
        <w:rPr>
          <w:rFonts w:ascii="仿宋_GB2312" w:eastAsia="仿宋_GB2312" w:hAnsi="宋体"/>
          <w:sz w:val="28"/>
          <w:szCs w:val="28"/>
        </w:rPr>
      </w:pPr>
      <w:r>
        <w:rPr>
          <w:rFonts w:ascii="仿宋_GB2312" w:eastAsia="仿宋_GB2312" w:hAnsi="仿宋_GB2312"/>
          <w:sz w:val="28"/>
          <w:szCs w:val="28"/>
        </w:rPr>
        <w:t>甲乙双方应将各自的客户投诉方式或渠道对外予以公布。</w:t>
      </w:r>
    </w:p>
    <w:p w:rsidR="00FC3217" w:rsidRDefault="00FC3217" w:rsidP="00FC3217">
      <w:pPr>
        <w:widowControl/>
        <w:numPr>
          <w:ilvl w:val="0"/>
          <w:numId w:val="8"/>
        </w:numPr>
        <w:shd w:val="clear" w:color="auto" w:fill="FFFFFF"/>
        <w:spacing w:line="600" w:lineRule="exact"/>
        <w:ind w:left="0" w:firstLineChars="200" w:firstLine="560"/>
        <w:jc w:val="left"/>
        <w:rPr>
          <w:rFonts w:ascii="仿宋_GB2312" w:eastAsia="仿宋_GB2312" w:hAnsi="宋体"/>
          <w:sz w:val="28"/>
          <w:szCs w:val="28"/>
        </w:rPr>
      </w:pPr>
      <w:r>
        <w:rPr>
          <w:rFonts w:ascii="仿宋_GB2312" w:eastAsia="仿宋_GB2312" w:hAnsi="仿宋_GB2312"/>
          <w:sz w:val="28"/>
          <w:szCs w:val="28"/>
        </w:rPr>
        <w:t>甲乙双方应按照约定的协作程序和规则，本着服务客户、服务合作伙伴的原则，积极、稳妥地处理客户投诉；对投诉本方的应及时处理不推诿，对投诉合作对方的应及时移交并配合做好处理工作，对投诉涉及双方的应及时会同处理。</w:t>
      </w:r>
    </w:p>
    <w:p w:rsidR="00FC3217" w:rsidRDefault="00FC3217" w:rsidP="00FC3217">
      <w:pPr>
        <w:widowControl/>
        <w:shd w:val="clear" w:color="auto" w:fill="FFFFFF"/>
        <w:spacing w:line="420" w:lineRule="atLeast"/>
        <w:jc w:val="center"/>
        <w:rPr>
          <w:rFonts w:hAnsi="宋体"/>
          <w:sz w:val="28"/>
          <w:szCs w:val="28"/>
        </w:rPr>
      </w:pPr>
      <w:r>
        <w:rPr>
          <w:rFonts w:ascii="仿宋_GB2312" w:eastAsia="仿宋_GB2312" w:hAnsi="仿宋_GB2312"/>
          <w:b/>
          <w:sz w:val="28"/>
          <w:szCs w:val="28"/>
        </w:rPr>
        <w:t>第</w:t>
      </w:r>
      <w:r>
        <w:rPr>
          <w:rFonts w:ascii="仿宋_GB2312" w:eastAsia="仿宋_GB2312" w:hAnsi="仿宋_GB2312" w:hint="eastAsia"/>
          <w:b/>
          <w:sz w:val="28"/>
          <w:szCs w:val="28"/>
        </w:rPr>
        <w:t>五</w:t>
      </w:r>
      <w:r>
        <w:rPr>
          <w:rFonts w:ascii="仿宋_GB2312" w:eastAsia="仿宋_GB2312" w:hAnsi="仿宋_GB2312"/>
          <w:b/>
          <w:sz w:val="28"/>
          <w:szCs w:val="28"/>
        </w:rPr>
        <w:t>章   违约责任及协议的终止</w:t>
      </w:r>
    </w:p>
    <w:p w:rsidR="00FC3217" w:rsidRDefault="00FC3217" w:rsidP="00FC3217">
      <w:pPr>
        <w:widowControl/>
        <w:numPr>
          <w:ilvl w:val="0"/>
          <w:numId w:val="8"/>
        </w:numPr>
        <w:shd w:val="clear" w:color="auto" w:fill="FFFFFF"/>
        <w:spacing w:line="600" w:lineRule="exact"/>
        <w:ind w:left="0" w:firstLineChars="200" w:firstLine="560"/>
        <w:jc w:val="left"/>
        <w:rPr>
          <w:rFonts w:ascii="仿宋_GB2312" w:eastAsia="仿宋_GB2312" w:hAnsi="宋体"/>
          <w:sz w:val="28"/>
          <w:szCs w:val="28"/>
        </w:rPr>
      </w:pPr>
      <w:r>
        <w:rPr>
          <w:rFonts w:ascii="仿宋_GB2312" w:eastAsia="仿宋_GB2312" w:hAnsi="仿宋_GB2312"/>
          <w:sz w:val="28"/>
          <w:szCs w:val="28"/>
        </w:rPr>
        <w:t>甲乙双方因任何一方违反本协议，而给对方所造成实际损失的，应当承担赔偿责任。一方严重违反本协议，导致本协议不能履行的，非违约方有权解除协议并要求赔偿，协议自非违约方发出书面解约通知之日起解除。</w:t>
      </w:r>
    </w:p>
    <w:p w:rsidR="00FC3217" w:rsidRDefault="00FC3217" w:rsidP="00FC3217">
      <w:pPr>
        <w:widowControl/>
        <w:numPr>
          <w:ilvl w:val="0"/>
          <w:numId w:val="8"/>
        </w:numPr>
        <w:shd w:val="clear" w:color="auto" w:fill="FFFFFF"/>
        <w:spacing w:line="600" w:lineRule="exact"/>
        <w:ind w:left="0" w:firstLineChars="200" w:firstLine="560"/>
        <w:jc w:val="left"/>
        <w:rPr>
          <w:rFonts w:ascii="仿宋_GB2312" w:eastAsia="仿宋_GB2312" w:hAnsi="宋体"/>
          <w:sz w:val="28"/>
          <w:szCs w:val="28"/>
        </w:rPr>
      </w:pPr>
      <w:r>
        <w:rPr>
          <w:rFonts w:ascii="仿宋_GB2312" w:eastAsia="仿宋_GB2312" w:hAnsi="仿宋_GB2312"/>
          <w:sz w:val="28"/>
          <w:szCs w:val="28"/>
        </w:rPr>
        <w:t>因出现火灾、地</w:t>
      </w:r>
      <w:r>
        <w:rPr>
          <w:rFonts w:ascii="仿宋_GB2312" w:eastAsia="仿宋_GB2312" w:hAnsi="宋体"/>
          <w:sz w:val="28"/>
          <w:szCs w:val="28"/>
        </w:rPr>
        <w:t xml:space="preserve"> </w:t>
      </w:r>
      <w:r>
        <w:rPr>
          <w:rFonts w:ascii="仿宋_GB2312" w:eastAsia="仿宋_GB2312" w:hAnsi="仿宋_GB2312"/>
          <w:sz w:val="28"/>
          <w:szCs w:val="28"/>
        </w:rPr>
        <w:t>震</w:t>
      </w:r>
      <w:r>
        <w:rPr>
          <w:rFonts w:ascii="仿宋_GB2312" w:eastAsia="仿宋_GB2312" w:hAnsi="宋体"/>
          <w:sz w:val="28"/>
          <w:szCs w:val="28"/>
        </w:rPr>
        <w:t xml:space="preserve"> </w:t>
      </w:r>
      <w:r>
        <w:rPr>
          <w:rFonts w:ascii="仿宋_GB2312" w:eastAsia="仿宋_GB2312" w:hAnsi="仿宋_GB2312"/>
          <w:sz w:val="28"/>
          <w:szCs w:val="28"/>
        </w:rPr>
        <w:t>、瘟疫、社会动乱等不能预见、不能避免并不能克服的不可抗力情形，或因出现无法控制和不可预测的系统故障、设备故障</w:t>
      </w:r>
      <w:r>
        <w:rPr>
          <w:rFonts w:ascii="仿宋_GB2312" w:eastAsia="仿宋_GB2312" w:hAnsi="宋体"/>
          <w:sz w:val="28"/>
          <w:szCs w:val="28"/>
        </w:rPr>
        <w:t xml:space="preserve"> </w:t>
      </w:r>
      <w:r>
        <w:rPr>
          <w:rFonts w:ascii="仿宋_GB2312" w:eastAsia="仿宋_GB2312" w:hAnsi="仿宋_GB2312"/>
          <w:sz w:val="28"/>
          <w:szCs w:val="28"/>
        </w:rPr>
        <w:t>、通讯故障、电力故障等异常事故，或因本协议生效后新颁布、实施或修改的法律、法规、规章、规则或政策等</w:t>
      </w:r>
      <w:r>
        <w:rPr>
          <w:rFonts w:ascii="仿宋_GB2312" w:eastAsia="仿宋_GB2312" w:hAnsi="仿宋_GB2312"/>
          <w:sz w:val="28"/>
          <w:szCs w:val="28"/>
        </w:rPr>
        <w:lastRenderedPageBreak/>
        <w:t>因素，导致协议任何一方不能及时或完全履行本协议的，其相应责任应予免除。</w:t>
      </w:r>
    </w:p>
    <w:p w:rsidR="00FC3217" w:rsidRDefault="00FC3217" w:rsidP="00FC3217">
      <w:pPr>
        <w:widowControl/>
        <w:shd w:val="clear" w:color="auto" w:fill="FFFFFF"/>
        <w:spacing w:line="600" w:lineRule="exact"/>
        <w:ind w:firstLineChars="200" w:firstLine="560"/>
        <w:jc w:val="left"/>
        <w:rPr>
          <w:rFonts w:ascii="仿宋_GB2312" w:eastAsia="仿宋_GB2312" w:hAnsi="宋体"/>
          <w:sz w:val="28"/>
          <w:szCs w:val="28"/>
        </w:rPr>
      </w:pPr>
      <w:r>
        <w:rPr>
          <w:rFonts w:ascii="仿宋_GB2312" w:eastAsia="仿宋_GB2312" w:hAnsi="仿宋_GB2312"/>
          <w:sz w:val="28"/>
          <w:szCs w:val="28"/>
        </w:rPr>
        <w:t>遭受不可抗力、异常事故或知悉政策法律变化的一方或双方应在遭受不可抗力、异常事故或知悉政策法律变化后</w:t>
      </w:r>
      <w:r>
        <w:rPr>
          <w:rFonts w:ascii="仿宋_GB2312" w:eastAsia="仿宋_GB2312" w:hAnsi="宋体"/>
          <w:sz w:val="28"/>
          <w:szCs w:val="28"/>
        </w:rPr>
        <w:t xml:space="preserve"> </w:t>
      </w:r>
      <w:r>
        <w:rPr>
          <w:rFonts w:ascii="仿宋_GB2312" w:eastAsia="仿宋_GB2312" w:hAnsi="仿宋_GB2312"/>
          <w:sz w:val="28"/>
          <w:szCs w:val="28"/>
        </w:rPr>
        <w:t xml:space="preserve">的 </w:t>
      </w:r>
      <w:r>
        <w:rPr>
          <w:rFonts w:ascii="仿宋_GB2312" w:eastAsia="仿宋_GB2312" w:hAnsi="仿宋_GB2312"/>
          <w:sz w:val="28"/>
          <w:szCs w:val="28"/>
          <w:u w:val="single"/>
        </w:rPr>
        <w:t xml:space="preserve">  </w:t>
      </w:r>
      <w:r>
        <w:rPr>
          <w:rFonts w:ascii="仿宋_GB2312" w:eastAsia="仿宋_GB2312" w:hAnsi="仿宋_GB2312"/>
          <w:sz w:val="28"/>
          <w:szCs w:val="28"/>
        </w:rPr>
        <w:t>日内书面通知另一方，并提供相应证明，双方应积极协调善后事宜。</w:t>
      </w:r>
    </w:p>
    <w:p w:rsidR="00FC3217" w:rsidRDefault="00FC3217" w:rsidP="00FC3217">
      <w:pPr>
        <w:widowControl/>
        <w:numPr>
          <w:ilvl w:val="0"/>
          <w:numId w:val="8"/>
        </w:numPr>
        <w:shd w:val="clear" w:color="auto" w:fill="FFFFFF"/>
        <w:spacing w:line="600" w:lineRule="exact"/>
        <w:ind w:left="0" w:firstLineChars="200" w:firstLine="560"/>
        <w:jc w:val="left"/>
        <w:rPr>
          <w:rFonts w:ascii="仿宋_GB2312" w:eastAsia="仿宋_GB2312" w:hAnsi="宋体"/>
          <w:sz w:val="28"/>
          <w:szCs w:val="28"/>
        </w:rPr>
      </w:pPr>
      <w:r>
        <w:rPr>
          <w:rFonts w:ascii="仿宋_GB2312" w:eastAsia="仿宋_GB2312" w:hAnsi="仿宋_GB2312"/>
          <w:sz w:val="28"/>
          <w:szCs w:val="28"/>
        </w:rPr>
        <w:t>甲乙双方均有权解除本协议。除有本协议第二十</w:t>
      </w:r>
      <w:r>
        <w:rPr>
          <w:rFonts w:ascii="仿宋_GB2312" w:eastAsia="仿宋_GB2312" w:hAnsi="仿宋_GB2312" w:hint="eastAsia"/>
          <w:sz w:val="28"/>
          <w:szCs w:val="28"/>
        </w:rPr>
        <w:t>五</w:t>
      </w:r>
      <w:r>
        <w:rPr>
          <w:rFonts w:ascii="仿宋_GB2312" w:eastAsia="仿宋_GB2312" w:hAnsi="仿宋_GB2312"/>
          <w:sz w:val="28"/>
          <w:szCs w:val="28"/>
        </w:rPr>
        <w:t>条规定的情形外，主张解除协议的一方应当提前一个月书面通知对方。</w:t>
      </w:r>
    </w:p>
    <w:p w:rsidR="00FC3217" w:rsidRDefault="00FC3217" w:rsidP="00FC3217">
      <w:pPr>
        <w:widowControl/>
        <w:numPr>
          <w:ilvl w:val="0"/>
          <w:numId w:val="8"/>
        </w:numPr>
        <w:shd w:val="clear" w:color="auto" w:fill="FFFFFF"/>
        <w:spacing w:line="600" w:lineRule="exact"/>
        <w:ind w:left="0" w:firstLineChars="200" w:firstLine="560"/>
        <w:jc w:val="left"/>
        <w:rPr>
          <w:rFonts w:ascii="仿宋_GB2312" w:eastAsia="仿宋_GB2312" w:hAnsi="宋体"/>
          <w:sz w:val="28"/>
          <w:szCs w:val="28"/>
        </w:rPr>
      </w:pPr>
      <w:r>
        <w:rPr>
          <w:rFonts w:ascii="仿宋_GB2312" w:eastAsia="仿宋_GB2312" w:hAnsi="仿宋_GB2312"/>
          <w:sz w:val="28"/>
          <w:szCs w:val="28"/>
        </w:rPr>
        <w:t>甲乙双方因丧失业务资格或依法不能从事相关业务，本协议自动终止</w:t>
      </w:r>
      <w:r>
        <w:rPr>
          <w:rFonts w:ascii="仿宋_GB2312" w:eastAsia="仿宋_GB2312" w:hAnsi="仿宋_GB2312" w:hint="eastAsia"/>
          <w:sz w:val="28"/>
          <w:szCs w:val="28"/>
        </w:rPr>
        <w:t>。</w:t>
      </w:r>
    </w:p>
    <w:p w:rsidR="00FC3217" w:rsidRDefault="00FC3217" w:rsidP="00FC3217">
      <w:pPr>
        <w:widowControl/>
        <w:numPr>
          <w:ilvl w:val="0"/>
          <w:numId w:val="8"/>
        </w:numPr>
        <w:shd w:val="clear" w:color="auto" w:fill="FFFFFF"/>
        <w:spacing w:line="600" w:lineRule="exact"/>
        <w:ind w:left="0" w:firstLineChars="200" w:firstLine="560"/>
        <w:jc w:val="left"/>
        <w:rPr>
          <w:rFonts w:ascii="仿宋_GB2312" w:eastAsia="仿宋_GB2312" w:hAnsi="宋体"/>
          <w:sz w:val="28"/>
          <w:szCs w:val="28"/>
        </w:rPr>
      </w:pPr>
      <w:r>
        <w:rPr>
          <w:rFonts w:ascii="仿宋_GB2312" w:eastAsia="仿宋_GB2312" w:hAnsi="仿宋_GB2312"/>
          <w:sz w:val="28"/>
          <w:szCs w:val="28"/>
        </w:rPr>
        <w:t>协议解除或终止后，介绍业务的报酬和相关费用的支付等善后事宜，由双方协商处理。</w:t>
      </w:r>
    </w:p>
    <w:p w:rsidR="00FC3217" w:rsidRDefault="00FC3217" w:rsidP="00FC3217">
      <w:pPr>
        <w:widowControl/>
        <w:shd w:val="clear" w:color="auto" w:fill="FFFFFF"/>
        <w:spacing w:line="420" w:lineRule="atLeast"/>
        <w:jc w:val="center"/>
        <w:rPr>
          <w:rFonts w:hAnsi="宋体"/>
          <w:sz w:val="28"/>
          <w:szCs w:val="28"/>
        </w:rPr>
      </w:pPr>
      <w:r>
        <w:rPr>
          <w:rFonts w:ascii="仿宋_GB2312" w:eastAsia="仿宋_GB2312" w:hAnsi="仿宋_GB2312"/>
          <w:b/>
          <w:sz w:val="28"/>
          <w:szCs w:val="28"/>
        </w:rPr>
        <w:t>第</w:t>
      </w:r>
      <w:r>
        <w:rPr>
          <w:rFonts w:ascii="仿宋_GB2312" w:eastAsia="仿宋_GB2312" w:hAnsi="仿宋_GB2312" w:hint="eastAsia"/>
          <w:b/>
          <w:sz w:val="28"/>
          <w:szCs w:val="28"/>
        </w:rPr>
        <w:t>六</w:t>
      </w:r>
      <w:r>
        <w:rPr>
          <w:rFonts w:ascii="仿宋_GB2312" w:eastAsia="仿宋_GB2312" w:hAnsi="仿宋_GB2312"/>
          <w:b/>
          <w:sz w:val="28"/>
          <w:szCs w:val="28"/>
        </w:rPr>
        <w:t xml:space="preserve">章 </w:t>
      </w:r>
      <w:r>
        <w:rPr>
          <w:rFonts w:hAnsi="宋体"/>
          <w:b/>
          <w:sz w:val="28"/>
          <w:szCs w:val="28"/>
        </w:rPr>
        <w:t xml:space="preserve">     </w:t>
      </w:r>
      <w:r>
        <w:rPr>
          <w:rFonts w:ascii="仿宋_GB2312" w:eastAsia="仿宋_GB2312" w:hAnsi="仿宋_GB2312"/>
          <w:b/>
          <w:sz w:val="28"/>
          <w:szCs w:val="28"/>
        </w:rPr>
        <w:t>其他约定</w:t>
      </w:r>
    </w:p>
    <w:p w:rsidR="00FC3217" w:rsidRDefault="00FC3217" w:rsidP="00FC3217">
      <w:pPr>
        <w:widowControl/>
        <w:numPr>
          <w:ilvl w:val="0"/>
          <w:numId w:val="8"/>
        </w:numPr>
        <w:shd w:val="clear" w:color="auto" w:fill="FFFFFF"/>
        <w:spacing w:line="600" w:lineRule="exact"/>
        <w:ind w:left="0" w:firstLineChars="200" w:firstLine="560"/>
        <w:jc w:val="left"/>
        <w:rPr>
          <w:rFonts w:ascii="仿宋_GB2312" w:eastAsia="仿宋_GB2312" w:hAnsi="宋体"/>
          <w:sz w:val="28"/>
          <w:szCs w:val="28"/>
        </w:rPr>
      </w:pPr>
      <w:r>
        <w:rPr>
          <w:rFonts w:ascii="仿宋_GB2312" w:eastAsia="仿宋_GB2312" w:hAnsi="仿宋_GB2312"/>
          <w:sz w:val="28"/>
          <w:szCs w:val="28"/>
        </w:rPr>
        <w:t>甲乙双方对于在介绍业务过程中获知的对方或客户的资料和信息，负有保密义务。未经另一方或客户事先书面许可，任何一方不得对外披露、透露或提供有关的资料和信息。违反本约定给对方或客户造成损失的，应当负赔偿责任</w:t>
      </w:r>
      <w:r>
        <w:rPr>
          <w:rFonts w:ascii="仿宋_GB2312" w:eastAsia="仿宋_GB2312" w:hAnsi="仿宋_GB2312" w:hint="eastAsia"/>
          <w:sz w:val="28"/>
          <w:szCs w:val="28"/>
        </w:rPr>
        <w:t>。</w:t>
      </w:r>
    </w:p>
    <w:p w:rsidR="00FC3217" w:rsidRDefault="00FC3217" w:rsidP="00FC3217">
      <w:pPr>
        <w:widowControl/>
        <w:shd w:val="clear" w:color="auto" w:fill="FFFFFF"/>
        <w:spacing w:line="600" w:lineRule="exact"/>
        <w:ind w:firstLineChars="200" w:firstLine="560"/>
        <w:jc w:val="left"/>
        <w:rPr>
          <w:rFonts w:ascii="仿宋_GB2312" w:eastAsia="仿宋_GB2312" w:hAnsi="宋体"/>
          <w:sz w:val="28"/>
          <w:szCs w:val="28"/>
        </w:rPr>
      </w:pPr>
      <w:r>
        <w:rPr>
          <w:rFonts w:ascii="仿宋_GB2312" w:eastAsia="仿宋_GB2312" w:hAnsi="仿宋_GB2312"/>
          <w:sz w:val="28"/>
          <w:szCs w:val="28"/>
        </w:rPr>
        <w:t>国家有关部门依法要求查询或要求提供有关的资料和信息的，不受前款约束。</w:t>
      </w:r>
    </w:p>
    <w:p w:rsidR="00FC3217" w:rsidRDefault="00FC3217" w:rsidP="00FC3217">
      <w:pPr>
        <w:widowControl/>
        <w:numPr>
          <w:ilvl w:val="0"/>
          <w:numId w:val="8"/>
        </w:numPr>
        <w:shd w:val="clear" w:color="auto" w:fill="FFFFFF"/>
        <w:spacing w:line="600" w:lineRule="exact"/>
        <w:ind w:left="0" w:firstLineChars="200" w:firstLine="560"/>
        <w:jc w:val="left"/>
        <w:rPr>
          <w:rFonts w:ascii="仿宋_GB2312" w:eastAsia="仿宋_GB2312" w:hAnsi="宋体"/>
          <w:sz w:val="28"/>
          <w:szCs w:val="28"/>
        </w:rPr>
      </w:pPr>
      <w:r>
        <w:rPr>
          <w:rFonts w:ascii="仿宋_GB2312" w:eastAsia="仿宋_GB2312" w:hAnsi="仿宋_GB2312"/>
          <w:sz w:val="28"/>
          <w:szCs w:val="28"/>
        </w:rPr>
        <w:t>有关本协议的签署、效力和争议解决等均适用中华人民共和国法律、法规及其他有关规章、规则。</w:t>
      </w:r>
    </w:p>
    <w:p w:rsidR="00FC3217" w:rsidRDefault="00FC3217" w:rsidP="00FC3217">
      <w:pPr>
        <w:widowControl/>
        <w:shd w:val="clear" w:color="auto" w:fill="FFFFFF"/>
        <w:spacing w:line="600" w:lineRule="exact"/>
        <w:ind w:firstLineChars="200" w:firstLine="560"/>
        <w:jc w:val="left"/>
        <w:rPr>
          <w:rFonts w:ascii="仿宋_GB2312" w:eastAsia="仿宋_GB2312" w:hAnsi="宋体"/>
          <w:sz w:val="28"/>
          <w:szCs w:val="28"/>
        </w:rPr>
      </w:pPr>
      <w:r>
        <w:rPr>
          <w:rFonts w:ascii="仿宋_GB2312" w:eastAsia="仿宋_GB2312" w:hAnsi="仿宋_GB2312"/>
          <w:sz w:val="28"/>
          <w:szCs w:val="28"/>
        </w:rPr>
        <w:t>本协议签署后，若有关法律、法规、规章、规则修订，本协议与之不相适应的内容及条款自行失效，相关内容及条款按新修订的法律、法规、规章、规则办理。但本协议其他内容和条款继续有效。</w:t>
      </w:r>
    </w:p>
    <w:p w:rsidR="00FC3217" w:rsidRDefault="00FC3217" w:rsidP="00FC3217">
      <w:pPr>
        <w:widowControl/>
        <w:numPr>
          <w:ilvl w:val="0"/>
          <w:numId w:val="8"/>
        </w:numPr>
        <w:shd w:val="clear" w:color="auto" w:fill="FFFFFF"/>
        <w:spacing w:line="600" w:lineRule="exact"/>
        <w:ind w:left="0" w:firstLineChars="200" w:firstLine="560"/>
        <w:jc w:val="left"/>
        <w:rPr>
          <w:rFonts w:ascii="仿宋_GB2312" w:eastAsia="仿宋_GB2312" w:hAnsi="宋体"/>
          <w:sz w:val="28"/>
          <w:szCs w:val="28"/>
        </w:rPr>
      </w:pPr>
      <w:r>
        <w:rPr>
          <w:rFonts w:ascii="仿宋_GB2312" w:eastAsia="仿宋_GB2312" w:hAnsi="仿宋_GB2312"/>
          <w:sz w:val="28"/>
          <w:szCs w:val="28"/>
        </w:rPr>
        <w:lastRenderedPageBreak/>
        <w:t>本协议执行中如发生争议</w:t>
      </w:r>
      <w:r>
        <w:rPr>
          <w:rFonts w:ascii="仿宋_GB2312" w:eastAsia="仿宋_GB2312" w:hAnsi="宋体"/>
          <w:sz w:val="28"/>
          <w:szCs w:val="28"/>
        </w:rPr>
        <w:t xml:space="preserve"> </w:t>
      </w:r>
      <w:r>
        <w:rPr>
          <w:rFonts w:ascii="仿宋_GB2312" w:eastAsia="仿宋_GB2312" w:hAnsi="仿宋_GB2312"/>
          <w:sz w:val="28"/>
          <w:szCs w:val="28"/>
        </w:rPr>
        <w:t xml:space="preserve">，由双方友好协商解决。协商不成的，双方可以提请中国证券业协会、中国期货业协会调解，也可以采取以下第 </w:t>
      </w:r>
      <w:r>
        <w:rPr>
          <w:rFonts w:ascii="仿宋_GB2312" w:eastAsia="仿宋_GB2312" w:hAnsi="仿宋_GB2312"/>
          <w:sz w:val="28"/>
          <w:szCs w:val="28"/>
          <w:u w:val="single"/>
        </w:rPr>
        <w:t xml:space="preserve">       </w:t>
      </w:r>
      <w:r>
        <w:rPr>
          <w:rFonts w:ascii="仿宋_GB2312" w:eastAsia="仿宋_GB2312" w:hAnsi="仿宋_GB2312"/>
          <w:sz w:val="28"/>
          <w:szCs w:val="28"/>
        </w:rPr>
        <w:t>种方式解决：</w:t>
      </w:r>
    </w:p>
    <w:p w:rsidR="00FC3217" w:rsidRDefault="00FC3217" w:rsidP="00FC3217">
      <w:pPr>
        <w:pStyle w:val="af2"/>
        <w:autoSpaceDN w:val="0"/>
        <w:spacing w:line="600" w:lineRule="exact"/>
        <w:ind w:firstLine="560"/>
        <w:jc w:val="left"/>
        <w:rPr>
          <w:rFonts w:ascii="仿宋_GB2312" w:eastAsia="仿宋_GB2312" w:hAnsi="宋体"/>
          <w:sz w:val="28"/>
          <w:szCs w:val="28"/>
        </w:rPr>
      </w:pPr>
      <w:r>
        <w:rPr>
          <w:rFonts w:ascii="仿宋_GB2312" w:eastAsia="仿宋_GB2312" w:hAnsi="仿宋_GB2312"/>
          <w:sz w:val="28"/>
          <w:szCs w:val="28"/>
        </w:rPr>
        <w:t>（一）向</w:t>
      </w:r>
      <w:r>
        <w:rPr>
          <w:rFonts w:ascii="仿宋_GB2312" w:eastAsia="仿宋_GB2312" w:hAnsi="宋体"/>
          <w:sz w:val="28"/>
          <w:szCs w:val="28"/>
        </w:rPr>
        <w:t xml:space="preserve"> </w:t>
      </w:r>
      <w:r>
        <w:rPr>
          <w:rFonts w:ascii="仿宋_GB2312" w:eastAsia="仿宋_GB2312" w:hAnsi="仿宋_GB2312"/>
          <w:sz w:val="28"/>
          <w:szCs w:val="28"/>
          <w:u w:val="single"/>
        </w:rPr>
        <w:t xml:space="preserve">                    </w:t>
      </w:r>
      <w:r>
        <w:rPr>
          <w:rFonts w:ascii="仿宋_GB2312" w:eastAsia="仿宋_GB2312" w:hAnsi="仿宋_GB2312"/>
          <w:sz w:val="28"/>
          <w:szCs w:val="28"/>
        </w:rPr>
        <w:t>仲裁委员会申请按照该会仲裁</w:t>
      </w:r>
      <w:r>
        <w:rPr>
          <w:rFonts w:ascii="仿宋_GB2312" w:eastAsia="仿宋_GB2312" w:hAnsi="宋体"/>
          <w:sz w:val="28"/>
          <w:szCs w:val="28"/>
        </w:rPr>
        <w:t xml:space="preserve"> </w:t>
      </w:r>
      <w:r>
        <w:rPr>
          <w:rFonts w:ascii="仿宋_GB2312" w:eastAsia="仿宋_GB2312" w:hAnsi="仿宋_GB2312"/>
          <w:sz w:val="28"/>
          <w:szCs w:val="28"/>
        </w:rPr>
        <w:t>规则进行仲裁</w:t>
      </w:r>
      <w:r>
        <w:rPr>
          <w:rFonts w:ascii="仿宋_GB2312" w:eastAsia="仿宋_GB2312" w:hAnsi="宋体"/>
          <w:sz w:val="28"/>
          <w:szCs w:val="28"/>
        </w:rPr>
        <w:t xml:space="preserve"> </w:t>
      </w:r>
      <w:r>
        <w:rPr>
          <w:rFonts w:ascii="仿宋_GB2312" w:eastAsia="仿宋_GB2312" w:hAnsi="仿宋_GB2312"/>
          <w:sz w:val="28"/>
          <w:szCs w:val="28"/>
        </w:rPr>
        <w:t xml:space="preserve">。 </w:t>
      </w:r>
    </w:p>
    <w:p w:rsidR="00FC3217" w:rsidRDefault="00FC3217" w:rsidP="00FC3217">
      <w:pPr>
        <w:pStyle w:val="af2"/>
        <w:widowControl/>
        <w:shd w:val="clear" w:color="auto" w:fill="FFFFFF"/>
        <w:spacing w:line="600" w:lineRule="exact"/>
        <w:ind w:firstLine="560"/>
        <w:jc w:val="left"/>
        <w:rPr>
          <w:rFonts w:ascii="仿宋_GB2312" w:eastAsia="仿宋_GB2312" w:hAnsi="宋体"/>
          <w:sz w:val="28"/>
          <w:szCs w:val="28"/>
        </w:rPr>
      </w:pPr>
      <w:r>
        <w:rPr>
          <w:rFonts w:ascii="仿宋_GB2312" w:eastAsia="仿宋_GB2312" w:hAnsi="仿宋_GB2312" w:hint="eastAsia"/>
          <w:sz w:val="28"/>
          <w:szCs w:val="28"/>
        </w:rPr>
        <w:t>（二）向</w:t>
      </w:r>
      <w:r>
        <w:rPr>
          <w:rFonts w:ascii="仿宋_GB2312" w:eastAsia="仿宋_GB2312" w:hAnsi="仿宋_GB2312"/>
          <w:sz w:val="28"/>
          <w:szCs w:val="28"/>
        </w:rPr>
        <w:t xml:space="preserve"> </w:t>
      </w:r>
      <w:r>
        <w:rPr>
          <w:rFonts w:ascii="仿宋_GB2312" w:eastAsia="仿宋_GB2312" w:hAnsi="仿宋_GB2312"/>
          <w:sz w:val="28"/>
          <w:szCs w:val="28"/>
          <w:u w:val="single"/>
        </w:rPr>
        <w:t xml:space="preserve">                    </w:t>
      </w:r>
      <w:r>
        <w:rPr>
          <w:rFonts w:ascii="仿宋_GB2312" w:eastAsia="仿宋_GB2312" w:hAnsi="仿宋_GB2312"/>
          <w:sz w:val="28"/>
          <w:szCs w:val="28"/>
        </w:rPr>
        <w:t>方所在地人民法院提起诉讼</w:t>
      </w:r>
      <w:r>
        <w:rPr>
          <w:rFonts w:ascii="仿宋_GB2312" w:eastAsia="仿宋_GB2312" w:hAnsi="仿宋_GB2312" w:hint="eastAsia"/>
          <w:sz w:val="28"/>
          <w:szCs w:val="28"/>
        </w:rPr>
        <w:t>。</w:t>
      </w:r>
    </w:p>
    <w:p w:rsidR="00FC3217" w:rsidRDefault="00FC3217" w:rsidP="00FC3217">
      <w:pPr>
        <w:widowControl/>
        <w:numPr>
          <w:ilvl w:val="0"/>
          <w:numId w:val="8"/>
        </w:numPr>
        <w:shd w:val="clear" w:color="auto" w:fill="FFFFFF"/>
        <w:spacing w:line="600" w:lineRule="exact"/>
        <w:ind w:left="0" w:firstLineChars="200" w:firstLine="560"/>
        <w:jc w:val="left"/>
        <w:rPr>
          <w:rFonts w:ascii="仿宋_GB2312" w:eastAsia="仿宋_GB2312" w:hAnsi="宋体"/>
          <w:sz w:val="28"/>
          <w:szCs w:val="28"/>
        </w:rPr>
      </w:pPr>
      <w:r>
        <w:rPr>
          <w:rFonts w:ascii="仿宋_GB2312" w:eastAsia="仿宋_GB2312" w:hAnsi="仿宋_GB2312"/>
          <w:sz w:val="28"/>
          <w:szCs w:val="28"/>
        </w:rPr>
        <w:t>本协议未尽事宜，可由甲乙双方协商解决并另行签署书面协议，该协议与本协议具有同等法律效力。</w:t>
      </w:r>
    </w:p>
    <w:p w:rsidR="00FC3217" w:rsidRDefault="00FC3217" w:rsidP="00FC3217">
      <w:pPr>
        <w:autoSpaceDN w:val="0"/>
        <w:spacing w:line="600" w:lineRule="exact"/>
        <w:ind w:firstLineChars="200" w:firstLine="560"/>
        <w:rPr>
          <w:rFonts w:ascii="仿宋_GB2312" w:eastAsia="仿宋_GB2312"/>
          <w:sz w:val="28"/>
          <w:szCs w:val="28"/>
        </w:rPr>
      </w:pPr>
    </w:p>
    <w:p w:rsidR="00FC3217" w:rsidRDefault="00FC3217" w:rsidP="00FC3217">
      <w:pPr>
        <w:rPr>
          <w:rFonts w:ascii="仿宋_GB2312" w:eastAsia="仿宋_GB2312"/>
          <w:color w:val="000000"/>
          <w:sz w:val="28"/>
          <w:szCs w:val="28"/>
        </w:rPr>
      </w:pPr>
    </w:p>
    <w:p w:rsidR="001827A4" w:rsidRPr="00FC3217" w:rsidRDefault="00C21F66"/>
    <w:sectPr w:rsidR="001827A4" w:rsidRPr="00FC3217" w:rsidSect="007415B7">
      <w:footerReference w:type="default" r:id="rId21"/>
      <w:footerReference w:type="first" r:id="rId22"/>
      <w:pgSz w:w="11906" w:h="16838"/>
      <w:pgMar w:top="1440" w:right="1800" w:bottom="1440" w:left="1800" w:header="851" w:footer="992" w:gutter="0"/>
      <w:pgNumType w:start="1"/>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1F66" w:rsidRDefault="00C21F66" w:rsidP="00FC3217">
      <w:r>
        <w:separator/>
      </w:r>
    </w:p>
  </w:endnote>
  <w:endnote w:type="continuationSeparator" w:id="0">
    <w:p w:rsidR="00C21F66" w:rsidRDefault="00C21F66" w:rsidP="00FC3217">
      <w:r>
        <w:continuationSeparator/>
      </w:r>
    </w:p>
  </w:endnote>
</w:endnotes>
</file>

<file path=word/fontTable.xml><?xml version="1.0" encoding="utf-8"?>
<w:fonts xmlns:r="http://schemas.openxmlformats.org/officeDocument/2006/relationships" xmlns:w="http://schemas.openxmlformats.org/wordprocessingml/2006/main">
  <w:font w:name="仿宋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217" w:rsidRDefault="00FC3217">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217" w:rsidRDefault="00FC3217">
    <w:pPr>
      <w:pStyle w:val="a4"/>
      <w:jc w:val="center"/>
    </w:pPr>
  </w:p>
  <w:p w:rsidR="00FC3217" w:rsidRDefault="00FC3217">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217" w:rsidRDefault="00FC3217">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217" w:rsidRDefault="00777240">
    <w:pPr>
      <w:pStyle w:val="a4"/>
      <w:jc w:val="center"/>
    </w:pPr>
    <w:r>
      <w:pict>
        <v:shapetype id="_x0000_t202" coordsize="21600,21600" o:spt="202" path="m,l,21600r21600,l21600,xe">
          <v:stroke joinstyle="miter"/>
          <v:path gradientshapeok="t" o:connecttype="rect"/>
        </v:shapetype>
        <v:shape id="文本框 1029" o:spid="_x0000_s1025" type="#_x0000_t202" style="position:absolute;left:0;text-align:left;margin-left:0;margin-top:0;width:2in;height:2in;z-index:251656704;mso-wrap-style:none;mso-position-horizontal:center;mso-position-horizontal-relative:margin" filled="f" stroked="f">
          <v:fill o:detectmouseclick="t"/>
          <v:textbox style="mso-fit-shape-to-text:t" inset="0,0,0,0">
            <w:txbxContent>
              <w:p w:rsidR="00FC3217" w:rsidRDefault="00FC3217">
                <w:pPr>
                  <w:pStyle w:val="a4"/>
                  <w:jc w:val="center"/>
                </w:pPr>
              </w:p>
              <w:p w:rsidR="00FC3217" w:rsidRDefault="00FC3217"/>
            </w:txbxContent>
          </v:textbox>
          <w10:wrap anchorx="margin"/>
        </v:shape>
      </w:pict>
    </w:r>
  </w:p>
  <w:p w:rsidR="00FC3217" w:rsidRDefault="00FC3217">
    <w:pPr>
      <w:pStyle w:val="a4"/>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217" w:rsidRDefault="00FC3217">
    <w:pPr>
      <w:pStyle w:val="a4"/>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EC2" w:rsidRDefault="00777240">
    <w:pPr>
      <w:pStyle w:val="a4"/>
      <w:jc w:val="center"/>
    </w:pPr>
    <w:r>
      <w:pict>
        <v:shapetype id="_x0000_t202" coordsize="21600,21600" o:spt="202" path="m,l,21600r21600,l21600,xe">
          <v:stroke joinstyle="miter"/>
          <v:path gradientshapeok="t" o:connecttype="rect"/>
        </v:shapetype>
        <v:shape id="文本框 1030" o:spid="_x0000_s1026" type="#_x0000_t202" style="position:absolute;left:0;text-align:left;margin-left:0;margin-top:0;width:2in;height:2in;z-index:251657728;mso-wrap-style:none;mso-position-horizontal:center;mso-position-horizontal-relative:margin" filled="f" stroked="f">
          <v:fill o:detectmouseclick="t"/>
          <v:textbox style="mso-fit-shape-to-text:t" inset="0,0,0,0">
            <w:txbxContent>
              <w:p w:rsidR="00B11EC2" w:rsidRDefault="00777240">
                <w:pPr>
                  <w:pStyle w:val="a4"/>
                  <w:jc w:val="center"/>
                </w:pPr>
                <w:r>
                  <w:fldChar w:fldCharType="begin"/>
                </w:r>
                <w:r w:rsidR="008C1C3B">
                  <w:instrText xml:space="preserve"> PAGE   \* MERGEFORMAT </w:instrText>
                </w:r>
                <w:r>
                  <w:fldChar w:fldCharType="separate"/>
                </w:r>
                <w:r w:rsidR="00021BE0" w:rsidRPr="00021BE0">
                  <w:rPr>
                    <w:noProof/>
                    <w:lang w:val="zh-CN"/>
                  </w:rPr>
                  <w:t>3</w:t>
                </w:r>
                <w:r>
                  <w:fldChar w:fldCharType="end"/>
                </w:r>
              </w:p>
            </w:txbxContent>
          </v:textbox>
          <w10:wrap anchorx="margin"/>
        </v:shape>
      </w:pict>
    </w:r>
  </w:p>
  <w:p w:rsidR="00B11EC2" w:rsidRDefault="00C21F66">
    <w:pPr>
      <w:pStyle w:val="a4"/>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EC2" w:rsidRDefault="00777240">
    <w:pPr>
      <w:pStyle w:val="a4"/>
    </w:pPr>
    <w:r>
      <w:pict>
        <v:shapetype id="_x0000_t202" coordsize="21600,21600" o:spt="202" path="m,l,21600r21600,l21600,xe">
          <v:stroke joinstyle="miter"/>
          <v:path gradientshapeok="t" o:connecttype="rect"/>
        </v:shapetype>
        <v:shape id="文本框 1031" o:spid="_x0000_s1027" type="#_x0000_t202" style="position:absolute;margin-left:0;margin-top:0;width:2in;height:2in;z-index:251658752;mso-wrap-style:none;mso-position-horizontal:center;mso-position-horizontal-relative:margin" filled="f" stroked="f">
          <v:fill o:detectmouseclick="t"/>
          <v:textbox style="mso-fit-shape-to-text:t" inset="0,0,0,0">
            <w:txbxContent>
              <w:p w:rsidR="00B11EC2" w:rsidRDefault="00777240">
                <w:pPr>
                  <w:snapToGrid w:val="0"/>
                  <w:rPr>
                    <w:sz w:val="18"/>
                  </w:rPr>
                </w:pPr>
                <w:r>
                  <w:rPr>
                    <w:rFonts w:hint="eastAsia"/>
                    <w:sz w:val="18"/>
                  </w:rPr>
                  <w:fldChar w:fldCharType="begin"/>
                </w:r>
                <w:r w:rsidR="008C1C3B">
                  <w:rPr>
                    <w:rFonts w:hint="eastAsia"/>
                    <w:sz w:val="18"/>
                  </w:rPr>
                  <w:instrText xml:space="preserve"> PAGE  \* MERGEFORMAT </w:instrText>
                </w:r>
                <w:r>
                  <w:rPr>
                    <w:rFonts w:hint="eastAsia"/>
                    <w:sz w:val="18"/>
                  </w:rPr>
                  <w:fldChar w:fldCharType="separate"/>
                </w:r>
                <w:r w:rsidR="00021BE0">
                  <w:rPr>
                    <w:noProof/>
                    <w:sz w:val="18"/>
                  </w:rPr>
                  <w:t>1</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1F66" w:rsidRDefault="00C21F66" w:rsidP="00FC3217">
      <w:r>
        <w:separator/>
      </w:r>
    </w:p>
  </w:footnote>
  <w:footnote w:type="continuationSeparator" w:id="0">
    <w:p w:rsidR="00C21F66" w:rsidRDefault="00C21F66" w:rsidP="00FC32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217" w:rsidRDefault="00FC321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217" w:rsidRDefault="00FC3217">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217" w:rsidRDefault="00FC321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D102D"/>
    <w:multiLevelType w:val="multilevel"/>
    <w:tmpl w:val="118D102D"/>
    <w:lvl w:ilvl="0">
      <w:start w:val="1"/>
      <w:numFmt w:val="chineseCountingThousand"/>
      <w:lvlText w:val="第%1条"/>
      <w:lvlJc w:val="left"/>
      <w:pPr>
        <w:ind w:left="420" w:hanging="420"/>
      </w:pPr>
      <w:rPr>
        <w:rFonts w:ascii="仿宋_GB2312" w:eastAsia="仿宋_GB2312" w:cs="Times New Roman" w:hint="eastAsia"/>
        <w:b w:val="0"/>
        <w:sz w:val="30"/>
        <w:szCs w:val="30"/>
        <w:lang w:val="en-US"/>
      </w:rPr>
    </w:lvl>
    <w:lvl w:ilvl="1">
      <w:start w:val="1"/>
      <w:numFmt w:val="lowerLetter"/>
      <w:lvlText w:val="%2)"/>
      <w:lvlJc w:val="left"/>
      <w:pPr>
        <w:ind w:left="414" w:hanging="420"/>
      </w:pPr>
      <w:rPr>
        <w:rFonts w:cs="Times New Roman"/>
      </w:rPr>
    </w:lvl>
    <w:lvl w:ilvl="2">
      <w:start w:val="1"/>
      <w:numFmt w:val="lowerRoman"/>
      <w:lvlText w:val="%3."/>
      <w:lvlJc w:val="right"/>
      <w:pPr>
        <w:ind w:left="834" w:hanging="420"/>
      </w:pPr>
      <w:rPr>
        <w:rFonts w:cs="Times New Roman"/>
      </w:rPr>
    </w:lvl>
    <w:lvl w:ilvl="3">
      <w:start w:val="1"/>
      <w:numFmt w:val="decimal"/>
      <w:lvlText w:val="%4."/>
      <w:lvlJc w:val="left"/>
      <w:pPr>
        <w:ind w:left="1254" w:hanging="420"/>
      </w:pPr>
      <w:rPr>
        <w:rFonts w:cs="Times New Roman"/>
      </w:rPr>
    </w:lvl>
    <w:lvl w:ilvl="4">
      <w:start w:val="1"/>
      <w:numFmt w:val="lowerLetter"/>
      <w:lvlText w:val="%5)"/>
      <w:lvlJc w:val="left"/>
      <w:pPr>
        <w:ind w:left="1674" w:hanging="420"/>
      </w:pPr>
      <w:rPr>
        <w:rFonts w:cs="Times New Roman"/>
      </w:rPr>
    </w:lvl>
    <w:lvl w:ilvl="5">
      <w:start w:val="1"/>
      <w:numFmt w:val="lowerRoman"/>
      <w:lvlText w:val="%6."/>
      <w:lvlJc w:val="right"/>
      <w:pPr>
        <w:ind w:left="2094" w:hanging="420"/>
      </w:pPr>
      <w:rPr>
        <w:rFonts w:cs="Times New Roman"/>
      </w:rPr>
    </w:lvl>
    <w:lvl w:ilvl="6">
      <w:start w:val="1"/>
      <w:numFmt w:val="decimal"/>
      <w:lvlText w:val="%7."/>
      <w:lvlJc w:val="left"/>
      <w:pPr>
        <w:ind w:left="2514" w:hanging="420"/>
      </w:pPr>
      <w:rPr>
        <w:rFonts w:cs="Times New Roman"/>
      </w:rPr>
    </w:lvl>
    <w:lvl w:ilvl="7">
      <w:start w:val="1"/>
      <w:numFmt w:val="lowerLetter"/>
      <w:lvlText w:val="%8)"/>
      <w:lvlJc w:val="left"/>
      <w:pPr>
        <w:ind w:left="2934" w:hanging="420"/>
      </w:pPr>
      <w:rPr>
        <w:rFonts w:cs="Times New Roman"/>
      </w:rPr>
    </w:lvl>
    <w:lvl w:ilvl="8">
      <w:start w:val="1"/>
      <w:numFmt w:val="lowerRoman"/>
      <w:lvlText w:val="%9."/>
      <w:lvlJc w:val="right"/>
      <w:pPr>
        <w:ind w:left="3354" w:hanging="420"/>
      </w:pPr>
      <w:rPr>
        <w:rFonts w:cs="Times New Roman"/>
      </w:rPr>
    </w:lvl>
  </w:abstractNum>
  <w:abstractNum w:abstractNumId="1">
    <w:nsid w:val="1ED57631"/>
    <w:multiLevelType w:val="multilevel"/>
    <w:tmpl w:val="1ED57631"/>
    <w:lvl w:ilvl="0">
      <w:start w:val="1"/>
      <w:numFmt w:val="bullet"/>
      <w:lvlText w:val="□"/>
      <w:lvlJc w:val="left"/>
      <w:pPr>
        <w:ind w:left="360" w:hanging="360"/>
      </w:pPr>
      <w:rPr>
        <w:rFonts w:ascii="仿宋_GB2312" w:eastAsia="仿宋_GB2312" w:hAnsi="Times New Roman" w:cs="宋体"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31F71B54"/>
    <w:multiLevelType w:val="multilevel"/>
    <w:tmpl w:val="31F71B54"/>
    <w:lvl w:ilvl="0">
      <w:start w:val="1"/>
      <w:numFmt w:val="decimal"/>
      <w:lvlText w:val="%1."/>
      <w:lvlJc w:val="left"/>
      <w:pPr>
        <w:ind w:left="920" w:hanging="36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3">
    <w:nsid w:val="547965D8"/>
    <w:multiLevelType w:val="multilevel"/>
    <w:tmpl w:val="547965D8"/>
    <w:lvl w:ilvl="0">
      <w:numFmt w:val="bullet"/>
      <w:lvlText w:val="□"/>
      <w:lvlJc w:val="left"/>
      <w:pPr>
        <w:ind w:left="360" w:hanging="360"/>
      </w:pPr>
      <w:rPr>
        <w:rFonts w:ascii="仿宋_GB2312" w:eastAsia="仿宋_GB2312" w:hAnsi="Times New Roman" w:cs="宋体"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nsid w:val="56FC7A26"/>
    <w:multiLevelType w:val="singleLevel"/>
    <w:tmpl w:val="56FC7A26"/>
    <w:lvl w:ilvl="0">
      <w:start w:val="2"/>
      <w:numFmt w:val="decimal"/>
      <w:suff w:val="nothing"/>
      <w:lvlText w:val="%1、"/>
      <w:lvlJc w:val="left"/>
    </w:lvl>
  </w:abstractNum>
  <w:abstractNum w:abstractNumId="5">
    <w:nsid w:val="5716F39D"/>
    <w:multiLevelType w:val="singleLevel"/>
    <w:tmpl w:val="5716F39D"/>
    <w:lvl w:ilvl="0">
      <w:start w:val="6"/>
      <w:numFmt w:val="chineseCounting"/>
      <w:suff w:val="nothing"/>
      <w:lvlText w:val="（%1）"/>
      <w:lvlJc w:val="left"/>
    </w:lvl>
  </w:abstractNum>
  <w:abstractNum w:abstractNumId="6">
    <w:nsid w:val="572055F3"/>
    <w:multiLevelType w:val="singleLevel"/>
    <w:tmpl w:val="572055F3"/>
    <w:lvl w:ilvl="0">
      <w:start w:val="1"/>
      <w:numFmt w:val="decimal"/>
      <w:suff w:val="nothing"/>
      <w:lvlText w:val="%1、"/>
      <w:lvlJc w:val="left"/>
    </w:lvl>
  </w:abstractNum>
  <w:abstractNum w:abstractNumId="7">
    <w:nsid w:val="57205AF7"/>
    <w:multiLevelType w:val="multilevel"/>
    <w:tmpl w:val="57205AF7"/>
    <w:lvl w:ilvl="0">
      <w:start w:val="1"/>
      <w:numFmt w:val="decimal"/>
      <w:suff w:val="nothing"/>
      <w:lvlText w:val="（%1）"/>
      <w:lvlJc w:val="left"/>
      <w:pPr>
        <w:tabs>
          <w:tab w:val="num" w:pos="0"/>
        </w:tabs>
        <w:ind w:left="0" w:firstLine="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num>
  <w:num w:numId="2">
    <w:abstractNumId w:val="2"/>
  </w:num>
  <w:num w:numId="3">
    <w:abstractNumId w:val="7"/>
    <w:lvlOverride w:ilvl="0">
      <w:startOverride w:val="1"/>
    </w:lvlOverride>
  </w:num>
  <w:num w:numId="4">
    <w:abstractNumId w:val="5"/>
  </w:num>
  <w:num w:numId="5">
    <w:abstractNumId w:val="4"/>
  </w:num>
  <w:num w:numId="6">
    <w:abstractNumId w:val="1"/>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C3217"/>
    <w:rsid w:val="00021BE0"/>
    <w:rsid w:val="000B6E4C"/>
    <w:rsid w:val="00112352"/>
    <w:rsid w:val="00173848"/>
    <w:rsid w:val="00447F8D"/>
    <w:rsid w:val="004E65AA"/>
    <w:rsid w:val="00560312"/>
    <w:rsid w:val="006D2D5A"/>
    <w:rsid w:val="00777240"/>
    <w:rsid w:val="00822270"/>
    <w:rsid w:val="008C1C3B"/>
    <w:rsid w:val="00900876"/>
    <w:rsid w:val="00990480"/>
    <w:rsid w:val="00A04AF8"/>
    <w:rsid w:val="00B95318"/>
    <w:rsid w:val="00BE0E5A"/>
    <w:rsid w:val="00C21F66"/>
    <w:rsid w:val="00D456A0"/>
    <w:rsid w:val="00D963D1"/>
    <w:rsid w:val="00ED226A"/>
    <w:rsid w:val="00F206BE"/>
    <w:rsid w:val="00FC3217"/>
    <w:rsid w:val="00FD50F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217"/>
    <w:pPr>
      <w:widowControl w:val="0"/>
      <w:jc w:val="both"/>
    </w:pPr>
    <w:rPr>
      <w:rFonts w:ascii="Calibri" w:eastAsia="宋体" w:hAnsi="Calibri" w:cs="Times New Roman"/>
    </w:rPr>
  </w:style>
  <w:style w:type="paragraph" w:styleId="1">
    <w:name w:val="heading 1"/>
    <w:basedOn w:val="a"/>
    <w:next w:val="a"/>
    <w:link w:val="1Char1"/>
    <w:uiPriority w:val="9"/>
    <w:qFormat/>
    <w:rsid w:val="00FC3217"/>
    <w:pPr>
      <w:keepNext/>
      <w:keepLines/>
      <w:spacing w:before="340" w:after="330" w:line="578" w:lineRule="auto"/>
      <w:jc w:val="center"/>
      <w:outlineLvl w:val="0"/>
    </w:pPr>
    <w:rPr>
      <w:rFonts w:eastAsia="仿宋_GB2312"/>
      <w:b/>
      <w:bCs/>
      <w:kern w:val="44"/>
      <w:sz w:val="30"/>
      <w:szCs w:val="44"/>
    </w:rPr>
  </w:style>
  <w:style w:type="paragraph" w:styleId="2">
    <w:name w:val="heading 2"/>
    <w:basedOn w:val="a"/>
    <w:next w:val="a"/>
    <w:link w:val="2Char"/>
    <w:uiPriority w:val="9"/>
    <w:qFormat/>
    <w:rsid w:val="00FC3217"/>
    <w:pPr>
      <w:keepNext/>
      <w:keepLines/>
      <w:spacing w:before="260" w:after="260"/>
      <w:ind w:firstLineChars="200" w:firstLine="200"/>
      <w:jc w:val="left"/>
      <w:outlineLvl w:val="1"/>
    </w:pPr>
    <w:rPr>
      <w:rFonts w:ascii="Cambria" w:eastAsia="仿宋_GB2312" w:hAnsi="Cambria"/>
      <w:b/>
      <w:bCs/>
      <w:sz w:val="28"/>
      <w:szCs w:val="32"/>
    </w:rPr>
  </w:style>
  <w:style w:type="paragraph" w:styleId="3">
    <w:name w:val="heading 3"/>
    <w:basedOn w:val="a"/>
    <w:next w:val="a"/>
    <w:link w:val="3Char"/>
    <w:uiPriority w:val="9"/>
    <w:qFormat/>
    <w:rsid w:val="00FC3217"/>
    <w:pPr>
      <w:keepNext/>
      <w:keepLines/>
      <w:spacing w:before="260" w:after="260" w:line="416" w:lineRule="auto"/>
      <w:outlineLvl w:val="2"/>
    </w:pPr>
    <w:rPr>
      <w:b/>
      <w:bCs/>
      <w:sz w:val="32"/>
      <w:szCs w:val="32"/>
    </w:rPr>
  </w:style>
  <w:style w:type="paragraph" w:styleId="4">
    <w:name w:val="heading 4"/>
    <w:basedOn w:val="a"/>
    <w:next w:val="a"/>
    <w:link w:val="4Char"/>
    <w:uiPriority w:val="9"/>
    <w:qFormat/>
    <w:rsid w:val="00FC3217"/>
    <w:pPr>
      <w:keepNext/>
      <w:keepLines/>
      <w:spacing w:before="280" w:after="290" w:line="376" w:lineRule="auto"/>
      <w:outlineLvl w:val="3"/>
    </w:pPr>
    <w:rPr>
      <w:rFonts w:ascii="Cambria" w:hAnsi="Cambria"/>
      <w:b/>
      <w:bCs/>
      <w:sz w:val="28"/>
      <w:szCs w:val="28"/>
    </w:rPr>
  </w:style>
  <w:style w:type="paragraph" w:styleId="5">
    <w:name w:val="heading 5"/>
    <w:basedOn w:val="a"/>
    <w:next w:val="a"/>
    <w:link w:val="5Char"/>
    <w:uiPriority w:val="9"/>
    <w:qFormat/>
    <w:rsid w:val="00FC3217"/>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C321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C3217"/>
    <w:rPr>
      <w:sz w:val="18"/>
      <w:szCs w:val="18"/>
    </w:rPr>
  </w:style>
  <w:style w:type="paragraph" w:styleId="a4">
    <w:name w:val="footer"/>
    <w:basedOn w:val="a"/>
    <w:link w:val="Char0"/>
    <w:uiPriority w:val="99"/>
    <w:unhideWhenUsed/>
    <w:rsid w:val="00FC3217"/>
    <w:pPr>
      <w:tabs>
        <w:tab w:val="center" w:pos="4153"/>
        <w:tab w:val="right" w:pos="8306"/>
      </w:tabs>
      <w:snapToGrid w:val="0"/>
      <w:jc w:val="left"/>
    </w:pPr>
    <w:rPr>
      <w:sz w:val="18"/>
      <w:szCs w:val="18"/>
    </w:rPr>
  </w:style>
  <w:style w:type="character" w:customStyle="1" w:styleId="Char0">
    <w:name w:val="页脚 Char"/>
    <w:basedOn w:val="a0"/>
    <w:link w:val="a4"/>
    <w:uiPriority w:val="99"/>
    <w:rsid w:val="00FC3217"/>
    <w:rPr>
      <w:sz w:val="18"/>
      <w:szCs w:val="18"/>
    </w:rPr>
  </w:style>
  <w:style w:type="character" w:customStyle="1" w:styleId="1Char">
    <w:name w:val="标题 1 Char"/>
    <w:aliases w:val="章节 Char"/>
    <w:basedOn w:val="a0"/>
    <w:link w:val="1"/>
    <w:uiPriority w:val="9"/>
    <w:rsid w:val="00FC3217"/>
    <w:rPr>
      <w:rFonts w:ascii="Calibri" w:eastAsia="宋体" w:hAnsi="Calibri" w:cs="Times New Roman"/>
      <w:b/>
      <w:bCs/>
      <w:kern w:val="44"/>
      <w:sz w:val="44"/>
      <w:szCs w:val="44"/>
    </w:rPr>
  </w:style>
  <w:style w:type="character" w:customStyle="1" w:styleId="2Char">
    <w:name w:val="标题 2 Char"/>
    <w:basedOn w:val="a0"/>
    <w:link w:val="2"/>
    <w:uiPriority w:val="9"/>
    <w:rsid w:val="00FC3217"/>
    <w:rPr>
      <w:rFonts w:ascii="Cambria" w:eastAsia="仿宋_GB2312" w:hAnsi="Cambria" w:cs="Times New Roman"/>
      <w:b/>
      <w:bCs/>
      <w:sz w:val="28"/>
      <w:szCs w:val="32"/>
    </w:rPr>
  </w:style>
  <w:style w:type="character" w:customStyle="1" w:styleId="3Char">
    <w:name w:val="标题 3 Char"/>
    <w:basedOn w:val="a0"/>
    <w:link w:val="3"/>
    <w:uiPriority w:val="9"/>
    <w:rsid w:val="00FC3217"/>
    <w:rPr>
      <w:rFonts w:ascii="Calibri" w:eastAsia="宋体" w:hAnsi="Calibri" w:cs="Times New Roman"/>
      <w:b/>
      <w:bCs/>
      <w:sz w:val="32"/>
      <w:szCs w:val="32"/>
    </w:rPr>
  </w:style>
  <w:style w:type="character" w:customStyle="1" w:styleId="4Char">
    <w:name w:val="标题 4 Char"/>
    <w:basedOn w:val="a0"/>
    <w:link w:val="4"/>
    <w:uiPriority w:val="9"/>
    <w:rsid w:val="00FC3217"/>
    <w:rPr>
      <w:rFonts w:ascii="Cambria" w:eastAsia="宋体" w:hAnsi="Cambria" w:cs="Times New Roman"/>
      <w:b/>
      <w:bCs/>
      <w:sz w:val="28"/>
      <w:szCs w:val="28"/>
    </w:rPr>
  </w:style>
  <w:style w:type="character" w:customStyle="1" w:styleId="5Char">
    <w:name w:val="标题 5 Char"/>
    <w:basedOn w:val="a0"/>
    <w:link w:val="5"/>
    <w:uiPriority w:val="9"/>
    <w:rsid w:val="00FC3217"/>
    <w:rPr>
      <w:rFonts w:ascii="Calibri" w:eastAsia="宋体" w:hAnsi="Calibri" w:cs="Times New Roman"/>
      <w:b/>
      <w:bCs/>
      <w:sz w:val="28"/>
      <w:szCs w:val="28"/>
    </w:rPr>
  </w:style>
  <w:style w:type="character" w:customStyle="1" w:styleId="Char1">
    <w:name w:val="副标题 Char"/>
    <w:basedOn w:val="a0"/>
    <w:link w:val="a5"/>
    <w:uiPriority w:val="11"/>
    <w:rsid w:val="00FC3217"/>
    <w:rPr>
      <w:rFonts w:ascii="Cambria" w:eastAsia="仿宋_GB2312" w:hAnsi="Cambria"/>
      <w:bCs/>
      <w:kern w:val="28"/>
      <w:sz w:val="28"/>
      <w:szCs w:val="32"/>
    </w:rPr>
  </w:style>
  <w:style w:type="character" w:styleId="a6">
    <w:name w:val="annotation reference"/>
    <w:basedOn w:val="a0"/>
    <w:unhideWhenUsed/>
    <w:rsid w:val="00FC3217"/>
    <w:rPr>
      <w:sz w:val="21"/>
      <w:szCs w:val="21"/>
    </w:rPr>
  </w:style>
  <w:style w:type="character" w:styleId="a7">
    <w:name w:val="footnote reference"/>
    <w:basedOn w:val="a0"/>
    <w:uiPriority w:val="99"/>
    <w:unhideWhenUsed/>
    <w:rsid w:val="00FC3217"/>
    <w:rPr>
      <w:vertAlign w:val="superscript"/>
    </w:rPr>
  </w:style>
  <w:style w:type="character" w:styleId="a8">
    <w:name w:val="FollowedHyperlink"/>
    <w:basedOn w:val="a0"/>
    <w:uiPriority w:val="99"/>
    <w:unhideWhenUsed/>
    <w:rsid w:val="00FC3217"/>
    <w:rPr>
      <w:color w:val="800080"/>
      <w:u w:val="single"/>
    </w:rPr>
  </w:style>
  <w:style w:type="character" w:styleId="a9">
    <w:name w:val="Hyperlink"/>
    <w:basedOn w:val="a0"/>
    <w:uiPriority w:val="99"/>
    <w:unhideWhenUsed/>
    <w:rsid w:val="00FC3217"/>
    <w:rPr>
      <w:color w:val="337AB7"/>
      <w:u w:val="none"/>
    </w:rPr>
  </w:style>
  <w:style w:type="character" w:customStyle="1" w:styleId="Char10">
    <w:name w:val="批注文字 Char1"/>
    <w:basedOn w:val="a0"/>
    <w:rsid w:val="00FC3217"/>
    <w:rPr>
      <w:kern w:val="2"/>
      <w:sz w:val="21"/>
      <w:szCs w:val="22"/>
    </w:rPr>
  </w:style>
  <w:style w:type="character" w:customStyle="1" w:styleId="Char2">
    <w:name w:val="批注文字 Char"/>
    <w:basedOn w:val="a0"/>
    <w:rsid w:val="00FC3217"/>
  </w:style>
  <w:style w:type="character" w:customStyle="1" w:styleId="Char3">
    <w:name w:val="列出段落 Char"/>
    <w:basedOn w:val="a0"/>
    <w:link w:val="20"/>
    <w:rsid w:val="00FC3217"/>
    <w:rPr>
      <w:rFonts w:ascii="Calibri" w:eastAsia="宋体" w:hAnsi="Calibri" w:cs="Times New Roman"/>
      <w:kern w:val="0"/>
      <w:sz w:val="20"/>
      <w:szCs w:val="20"/>
    </w:rPr>
  </w:style>
  <w:style w:type="character" w:customStyle="1" w:styleId="Char4">
    <w:name w:val="批注主题 Char"/>
    <w:basedOn w:val="Char2"/>
    <w:link w:val="aa"/>
    <w:uiPriority w:val="99"/>
    <w:rsid w:val="00FC3217"/>
    <w:rPr>
      <w:b/>
      <w:bCs/>
    </w:rPr>
  </w:style>
  <w:style w:type="character" w:customStyle="1" w:styleId="Char5">
    <w:name w:val="脚注文本 Char"/>
    <w:basedOn w:val="a0"/>
    <w:link w:val="ab"/>
    <w:uiPriority w:val="99"/>
    <w:rsid w:val="00FC3217"/>
    <w:rPr>
      <w:sz w:val="18"/>
      <w:szCs w:val="18"/>
    </w:rPr>
  </w:style>
  <w:style w:type="character" w:customStyle="1" w:styleId="Char6">
    <w:name w:val="标题 Char"/>
    <w:basedOn w:val="a0"/>
    <w:link w:val="ac"/>
    <w:uiPriority w:val="10"/>
    <w:rsid w:val="00FC3217"/>
    <w:rPr>
      <w:rFonts w:ascii="Cambria" w:eastAsia="仿宋_GB2312" w:hAnsi="Cambria"/>
      <w:b/>
      <w:bCs/>
      <w:sz w:val="30"/>
      <w:szCs w:val="32"/>
    </w:rPr>
  </w:style>
  <w:style w:type="character" w:customStyle="1" w:styleId="Char7">
    <w:name w:val="文档结构图 Char"/>
    <w:basedOn w:val="a0"/>
    <w:link w:val="ad"/>
    <w:uiPriority w:val="99"/>
    <w:rsid w:val="00FC3217"/>
    <w:rPr>
      <w:rFonts w:ascii="宋体"/>
      <w:sz w:val="18"/>
      <w:szCs w:val="18"/>
    </w:rPr>
  </w:style>
  <w:style w:type="character" w:customStyle="1" w:styleId="1Char1">
    <w:name w:val="标题 1 Char1"/>
    <w:basedOn w:val="a0"/>
    <w:link w:val="1"/>
    <w:uiPriority w:val="9"/>
    <w:rsid w:val="00FC3217"/>
    <w:rPr>
      <w:rFonts w:ascii="Calibri" w:eastAsia="仿宋_GB2312" w:hAnsi="Calibri" w:cs="Times New Roman"/>
      <w:b/>
      <w:bCs/>
      <w:kern w:val="44"/>
      <w:sz w:val="30"/>
      <w:szCs w:val="44"/>
    </w:rPr>
  </w:style>
  <w:style w:type="character" w:customStyle="1" w:styleId="Char8">
    <w:name w:val="批注框文本 Char"/>
    <w:basedOn w:val="a0"/>
    <w:link w:val="ae"/>
    <w:uiPriority w:val="99"/>
    <w:rsid w:val="00FC3217"/>
    <w:rPr>
      <w:sz w:val="18"/>
      <w:szCs w:val="18"/>
    </w:rPr>
  </w:style>
  <w:style w:type="paragraph" w:styleId="af">
    <w:name w:val="annotation text"/>
    <w:basedOn w:val="a"/>
    <w:link w:val="Char20"/>
    <w:unhideWhenUsed/>
    <w:rsid w:val="00FC3217"/>
    <w:pPr>
      <w:jc w:val="left"/>
    </w:pPr>
  </w:style>
  <w:style w:type="character" w:customStyle="1" w:styleId="Char20">
    <w:name w:val="批注文字 Char2"/>
    <w:basedOn w:val="a0"/>
    <w:link w:val="af"/>
    <w:rsid w:val="00FC3217"/>
    <w:rPr>
      <w:rFonts w:ascii="Calibri" w:eastAsia="宋体" w:hAnsi="Calibri" w:cs="Times New Roman"/>
    </w:rPr>
  </w:style>
  <w:style w:type="paragraph" w:styleId="aa">
    <w:name w:val="annotation subject"/>
    <w:basedOn w:val="af"/>
    <w:next w:val="af"/>
    <w:link w:val="Char4"/>
    <w:uiPriority w:val="99"/>
    <w:unhideWhenUsed/>
    <w:rsid w:val="00FC3217"/>
    <w:rPr>
      <w:rFonts w:asciiTheme="minorHAnsi" w:eastAsiaTheme="minorEastAsia" w:hAnsiTheme="minorHAnsi" w:cstheme="minorBidi"/>
      <w:b/>
      <w:bCs/>
    </w:rPr>
  </w:style>
  <w:style w:type="character" w:customStyle="1" w:styleId="Char11">
    <w:name w:val="批注主题 Char1"/>
    <w:basedOn w:val="Char20"/>
    <w:link w:val="aa"/>
    <w:uiPriority w:val="99"/>
    <w:semiHidden/>
    <w:rsid w:val="00FC3217"/>
    <w:rPr>
      <w:b/>
      <w:bCs/>
    </w:rPr>
  </w:style>
  <w:style w:type="paragraph" w:styleId="7">
    <w:name w:val="toc 7"/>
    <w:basedOn w:val="a"/>
    <w:next w:val="a"/>
    <w:uiPriority w:val="39"/>
    <w:unhideWhenUsed/>
    <w:rsid w:val="00FC3217"/>
    <w:pPr>
      <w:ind w:leftChars="1200" w:left="2520"/>
    </w:pPr>
  </w:style>
  <w:style w:type="paragraph" w:styleId="af0">
    <w:name w:val="Normal Indent"/>
    <w:basedOn w:val="a"/>
    <w:uiPriority w:val="99"/>
    <w:unhideWhenUsed/>
    <w:rsid w:val="00FC3217"/>
    <w:pPr>
      <w:adjustRightInd w:val="0"/>
      <w:snapToGrid w:val="0"/>
      <w:spacing w:beforeLines="50" w:afterLines="50" w:line="288" w:lineRule="auto"/>
      <w:ind w:firstLineChars="200" w:firstLine="200"/>
    </w:pPr>
    <w:rPr>
      <w:rFonts w:ascii="Times New Roman" w:eastAsia="楷体_GB2312" w:hAnsi="Times New Roman"/>
      <w:sz w:val="24"/>
      <w:szCs w:val="24"/>
    </w:rPr>
  </w:style>
  <w:style w:type="paragraph" w:styleId="ad">
    <w:name w:val="Document Map"/>
    <w:basedOn w:val="a"/>
    <w:link w:val="Char7"/>
    <w:uiPriority w:val="99"/>
    <w:unhideWhenUsed/>
    <w:rsid w:val="00FC3217"/>
    <w:rPr>
      <w:rFonts w:ascii="宋体" w:eastAsiaTheme="minorEastAsia" w:hAnsiTheme="minorHAnsi" w:cstheme="minorBidi"/>
      <w:sz w:val="18"/>
      <w:szCs w:val="18"/>
    </w:rPr>
  </w:style>
  <w:style w:type="character" w:customStyle="1" w:styleId="Char12">
    <w:name w:val="文档结构图 Char1"/>
    <w:basedOn w:val="a0"/>
    <w:link w:val="ad"/>
    <w:uiPriority w:val="99"/>
    <w:semiHidden/>
    <w:rsid w:val="00FC3217"/>
    <w:rPr>
      <w:rFonts w:ascii="宋体" w:eastAsia="宋体" w:hAnsi="Calibri" w:cs="Times New Roman"/>
      <w:sz w:val="18"/>
      <w:szCs w:val="18"/>
    </w:rPr>
  </w:style>
  <w:style w:type="paragraph" w:styleId="50">
    <w:name w:val="toc 5"/>
    <w:basedOn w:val="a"/>
    <w:next w:val="a"/>
    <w:uiPriority w:val="39"/>
    <w:unhideWhenUsed/>
    <w:rsid w:val="00FC3217"/>
    <w:pPr>
      <w:ind w:leftChars="800" w:left="1680"/>
    </w:pPr>
  </w:style>
  <w:style w:type="paragraph" w:styleId="8">
    <w:name w:val="toc 8"/>
    <w:basedOn w:val="a"/>
    <w:next w:val="a"/>
    <w:uiPriority w:val="39"/>
    <w:unhideWhenUsed/>
    <w:rsid w:val="00FC3217"/>
    <w:pPr>
      <w:ind w:leftChars="1400" w:left="2940"/>
    </w:pPr>
  </w:style>
  <w:style w:type="paragraph" w:styleId="30">
    <w:name w:val="toc 3"/>
    <w:basedOn w:val="a"/>
    <w:next w:val="a"/>
    <w:uiPriority w:val="39"/>
    <w:unhideWhenUsed/>
    <w:qFormat/>
    <w:rsid w:val="00FC3217"/>
    <w:pPr>
      <w:ind w:leftChars="400" w:left="840"/>
    </w:pPr>
  </w:style>
  <w:style w:type="paragraph" w:styleId="21">
    <w:name w:val="toc 2"/>
    <w:basedOn w:val="a"/>
    <w:next w:val="a"/>
    <w:uiPriority w:val="39"/>
    <w:unhideWhenUsed/>
    <w:qFormat/>
    <w:rsid w:val="00FC3217"/>
    <w:pPr>
      <w:ind w:leftChars="200" w:left="420"/>
    </w:pPr>
  </w:style>
  <w:style w:type="paragraph" w:styleId="40">
    <w:name w:val="toc 4"/>
    <w:basedOn w:val="a"/>
    <w:next w:val="a"/>
    <w:uiPriority w:val="39"/>
    <w:unhideWhenUsed/>
    <w:rsid w:val="00FC3217"/>
    <w:pPr>
      <w:ind w:leftChars="600" w:left="1260"/>
    </w:pPr>
  </w:style>
  <w:style w:type="character" w:customStyle="1" w:styleId="Char13">
    <w:name w:val="页眉 Char1"/>
    <w:basedOn w:val="a0"/>
    <w:uiPriority w:val="99"/>
    <w:semiHidden/>
    <w:rsid w:val="00FC3217"/>
    <w:rPr>
      <w:kern w:val="2"/>
      <w:sz w:val="18"/>
      <w:szCs w:val="18"/>
    </w:rPr>
  </w:style>
  <w:style w:type="paragraph" w:styleId="ae">
    <w:name w:val="Balloon Text"/>
    <w:basedOn w:val="a"/>
    <w:link w:val="Char8"/>
    <w:uiPriority w:val="99"/>
    <w:unhideWhenUsed/>
    <w:rsid w:val="00FC3217"/>
    <w:rPr>
      <w:rFonts w:asciiTheme="minorHAnsi" w:eastAsiaTheme="minorEastAsia" w:hAnsiTheme="minorHAnsi" w:cstheme="minorBidi"/>
      <w:sz w:val="18"/>
      <w:szCs w:val="18"/>
    </w:rPr>
  </w:style>
  <w:style w:type="character" w:customStyle="1" w:styleId="Char14">
    <w:name w:val="批注框文本 Char1"/>
    <w:basedOn w:val="a0"/>
    <w:link w:val="ae"/>
    <w:uiPriority w:val="99"/>
    <w:semiHidden/>
    <w:rsid w:val="00FC3217"/>
    <w:rPr>
      <w:rFonts w:ascii="Calibri" w:eastAsia="宋体" w:hAnsi="Calibri" w:cs="Times New Roman"/>
      <w:sz w:val="18"/>
      <w:szCs w:val="18"/>
    </w:rPr>
  </w:style>
  <w:style w:type="paragraph" w:styleId="9">
    <w:name w:val="toc 9"/>
    <w:basedOn w:val="a"/>
    <w:next w:val="a"/>
    <w:uiPriority w:val="39"/>
    <w:unhideWhenUsed/>
    <w:rsid w:val="00FC3217"/>
    <w:pPr>
      <w:ind w:leftChars="1600" w:left="3360"/>
    </w:pPr>
  </w:style>
  <w:style w:type="paragraph" w:styleId="ab">
    <w:name w:val="footnote text"/>
    <w:basedOn w:val="a"/>
    <w:link w:val="Char5"/>
    <w:uiPriority w:val="99"/>
    <w:unhideWhenUsed/>
    <w:rsid w:val="00FC3217"/>
    <w:pPr>
      <w:snapToGrid w:val="0"/>
      <w:jc w:val="left"/>
    </w:pPr>
    <w:rPr>
      <w:rFonts w:asciiTheme="minorHAnsi" w:eastAsiaTheme="minorEastAsia" w:hAnsiTheme="minorHAnsi" w:cstheme="minorBidi"/>
      <w:sz w:val="18"/>
      <w:szCs w:val="18"/>
    </w:rPr>
  </w:style>
  <w:style w:type="character" w:customStyle="1" w:styleId="Char15">
    <w:name w:val="脚注文本 Char1"/>
    <w:basedOn w:val="a0"/>
    <w:link w:val="ab"/>
    <w:uiPriority w:val="99"/>
    <w:semiHidden/>
    <w:rsid w:val="00FC3217"/>
    <w:rPr>
      <w:rFonts w:ascii="Calibri" w:eastAsia="宋体" w:hAnsi="Calibri" w:cs="Times New Roman"/>
      <w:sz w:val="18"/>
      <w:szCs w:val="18"/>
    </w:rPr>
  </w:style>
  <w:style w:type="character" w:customStyle="1" w:styleId="Char16">
    <w:name w:val="页脚 Char1"/>
    <w:basedOn w:val="a0"/>
    <w:uiPriority w:val="99"/>
    <w:semiHidden/>
    <w:rsid w:val="00FC3217"/>
    <w:rPr>
      <w:kern w:val="2"/>
      <w:sz w:val="18"/>
      <w:szCs w:val="18"/>
    </w:rPr>
  </w:style>
  <w:style w:type="paragraph" w:customStyle="1" w:styleId="Default">
    <w:name w:val="Default"/>
    <w:rsid w:val="00FC3217"/>
    <w:pPr>
      <w:widowControl w:val="0"/>
      <w:autoSpaceDE w:val="0"/>
      <w:autoSpaceDN w:val="0"/>
      <w:adjustRightInd w:val="0"/>
    </w:pPr>
    <w:rPr>
      <w:rFonts w:ascii="宋体" w:eastAsia="宋体" w:hAnsi="Calibri" w:cs="宋体"/>
      <w:color w:val="000000"/>
      <w:kern w:val="0"/>
      <w:sz w:val="24"/>
      <w:szCs w:val="24"/>
    </w:rPr>
  </w:style>
  <w:style w:type="paragraph" w:styleId="TOC">
    <w:name w:val="TOC Heading"/>
    <w:basedOn w:val="1"/>
    <w:next w:val="a"/>
    <w:uiPriority w:val="39"/>
    <w:qFormat/>
    <w:rsid w:val="00FC3217"/>
    <w:pPr>
      <w:widowControl/>
      <w:spacing w:before="480" w:after="0" w:line="276" w:lineRule="auto"/>
      <w:jc w:val="left"/>
      <w:outlineLvl w:val="9"/>
    </w:pPr>
    <w:rPr>
      <w:rFonts w:ascii="Cambria" w:eastAsia="宋体" w:hAnsi="Cambria"/>
      <w:color w:val="365F91"/>
      <w:kern w:val="0"/>
      <w:sz w:val="28"/>
      <w:szCs w:val="28"/>
    </w:rPr>
  </w:style>
  <w:style w:type="paragraph" w:styleId="6">
    <w:name w:val="toc 6"/>
    <w:basedOn w:val="a"/>
    <w:next w:val="a"/>
    <w:uiPriority w:val="39"/>
    <w:unhideWhenUsed/>
    <w:rsid w:val="00FC3217"/>
    <w:pPr>
      <w:ind w:leftChars="1000" w:left="2100"/>
    </w:pPr>
  </w:style>
  <w:style w:type="paragraph" w:styleId="a5">
    <w:name w:val="Subtitle"/>
    <w:basedOn w:val="a"/>
    <w:next w:val="a"/>
    <w:link w:val="Char1"/>
    <w:uiPriority w:val="11"/>
    <w:qFormat/>
    <w:rsid w:val="00FC3217"/>
    <w:pPr>
      <w:spacing w:before="240" w:after="60"/>
      <w:ind w:firstLineChars="200" w:firstLine="200"/>
      <w:jc w:val="left"/>
      <w:outlineLvl w:val="1"/>
    </w:pPr>
    <w:rPr>
      <w:rFonts w:ascii="Cambria" w:eastAsia="仿宋_GB2312" w:hAnsi="Cambria" w:cstheme="minorBidi"/>
      <w:bCs/>
      <w:kern w:val="28"/>
      <w:sz w:val="28"/>
      <w:szCs w:val="32"/>
    </w:rPr>
  </w:style>
  <w:style w:type="character" w:customStyle="1" w:styleId="Char17">
    <w:name w:val="副标题 Char1"/>
    <w:basedOn w:val="a0"/>
    <w:link w:val="a5"/>
    <w:uiPriority w:val="11"/>
    <w:rsid w:val="00FC3217"/>
    <w:rPr>
      <w:rFonts w:asciiTheme="majorHAnsi" w:eastAsia="宋体" w:hAnsiTheme="majorHAnsi" w:cstheme="majorBidi"/>
      <w:b/>
      <w:bCs/>
      <w:kern w:val="28"/>
      <w:sz w:val="32"/>
      <w:szCs w:val="32"/>
    </w:rPr>
  </w:style>
  <w:style w:type="paragraph" w:styleId="10">
    <w:name w:val="toc 1"/>
    <w:basedOn w:val="a"/>
    <w:next w:val="a"/>
    <w:uiPriority w:val="39"/>
    <w:unhideWhenUsed/>
    <w:qFormat/>
    <w:rsid w:val="00FC3217"/>
  </w:style>
  <w:style w:type="paragraph" w:styleId="ac">
    <w:name w:val="Title"/>
    <w:basedOn w:val="a"/>
    <w:next w:val="a"/>
    <w:link w:val="Char6"/>
    <w:uiPriority w:val="10"/>
    <w:qFormat/>
    <w:rsid w:val="00FC3217"/>
    <w:pPr>
      <w:spacing w:before="240" w:after="60"/>
      <w:ind w:leftChars="100" w:left="100" w:rightChars="100" w:right="100" w:firstLineChars="200" w:firstLine="200"/>
      <w:jc w:val="center"/>
      <w:outlineLvl w:val="0"/>
    </w:pPr>
    <w:rPr>
      <w:rFonts w:ascii="Cambria" w:eastAsia="仿宋_GB2312" w:hAnsi="Cambria" w:cstheme="minorBidi"/>
      <w:b/>
      <w:bCs/>
      <w:sz w:val="30"/>
      <w:szCs w:val="32"/>
    </w:rPr>
  </w:style>
  <w:style w:type="character" w:customStyle="1" w:styleId="Char18">
    <w:name w:val="标题 Char1"/>
    <w:basedOn w:val="a0"/>
    <w:link w:val="ac"/>
    <w:uiPriority w:val="10"/>
    <w:rsid w:val="00FC3217"/>
    <w:rPr>
      <w:rFonts w:asciiTheme="majorHAnsi" w:eastAsia="宋体" w:hAnsiTheme="majorHAnsi" w:cstheme="majorBidi"/>
      <w:b/>
      <w:bCs/>
      <w:sz w:val="32"/>
      <w:szCs w:val="32"/>
    </w:rPr>
  </w:style>
  <w:style w:type="paragraph" w:styleId="af1">
    <w:name w:val="Normal (Web)"/>
    <w:basedOn w:val="a"/>
    <w:uiPriority w:val="99"/>
    <w:unhideWhenUsed/>
    <w:rsid w:val="00FC3217"/>
    <w:rPr>
      <w:rFonts w:ascii="Times New Roman" w:hAnsi="Times New Roman"/>
      <w:sz w:val="24"/>
      <w:szCs w:val="20"/>
    </w:rPr>
  </w:style>
  <w:style w:type="paragraph" w:customStyle="1" w:styleId="11">
    <w:name w:val="列出段落1"/>
    <w:basedOn w:val="a"/>
    <w:rsid w:val="00FC3217"/>
    <w:pPr>
      <w:ind w:firstLineChars="200" w:firstLine="200"/>
    </w:pPr>
  </w:style>
  <w:style w:type="paragraph" w:styleId="af2">
    <w:name w:val="List Paragraph"/>
    <w:basedOn w:val="a"/>
    <w:uiPriority w:val="34"/>
    <w:qFormat/>
    <w:rsid w:val="00FC3217"/>
    <w:pPr>
      <w:ind w:firstLineChars="200" w:firstLine="420"/>
    </w:pPr>
  </w:style>
  <w:style w:type="paragraph" w:customStyle="1" w:styleId="Style4">
    <w:name w:val="_Style 4"/>
    <w:basedOn w:val="a"/>
    <w:uiPriority w:val="34"/>
    <w:qFormat/>
    <w:rsid w:val="00FC3217"/>
    <w:pPr>
      <w:ind w:firstLineChars="200" w:firstLine="420"/>
    </w:pPr>
  </w:style>
  <w:style w:type="paragraph" w:styleId="af3">
    <w:name w:val="Revision"/>
    <w:uiPriority w:val="99"/>
    <w:semiHidden/>
    <w:rsid w:val="00FC3217"/>
    <w:rPr>
      <w:rFonts w:ascii="Calibri" w:eastAsia="宋体" w:hAnsi="Calibri" w:cs="Times New Roman"/>
    </w:rPr>
  </w:style>
  <w:style w:type="paragraph" w:customStyle="1" w:styleId="Style3">
    <w:name w:val="_Style 3"/>
    <w:basedOn w:val="a"/>
    <w:rsid w:val="00FC3217"/>
    <w:pPr>
      <w:ind w:firstLineChars="200" w:firstLine="420"/>
    </w:pPr>
    <w:rPr>
      <w:rFonts w:ascii="Times New Roman" w:hAnsi="Times New Roman"/>
    </w:rPr>
  </w:style>
  <w:style w:type="paragraph" w:styleId="af4">
    <w:name w:val="No Spacing"/>
    <w:basedOn w:val="a"/>
    <w:next w:val="a"/>
    <w:uiPriority w:val="1"/>
    <w:qFormat/>
    <w:rsid w:val="00FC3217"/>
    <w:pPr>
      <w:ind w:firstLineChars="200" w:firstLine="200"/>
      <w:jc w:val="left"/>
    </w:pPr>
    <w:rPr>
      <w:rFonts w:eastAsia="仿宋_GB2312"/>
      <w:sz w:val="28"/>
    </w:rPr>
  </w:style>
  <w:style w:type="paragraph" w:customStyle="1" w:styleId="Style1">
    <w:name w:val="_Style 1"/>
    <w:basedOn w:val="a"/>
    <w:rsid w:val="00FC3217"/>
    <w:pPr>
      <w:ind w:firstLineChars="200" w:firstLine="420"/>
    </w:pPr>
  </w:style>
  <w:style w:type="paragraph" w:customStyle="1" w:styleId="20">
    <w:name w:val="列出段落2"/>
    <w:basedOn w:val="a"/>
    <w:link w:val="Char3"/>
    <w:rsid w:val="00FC3217"/>
    <w:pPr>
      <w:ind w:firstLineChars="200" w:firstLine="420"/>
    </w:pPr>
    <w:rPr>
      <w:kern w:val="0"/>
      <w:sz w:val="20"/>
      <w:szCs w:val="20"/>
    </w:rPr>
  </w:style>
  <w:style w:type="table" w:styleId="af5">
    <w:name w:val="Table Grid"/>
    <w:basedOn w:val="a1"/>
    <w:uiPriority w:val="59"/>
    <w:rsid w:val="00FC3217"/>
    <w:rPr>
      <w:rFonts w:ascii="Calibri" w:eastAsia="宋体" w:hAnsi="Calibri"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hyperlink" Target="mailto:Riskdispose01@sse.com.cn" TargetMode="Externa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mailto:&#26399;&#36135;&#20844;&#21496;&#21457;&#36865;&#37038;&#20214;&#33267;optionbc@sse.com.cn&#65292;&#26631;&#39064;&#27880;&#26126;&#8220;XX&#26399;&#36135;&#20844;&#21496;&#36134;&#25143;&#21450;&#20132;&#26131;&#21333;&#20803;&#25253;&#22791;&#8221;&#65292;&#32852;&#31995;&#26041;&#24335;&#65306;021-68811322&#12290;" TargetMode="External"/><Relationship Id="rId2" Type="http://schemas.openxmlformats.org/officeDocument/2006/relationships/styles" Target="styles.xml"/><Relationship Id="rId16" Type="http://schemas.openxmlformats.org/officeDocument/2006/relationships/hyperlink" Target="http://biz.sse.com.cn/sseportal/ps/zhs/ca/download.jsp" TargetMode="External"/><Relationship Id="rId20" Type="http://schemas.openxmlformats.org/officeDocument/2006/relationships/oleObject" Target="embeddings/oleObject1.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Riskdispose01@sse.com.cn"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7.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8944</Words>
  <Characters>50982</Characters>
  <Application>Microsoft Office Word</Application>
  <DocSecurity>0</DocSecurity>
  <Lines>424</Lines>
  <Paragraphs>119</Paragraphs>
  <ScaleCrop>false</ScaleCrop>
  <Company/>
  <LinksUpToDate>false</LinksUpToDate>
  <CharactersWithSpaces>59807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zhuweiyu</dc:creator>
  <cp:keywords/>
  <dc:description/>
  <cp:lastModifiedBy>朱为玉(拟稿)</cp:lastModifiedBy>
  <cp:revision>11</cp:revision>
  <dcterms:created xsi:type="dcterms:W3CDTF">2020-08-07T02:50:00Z</dcterms:created>
  <dcterms:modified xsi:type="dcterms:W3CDTF">2020-08-14T05:37:00Z</dcterms:modified>
</cp:coreProperties>
</file>