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02" w:rsidRDefault="00104802" w:rsidP="00104802">
      <w:pPr>
        <w:pStyle w:val="a6"/>
        <w:spacing w:line="600" w:lineRule="exact"/>
        <w:rPr>
          <w:rFonts w:ascii="黑体" w:eastAsia="黑体" w:hAnsi="黑体"/>
          <w:kern w:val="28"/>
          <w:sz w:val="44"/>
          <w:szCs w:val="44"/>
          <w:lang w:val="en-US" w:eastAsia="zh-CN"/>
        </w:rPr>
      </w:pPr>
      <w:r>
        <w:rPr>
          <w:rFonts w:ascii="黑体" w:eastAsia="黑体" w:hAnsi="黑体" w:hint="eastAsia"/>
          <w:kern w:val="28"/>
          <w:sz w:val="44"/>
          <w:szCs w:val="44"/>
          <w:lang w:val="en-US" w:eastAsia="zh-CN"/>
        </w:rPr>
        <w:t>上海证券交易所会员管理</w:t>
      </w:r>
      <w:r>
        <w:rPr>
          <w:rFonts w:ascii="黑体" w:eastAsia="黑体" w:hAnsi="黑体"/>
          <w:kern w:val="28"/>
          <w:sz w:val="44"/>
          <w:szCs w:val="44"/>
          <w:lang w:val="en-US" w:eastAsia="zh-CN"/>
        </w:rPr>
        <w:t>业务</w:t>
      </w:r>
      <w:r>
        <w:rPr>
          <w:rFonts w:ascii="黑体" w:eastAsia="黑体" w:hAnsi="黑体" w:hint="eastAsia"/>
          <w:kern w:val="28"/>
          <w:sz w:val="44"/>
          <w:szCs w:val="44"/>
          <w:lang w:val="en-US" w:eastAsia="zh-CN"/>
        </w:rPr>
        <w:t>指南</w:t>
      </w:r>
      <w:r>
        <w:rPr>
          <w:rFonts w:ascii="黑体" w:eastAsia="黑体" w:hAnsi="黑体"/>
          <w:kern w:val="28"/>
          <w:sz w:val="44"/>
          <w:szCs w:val="44"/>
          <w:lang w:val="en-US" w:eastAsia="zh-CN"/>
        </w:rPr>
        <w:t>第</w:t>
      </w:r>
      <w:r w:rsidR="00AE0417">
        <w:rPr>
          <w:rFonts w:ascii="黑体" w:eastAsia="黑体" w:hAnsi="黑体" w:hint="eastAsia"/>
          <w:kern w:val="28"/>
          <w:sz w:val="44"/>
          <w:szCs w:val="44"/>
          <w:lang w:val="en-US" w:eastAsia="zh-CN"/>
        </w:rPr>
        <w:t>3</w:t>
      </w:r>
      <w:r>
        <w:rPr>
          <w:rFonts w:ascii="黑体" w:eastAsia="黑体" w:hAnsi="黑体"/>
          <w:kern w:val="28"/>
          <w:sz w:val="44"/>
          <w:szCs w:val="44"/>
          <w:lang w:val="en-US" w:eastAsia="zh-CN"/>
        </w:rPr>
        <w:t>号</w:t>
      </w:r>
    </w:p>
    <w:p w:rsidR="00104802" w:rsidRDefault="00104802" w:rsidP="00104802">
      <w:pPr>
        <w:pStyle w:val="a6"/>
        <w:spacing w:line="600" w:lineRule="exact"/>
        <w:rPr>
          <w:rFonts w:hint="eastAsia"/>
        </w:rPr>
      </w:pPr>
      <w:r>
        <w:rPr>
          <w:rFonts w:ascii="黑体" w:eastAsia="黑体" w:hAnsi="黑体" w:hint="eastAsia"/>
          <w:kern w:val="28"/>
          <w:sz w:val="44"/>
          <w:szCs w:val="44"/>
          <w:lang w:val="en-US" w:eastAsia="zh-CN"/>
        </w:rPr>
        <w:t>——交易网关</w:t>
      </w:r>
      <w:r>
        <w:rPr>
          <w:rFonts w:ascii="黑体" w:eastAsia="黑体" w:hAnsi="黑体"/>
          <w:kern w:val="28"/>
          <w:sz w:val="44"/>
          <w:szCs w:val="44"/>
          <w:lang w:val="en-US" w:eastAsia="zh-CN"/>
        </w:rPr>
        <w:t>管理</w:t>
      </w:r>
    </w:p>
    <w:p w:rsidR="00104802" w:rsidRDefault="00104802" w:rsidP="00104802">
      <w:pPr>
        <w:pStyle w:val="a6"/>
        <w:spacing w:line="360" w:lineRule="auto"/>
        <w:ind w:firstLineChars="200" w:firstLine="602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eastAsia="zh-CN"/>
        </w:rPr>
      </w:pPr>
    </w:p>
    <w:p w:rsidR="00104802" w:rsidRDefault="00104802" w:rsidP="00104802">
      <w:pPr>
        <w:pStyle w:val="a6"/>
        <w:spacing w:line="360" w:lineRule="auto"/>
        <w:ind w:firstLineChars="200" w:firstLine="600"/>
        <w:jc w:val="left"/>
        <w:rPr>
          <w:rFonts w:ascii="仿宋_GB2312" w:eastAsia="仿宋_GB2312" w:hAnsi="ˎ̥" w:cs="宋体" w:hint="eastAsia"/>
          <w:b w:val="0"/>
          <w:color w:val="000000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b w:val="0"/>
          <w:color w:val="000000"/>
          <w:kern w:val="0"/>
          <w:sz w:val="30"/>
          <w:szCs w:val="30"/>
        </w:rPr>
        <w:t>第一条 为</w:t>
      </w:r>
      <w:r>
        <w:rPr>
          <w:rFonts w:ascii="仿宋_GB2312" w:eastAsia="仿宋_GB2312" w:hAnsi="ˎ̥" w:cs="宋体" w:hint="eastAsia"/>
          <w:b w:val="0"/>
          <w:color w:val="000000"/>
          <w:kern w:val="0"/>
          <w:sz w:val="30"/>
          <w:szCs w:val="30"/>
          <w:lang w:eastAsia="zh-CN"/>
        </w:rPr>
        <w:t>了</w:t>
      </w:r>
      <w:r>
        <w:rPr>
          <w:rFonts w:ascii="仿宋_GB2312" w:eastAsia="仿宋_GB2312" w:hAnsi="ˎ̥" w:cs="宋体" w:hint="eastAsia"/>
          <w:b w:val="0"/>
          <w:color w:val="000000"/>
          <w:kern w:val="0"/>
          <w:sz w:val="30"/>
          <w:szCs w:val="30"/>
        </w:rPr>
        <w:t>规范上海证券交易所（以下简称本所）交易网关管理，保障会员交易及相关系统安全、合规运行，防范交易风险，维护正常交易秩序，根据《上海证券交易所会员管理规则》《上海证券交易所会员管理规则适用指引第1号</w:t>
      </w:r>
      <w:r>
        <w:rPr>
          <w:rFonts w:ascii="仿宋_GB2312" w:eastAsia="仿宋_GB2312" w:hAnsi="ˎ̥" w:cs="宋体" w:hint="eastAsia"/>
          <w:b w:val="0"/>
          <w:color w:val="000000"/>
          <w:kern w:val="0"/>
          <w:sz w:val="30"/>
          <w:szCs w:val="30"/>
          <w:lang w:eastAsia="zh-CN"/>
        </w:rPr>
        <w:t>——</w:t>
      </w:r>
      <w:r>
        <w:rPr>
          <w:rFonts w:ascii="仿宋_GB2312" w:eastAsia="仿宋_GB2312" w:hAnsi="ˎ̥" w:cs="宋体" w:hint="eastAsia"/>
          <w:b w:val="0"/>
          <w:color w:val="000000"/>
          <w:kern w:val="0"/>
          <w:sz w:val="30"/>
          <w:szCs w:val="30"/>
        </w:rPr>
        <w:t>会员交易及相关系统管理》等有关规定，制定本指南。</w:t>
      </w:r>
    </w:p>
    <w:p w:rsidR="00104802" w:rsidRDefault="00104802" w:rsidP="00104802">
      <w:pPr>
        <w:spacing w:line="360" w:lineRule="auto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第二条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 xml:space="preserve"> 会员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使用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本所交易网关的，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适用本指南。其他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交易参与者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使用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本所交易网关的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，参照适用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本指南。</w:t>
      </w:r>
    </w:p>
    <w:p w:rsidR="00104802" w:rsidRPr="00F807EB" w:rsidRDefault="00104802" w:rsidP="00104802">
      <w:pPr>
        <w:spacing w:line="360" w:lineRule="auto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第三条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 xml:space="preserve"> 本指南所称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交易网关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，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是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指本所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为会员及其他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交易参与者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提供的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/>
        </w:rPr>
        <w:t>，基于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流式接口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、需要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/>
        </w:rPr>
        <w:t>使用数字证书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认证的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客户端报盘软件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。</w:t>
      </w:r>
    </w:p>
    <w:p w:rsidR="00104802" w:rsidRDefault="00104802" w:rsidP="00104802">
      <w:pPr>
        <w:spacing w:line="360" w:lineRule="auto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第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四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条 会员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应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当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按照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安全、公平、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合理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的原则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，使用本所提供的交易网关资源，满足投资者投资需求，保障交易安全。</w:t>
      </w:r>
    </w:p>
    <w:p w:rsidR="00104802" w:rsidRDefault="00104802" w:rsidP="00104802">
      <w:pPr>
        <w:spacing w:line="360" w:lineRule="auto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第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五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 xml:space="preserve">条 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会员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应当结合系统性能和客户需求等因素，合理申请配置交易网关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数字证书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数量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、流速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及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通过交易网关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报盘的交易单元数量。</w:t>
      </w:r>
    </w:p>
    <w:p w:rsidR="00104802" w:rsidRDefault="00104802" w:rsidP="00104802">
      <w:pPr>
        <w:spacing w:line="360" w:lineRule="auto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第六条 本所按照申请时间顺序受理会员交易网关数字证书申请，结合会员需求等因素，按照公平、合理的原则分配会员交易网关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数字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证书数量。</w:t>
      </w:r>
    </w:p>
    <w:p w:rsidR="00104802" w:rsidRDefault="00104802" w:rsidP="00104802">
      <w:pPr>
        <w:spacing w:line="360" w:lineRule="auto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第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七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条 会员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开展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经纪、自营和资产管理等业务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应当使用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/>
        </w:rPr>
        <w:t>不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/>
        </w:rPr>
        <w:lastRenderedPageBreak/>
        <w:t>同的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交易网关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数字证书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，本所另有规定的除外。</w:t>
      </w:r>
    </w:p>
    <w:p w:rsidR="00104802" w:rsidRDefault="00104802" w:rsidP="00104802">
      <w:pPr>
        <w:spacing w:line="360" w:lineRule="auto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第八条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 xml:space="preserve"> 会员申请的交易网关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数字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证书仅可用于开展自身业务，不得提供给任何第三方使用。</w:t>
      </w:r>
    </w:p>
    <w:p w:rsidR="00104802" w:rsidRDefault="00104802" w:rsidP="00104802">
      <w:pPr>
        <w:spacing w:line="360" w:lineRule="auto"/>
        <w:ind w:firstLineChars="200" w:firstLine="600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 xml:space="preserve">第九条 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会员应当对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交易网关的资源使用情况进行动态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监控，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合理分配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在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不同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交易网关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间的交易申报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。</w:t>
      </w:r>
    </w:p>
    <w:p w:rsidR="00104802" w:rsidRDefault="00104802" w:rsidP="00104802">
      <w:pPr>
        <w:spacing w:line="360" w:lineRule="auto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 xml:space="preserve">第十条 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会员应当建立健全交易网关管理制度和操作流程，制定完善的安全运行、应急处置、数据管理及风险防范等方面管理制度，持续满足交易及相关系统的可用性、安全性与合规性要求。</w:t>
      </w:r>
    </w:p>
    <w:p w:rsidR="00104802" w:rsidRDefault="00104802" w:rsidP="00104802">
      <w:pPr>
        <w:spacing w:line="360" w:lineRule="auto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第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十一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 xml:space="preserve">条 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会员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应当定期检测交易网关接入终端，及时修补系统漏洞，清除存在的病毒及恶意代码，确保交易网关的安全运行。</w:t>
      </w:r>
    </w:p>
    <w:p w:rsidR="00104802" w:rsidRDefault="00104802" w:rsidP="00104802">
      <w:pPr>
        <w:spacing w:line="360" w:lineRule="auto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</w:pP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会员不得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自行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修改交易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网关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及其相关参数，不得对其进行逆向工程。</w:t>
      </w:r>
    </w:p>
    <w:p w:rsidR="00104802" w:rsidRDefault="00104802" w:rsidP="00104802">
      <w:pPr>
        <w:spacing w:line="360" w:lineRule="auto"/>
        <w:ind w:firstLineChars="200" w:firstLine="600"/>
        <w:jc w:val="left"/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第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十二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 xml:space="preserve">条 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会员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不得在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部署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交易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网关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的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接入终端上安装、运行未经本所或者本所授权机构认可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的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应用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软件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，避免相关应用软件与本所交易系统直连。</w:t>
      </w:r>
    </w:p>
    <w:p w:rsidR="00104802" w:rsidRDefault="00104802" w:rsidP="00104802">
      <w:pPr>
        <w:spacing w:line="360" w:lineRule="auto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第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十三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 xml:space="preserve">条 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会员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应当对交易网关持续进行安全监控，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及时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发现和处理系统技术故障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。</w:t>
      </w:r>
      <w:r w:rsidRPr="006C7987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会员交易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网关</w:t>
      </w:r>
      <w:r w:rsidRPr="006C7987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及相关系统发生无法正常交易或其他影响正常交易的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情况</w:t>
      </w:r>
      <w:r w:rsidRPr="006C7987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时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，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 w:eastAsia="ar-SA"/>
        </w:rPr>
        <w:t>应当</w:t>
      </w:r>
      <w:r>
        <w:rPr>
          <w:rFonts w:ascii="仿宋_GB2312" w:eastAsia="仿宋_GB2312" w:hAnsi="ˎ̥" w:cs="宋体"/>
          <w:color w:val="000000"/>
          <w:kern w:val="0"/>
          <w:sz w:val="30"/>
          <w:szCs w:val="30"/>
          <w:lang w:val="en-AU" w:eastAsia="ar-SA"/>
        </w:rPr>
        <w:t>及时向本所报告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。</w:t>
      </w:r>
    </w:p>
    <w:p w:rsidR="00104802" w:rsidRDefault="00104802" w:rsidP="00104802">
      <w:pPr>
        <w:spacing w:line="360" w:lineRule="auto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</w:pP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  <w:t>第十四条 本指南由本所负责解释。</w:t>
      </w:r>
    </w:p>
    <w:p w:rsidR="00104802" w:rsidRPr="00D27EB2" w:rsidRDefault="00104802" w:rsidP="00D27EB2">
      <w:pPr>
        <w:spacing w:line="360" w:lineRule="auto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  <w:lang w:val="en-AU"/>
        </w:rPr>
      </w:pPr>
      <w:r>
        <w:rPr>
          <w:rFonts w:ascii="仿宋_GB2312" w:eastAsia="仿宋_GB2312" w:hAnsi="ˎ̥" w:hint="eastAsia"/>
          <w:color w:val="000000"/>
          <w:sz w:val="30"/>
          <w:szCs w:val="30"/>
        </w:rPr>
        <w:t>第十五条 本指南自发布之日起施行</w:t>
      </w:r>
      <w:r>
        <w:rPr>
          <w:rFonts w:ascii="仿宋_GB2312" w:eastAsia="仿宋_GB2312" w:hint="eastAsia"/>
          <w:sz w:val="30"/>
          <w:szCs w:val="30"/>
        </w:rPr>
        <w:t>。</w:t>
      </w:r>
    </w:p>
    <w:sectPr w:rsidR="00104802" w:rsidRPr="00D27EB2" w:rsidSect="00876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52" w:rsidRDefault="00497352" w:rsidP="00307051">
      <w:r>
        <w:separator/>
      </w:r>
    </w:p>
  </w:endnote>
  <w:endnote w:type="continuationSeparator" w:id="0">
    <w:p w:rsidR="00497352" w:rsidRDefault="00497352" w:rsidP="00307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ssGarmnd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52" w:rsidRDefault="00497352" w:rsidP="00307051">
      <w:r>
        <w:separator/>
      </w:r>
    </w:p>
  </w:footnote>
  <w:footnote w:type="continuationSeparator" w:id="0">
    <w:p w:rsidR="00497352" w:rsidRDefault="00497352" w:rsidP="00307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CB5"/>
    <w:rsid w:val="00035E41"/>
    <w:rsid w:val="000A50D7"/>
    <w:rsid w:val="00104802"/>
    <w:rsid w:val="00122C5B"/>
    <w:rsid w:val="001B63D5"/>
    <w:rsid w:val="00210496"/>
    <w:rsid w:val="00264AA5"/>
    <w:rsid w:val="002D640C"/>
    <w:rsid w:val="002F2012"/>
    <w:rsid w:val="00307051"/>
    <w:rsid w:val="003C16D0"/>
    <w:rsid w:val="003F09AF"/>
    <w:rsid w:val="00497352"/>
    <w:rsid w:val="004A70D4"/>
    <w:rsid w:val="00557AEE"/>
    <w:rsid w:val="00577725"/>
    <w:rsid w:val="005B3AF5"/>
    <w:rsid w:val="005C546E"/>
    <w:rsid w:val="005F7316"/>
    <w:rsid w:val="0060186D"/>
    <w:rsid w:val="00636E7B"/>
    <w:rsid w:val="00713212"/>
    <w:rsid w:val="007802B8"/>
    <w:rsid w:val="0078562C"/>
    <w:rsid w:val="007A37C6"/>
    <w:rsid w:val="007B7AB8"/>
    <w:rsid w:val="00801F44"/>
    <w:rsid w:val="008767A4"/>
    <w:rsid w:val="00884129"/>
    <w:rsid w:val="008B3F9E"/>
    <w:rsid w:val="00951752"/>
    <w:rsid w:val="0099084D"/>
    <w:rsid w:val="009C759F"/>
    <w:rsid w:val="009D48B1"/>
    <w:rsid w:val="009E076E"/>
    <w:rsid w:val="00A0639E"/>
    <w:rsid w:val="00A24385"/>
    <w:rsid w:val="00A57608"/>
    <w:rsid w:val="00A93AD3"/>
    <w:rsid w:val="00AE0417"/>
    <w:rsid w:val="00AE3A8D"/>
    <w:rsid w:val="00AF456F"/>
    <w:rsid w:val="00AF6BE7"/>
    <w:rsid w:val="00B13527"/>
    <w:rsid w:val="00B419C3"/>
    <w:rsid w:val="00B55C88"/>
    <w:rsid w:val="00C505A0"/>
    <w:rsid w:val="00C55B7F"/>
    <w:rsid w:val="00D0585A"/>
    <w:rsid w:val="00D23499"/>
    <w:rsid w:val="00D27EB2"/>
    <w:rsid w:val="00D51172"/>
    <w:rsid w:val="00E22A52"/>
    <w:rsid w:val="00E26E2E"/>
    <w:rsid w:val="00E522A8"/>
    <w:rsid w:val="00E7615B"/>
    <w:rsid w:val="00EA404B"/>
    <w:rsid w:val="00EA4CB5"/>
    <w:rsid w:val="00F07AAC"/>
    <w:rsid w:val="00F34D97"/>
    <w:rsid w:val="00F73040"/>
    <w:rsid w:val="00FF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0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05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0480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04802"/>
  </w:style>
  <w:style w:type="paragraph" w:styleId="a6">
    <w:name w:val="Title"/>
    <w:basedOn w:val="a"/>
    <w:next w:val="a7"/>
    <w:link w:val="Char2"/>
    <w:uiPriority w:val="10"/>
    <w:qFormat/>
    <w:rsid w:val="00104802"/>
    <w:pPr>
      <w:widowControl/>
      <w:suppressAutoHyphens/>
      <w:overflowPunct w:val="0"/>
      <w:autoSpaceDE w:val="0"/>
      <w:jc w:val="center"/>
    </w:pPr>
    <w:rPr>
      <w:rFonts w:ascii="ClassGarmnd BT" w:eastAsia="宋体" w:hAnsi="ClassGarmnd BT" w:cs="Times New Roman"/>
      <w:b/>
      <w:kern w:val="1"/>
      <w:sz w:val="32"/>
      <w:szCs w:val="20"/>
      <w:lang w:val="en-AU" w:eastAsia="ar-SA"/>
    </w:rPr>
  </w:style>
  <w:style w:type="character" w:customStyle="1" w:styleId="a8">
    <w:name w:val="标题 字符"/>
    <w:basedOn w:val="a0"/>
    <w:uiPriority w:val="10"/>
    <w:rsid w:val="0010480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link w:val="a6"/>
    <w:uiPriority w:val="10"/>
    <w:rsid w:val="00104802"/>
    <w:rPr>
      <w:rFonts w:ascii="ClassGarmnd BT" w:eastAsia="宋体" w:hAnsi="ClassGarmnd BT" w:cs="Times New Roman"/>
      <w:b/>
      <w:kern w:val="1"/>
      <w:sz w:val="32"/>
      <w:szCs w:val="20"/>
      <w:lang w:val="en-AU" w:eastAsia="ar-SA"/>
    </w:rPr>
  </w:style>
  <w:style w:type="paragraph" w:styleId="a7">
    <w:name w:val="Subtitle"/>
    <w:basedOn w:val="a"/>
    <w:next w:val="a"/>
    <w:link w:val="Char3"/>
    <w:uiPriority w:val="11"/>
    <w:qFormat/>
    <w:rsid w:val="00104802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7"/>
    <w:uiPriority w:val="11"/>
    <w:rsid w:val="00104802"/>
    <w:rPr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2022-07-18T08:29:00Z</cp:lastPrinted>
  <dcterms:created xsi:type="dcterms:W3CDTF">2022-07-15T06:08:00Z</dcterms:created>
  <dcterms:modified xsi:type="dcterms:W3CDTF">2022-07-25T00:46:00Z</dcterms:modified>
</cp:coreProperties>
</file>