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9F" w:rsidRDefault="007E6B9F" w:rsidP="007E6B9F">
      <w:pPr>
        <w:spacing w:line="560" w:lineRule="exact"/>
        <w:rPr>
          <w:rFonts w:ascii="仿宋_GB2312" w:eastAsia="仿宋_GB2312" w:hAnsi="黑体"/>
          <w:b/>
          <w:sz w:val="30"/>
          <w:szCs w:val="30"/>
        </w:rPr>
      </w:pPr>
      <w:r>
        <w:rPr>
          <w:rFonts w:ascii="仿宋_GB2312" w:eastAsia="仿宋_GB2312" w:hAnsi="黑体" w:hint="eastAsia"/>
          <w:b/>
          <w:sz w:val="30"/>
          <w:szCs w:val="30"/>
        </w:rPr>
        <w:t>附件：</w:t>
      </w:r>
    </w:p>
    <w:p w:rsidR="007E6B9F" w:rsidRDefault="007E6B9F" w:rsidP="007E6B9F">
      <w:pPr>
        <w:spacing w:line="560" w:lineRule="exact"/>
        <w:rPr>
          <w:rFonts w:ascii="仿宋_GB2312" w:eastAsia="仿宋_GB2312" w:hAnsi="黑体"/>
          <w:b/>
          <w:sz w:val="30"/>
          <w:szCs w:val="30"/>
        </w:rPr>
      </w:pPr>
    </w:p>
    <w:p w:rsidR="007E6B9F" w:rsidRDefault="00B15DAC" w:rsidP="007E6B9F">
      <w:pPr>
        <w:spacing w:line="560" w:lineRule="exact"/>
        <w:jc w:val="center"/>
        <w:rPr>
          <w:rFonts w:ascii="方正大标宋简体" w:eastAsia="方正大标宋简体" w:hAnsi="黑体"/>
          <w:sz w:val="42"/>
          <w:szCs w:val="42"/>
        </w:rPr>
      </w:pPr>
      <w:r>
        <w:rPr>
          <w:rFonts w:ascii="黑体" w:eastAsia="黑体" w:hAnsi="黑体" w:cs="宋体"/>
          <w:b/>
          <w:kern w:val="0"/>
          <w:sz w:val="44"/>
          <w:szCs w:val="44"/>
        </w:rPr>
        <w:t>上海证券交易所</w:t>
      </w:r>
      <w:r>
        <w:rPr>
          <w:rFonts w:ascii="黑体" w:eastAsia="黑体" w:hAnsi="黑体" w:cs="宋体" w:hint="eastAsia"/>
          <w:b/>
          <w:kern w:val="0"/>
          <w:sz w:val="44"/>
          <w:szCs w:val="44"/>
        </w:rPr>
        <w:t>沪</w:t>
      </w:r>
      <w:r>
        <w:rPr>
          <w:rFonts w:ascii="黑体" w:eastAsia="黑体" w:hAnsi="黑体" w:cs="宋体"/>
          <w:b/>
          <w:kern w:val="0"/>
          <w:sz w:val="44"/>
          <w:szCs w:val="44"/>
        </w:rPr>
        <w:t>港通业务</w:t>
      </w:r>
      <w:r>
        <w:rPr>
          <w:rFonts w:ascii="黑体" w:eastAsia="黑体" w:hAnsi="黑体" w:cs="宋体" w:hint="eastAsia"/>
          <w:b/>
          <w:kern w:val="0"/>
          <w:sz w:val="44"/>
          <w:szCs w:val="44"/>
        </w:rPr>
        <w:t>指南第</w:t>
      </w:r>
      <w:r w:rsidR="00927C31">
        <w:rPr>
          <w:rFonts w:ascii="黑体" w:eastAsia="黑体" w:hAnsi="黑体" w:cs="宋体" w:hint="eastAsia"/>
          <w:b/>
          <w:kern w:val="0"/>
          <w:sz w:val="44"/>
          <w:szCs w:val="44"/>
        </w:rPr>
        <w:t>1</w:t>
      </w:r>
      <w:r>
        <w:rPr>
          <w:rFonts w:ascii="黑体" w:eastAsia="黑体" w:hAnsi="黑体" w:cs="宋体" w:hint="eastAsia"/>
          <w:b/>
          <w:kern w:val="0"/>
          <w:sz w:val="44"/>
          <w:szCs w:val="44"/>
        </w:rPr>
        <w:t>号——</w:t>
      </w:r>
      <w:r w:rsidRPr="0081639B">
        <w:rPr>
          <w:rFonts w:ascii="黑体" w:eastAsia="黑体" w:hAnsi="黑体" w:cs="宋体" w:hint="eastAsia"/>
          <w:b/>
          <w:kern w:val="0"/>
          <w:sz w:val="44"/>
          <w:szCs w:val="44"/>
        </w:rPr>
        <w:t>港股通业务</w:t>
      </w:r>
      <w:r>
        <w:rPr>
          <w:rFonts w:ascii="黑体" w:eastAsia="黑体" w:hAnsi="黑体" w:cs="宋体" w:hint="eastAsia"/>
          <w:b/>
          <w:kern w:val="0"/>
          <w:sz w:val="44"/>
          <w:szCs w:val="44"/>
        </w:rPr>
        <w:t>交易权限开通</w:t>
      </w:r>
    </w:p>
    <w:p w:rsidR="007E6B9F" w:rsidRDefault="007E6B9F" w:rsidP="007E6B9F">
      <w:pPr>
        <w:spacing w:line="560" w:lineRule="exact"/>
        <w:jc w:val="center"/>
        <w:rPr>
          <w:rFonts w:ascii="黑体" w:eastAsia="黑体" w:hAnsi="黑体"/>
          <w:b/>
          <w:sz w:val="44"/>
          <w:szCs w:val="44"/>
        </w:rPr>
      </w:pPr>
    </w:p>
    <w:p w:rsidR="007E6B9F" w:rsidRDefault="00551C16" w:rsidP="007E6B9F">
      <w:pPr>
        <w:spacing w:line="560" w:lineRule="exact"/>
        <w:ind w:firstLineChars="200" w:firstLine="600"/>
        <w:rPr>
          <w:rFonts w:ascii="仿宋_GB2312" w:eastAsia="仿宋_GB2312" w:hAnsi="Calibri"/>
          <w:sz w:val="30"/>
          <w:szCs w:val="30"/>
        </w:rPr>
      </w:pPr>
      <w:r>
        <w:rPr>
          <w:rFonts w:ascii="仿宋_GB2312" w:eastAsia="仿宋_GB2312" w:hint="eastAsia"/>
          <w:sz w:val="30"/>
          <w:szCs w:val="30"/>
        </w:rPr>
        <w:t>为指导上海证券交易所（以下简称“本所”）会员和</w:t>
      </w:r>
      <w:r>
        <w:rPr>
          <w:rFonts w:ascii="仿宋_GB2312" w:eastAsia="仿宋_GB2312" w:cs="仿宋_GB2312" w:hint="eastAsia"/>
          <w:sz w:val="30"/>
          <w:szCs w:val="30"/>
        </w:rPr>
        <w:t>基金管理公司</w:t>
      </w:r>
      <w:r w:rsidR="007E6B9F">
        <w:rPr>
          <w:rFonts w:ascii="仿宋_GB2312" w:eastAsia="仿宋_GB2312" w:cs="仿宋_GB2312" w:hint="eastAsia"/>
          <w:sz w:val="30"/>
          <w:szCs w:val="30"/>
        </w:rPr>
        <w:t>、保险机构等租用本所参与者交易业务单元（以下简称交易单元）的机构</w:t>
      </w:r>
      <w:r w:rsidR="007E6B9F">
        <w:rPr>
          <w:rFonts w:ascii="仿宋_GB2312" w:eastAsia="仿宋_GB2312" w:hint="eastAsia"/>
          <w:sz w:val="30"/>
          <w:szCs w:val="30"/>
        </w:rPr>
        <w:t>开展</w:t>
      </w:r>
      <w:r w:rsidR="007E6B9F" w:rsidRPr="00F858B6">
        <w:rPr>
          <w:rFonts w:ascii="仿宋_GB2312" w:eastAsia="仿宋_GB2312" w:hint="eastAsia"/>
          <w:sz w:val="30"/>
          <w:szCs w:val="30"/>
        </w:rPr>
        <w:t>沪港通下的港股通（以下简称港股通）</w:t>
      </w:r>
      <w:r w:rsidR="007E6B9F">
        <w:rPr>
          <w:rFonts w:ascii="仿宋_GB2312" w:eastAsia="仿宋_GB2312" w:hint="eastAsia"/>
          <w:sz w:val="30"/>
          <w:szCs w:val="30"/>
        </w:rPr>
        <w:t>业务，根据</w:t>
      </w:r>
      <w:r w:rsidR="007E6B9F" w:rsidRPr="00F858B6">
        <w:rPr>
          <w:rFonts w:ascii="仿宋_GB2312" w:eastAsia="仿宋_GB2312" w:hint="eastAsia"/>
          <w:sz w:val="30"/>
          <w:szCs w:val="30"/>
        </w:rPr>
        <w:t>《上海证券交易所沪港通业务实施办法》</w:t>
      </w:r>
      <w:r w:rsidR="007E6B9F">
        <w:rPr>
          <w:rFonts w:ascii="仿宋_GB2312" w:eastAsia="仿宋_GB2312" w:hint="eastAsia"/>
          <w:sz w:val="30"/>
          <w:szCs w:val="30"/>
        </w:rPr>
        <w:t>等相关规定，制定本指南。</w:t>
      </w:r>
    </w:p>
    <w:p w:rsidR="007E6B9F" w:rsidRDefault="007E6B9F" w:rsidP="007E6B9F">
      <w:pPr>
        <w:pStyle w:val="a5"/>
        <w:numPr>
          <w:ilvl w:val="0"/>
          <w:numId w:val="1"/>
        </w:numPr>
        <w:spacing w:line="560" w:lineRule="exact"/>
        <w:ind w:left="0" w:firstLineChars="0"/>
        <w:jc w:val="center"/>
        <w:rPr>
          <w:rFonts w:ascii="黑体" w:eastAsia="黑体" w:hAnsi="宋体"/>
          <w:b/>
          <w:sz w:val="30"/>
          <w:szCs w:val="30"/>
        </w:rPr>
      </w:pPr>
      <w:r>
        <w:rPr>
          <w:rFonts w:ascii="黑体" w:eastAsia="黑体" w:hAnsi="宋体" w:hint="eastAsia"/>
          <w:b/>
          <w:sz w:val="30"/>
          <w:szCs w:val="30"/>
        </w:rPr>
        <w:t>概述</w:t>
      </w:r>
    </w:p>
    <w:p w:rsidR="00FF6C7A" w:rsidRDefault="00842C7D" w:rsidP="00036C05">
      <w:pPr>
        <w:spacing w:line="560" w:lineRule="exact"/>
        <w:ind w:firstLineChars="200" w:firstLine="600"/>
        <w:rPr>
          <w:rFonts w:ascii="仿宋_GB2312" w:eastAsia="仿宋_GB2312"/>
          <w:sz w:val="30"/>
          <w:szCs w:val="30"/>
        </w:rPr>
      </w:pPr>
      <w:r w:rsidRPr="00842C7D">
        <w:rPr>
          <w:rFonts w:ascii="仿宋_GB2312" w:eastAsia="仿宋_GB2312" w:hAnsiTheme="minorEastAsia" w:hint="eastAsia"/>
          <w:sz w:val="30"/>
          <w:szCs w:val="30"/>
        </w:rPr>
        <w:t>本指南所称的港股通，是指投资者委托本所会员，通过本所证券交易服务公司，向香港联合交易所有限公司（以下简称“联交所”）进行申报，买卖</w:t>
      </w:r>
      <w:r w:rsidR="00375269">
        <w:rPr>
          <w:rFonts w:ascii="仿宋_GB2312" w:eastAsia="仿宋_GB2312" w:hAnsiTheme="minorEastAsia" w:hint="eastAsia"/>
          <w:sz w:val="30"/>
          <w:szCs w:val="30"/>
        </w:rPr>
        <w:t>港股通标的证券</w:t>
      </w:r>
      <w:r w:rsidRPr="00842C7D">
        <w:rPr>
          <w:rFonts w:ascii="仿宋_GB2312" w:eastAsia="仿宋_GB2312" w:hAnsiTheme="minorEastAsia" w:hint="eastAsia"/>
          <w:sz w:val="30"/>
          <w:szCs w:val="30"/>
        </w:rPr>
        <w:t>。</w:t>
      </w:r>
    </w:p>
    <w:p w:rsidR="007E6B9F" w:rsidRDefault="007E6B9F" w:rsidP="007E6B9F">
      <w:pPr>
        <w:spacing w:line="560" w:lineRule="exact"/>
        <w:ind w:firstLineChars="200" w:firstLine="600"/>
        <w:rPr>
          <w:rFonts w:ascii="仿宋_GB2312" w:eastAsia="仿宋_GB2312"/>
          <w:sz w:val="30"/>
          <w:szCs w:val="30"/>
        </w:rPr>
      </w:pPr>
      <w:r>
        <w:rPr>
          <w:rFonts w:ascii="仿宋_GB2312" w:eastAsia="仿宋_GB2312" w:hint="eastAsia"/>
          <w:sz w:val="30"/>
          <w:szCs w:val="30"/>
        </w:rPr>
        <w:t>会员和</w:t>
      </w:r>
      <w:r>
        <w:rPr>
          <w:rFonts w:ascii="仿宋_GB2312" w:eastAsia="仿宋_GB2312" w:cs="仿宋_GB2312" w:hint="eastAsia"/>
          <w:sz w:val="30"/>
          <w:szCs w:val="30"/>
        </w:rPr>
        <w:t>基金管理公司、保险机构等租用本所交易单元的机构（以下简称申请机构）</w:t>
      </w:r>
      <w:r>
        <w:rPr>
          <w:rFonts w:ascii="仿宋_GB2312" w:eastAsia="仿宋_GB2312" w:hint="eastAsia"/>
          <w:sz w:val="30"/>
          <w:szCs w:val="30"/>
        </w:rPr>
        <w:t>开展港股通业务，应当严格遵守相关法律、法规、中国证券监督管理委员会（以下简称中国证监会）相关部门规章和本所相关业务规则及规定，切实执行港股通业务内部管理制度，接受中国证监会和本所的监督管理。</w:t>
      </w:r>
    </w:p>
    <w:p w:rsidR="007E6B9F" w:rsidRDefault="007E6B9F" w:rsidP="007E6B9F">
      <w:pPr>
        <w:spacing w:line="560" w:lineRule="exact"/>
        <w:ind w:firstLineChars="200" w:firstLine="600"/>
        <w:rPr>
          <w:rFonts w:ascii="仿宋_GB2312" w:eastAsia="仿宋_GB2312"/>
          <w:sz w:val="30"/>
          <w:szCs w:val="30"/>
        </w:rPr>
      </w:pPr>
      <w:r>
        <w:rPr>
          <w:rFonts w:ascii="仿宋_GB2312" w:eastAsia="仿宋_GB2312" w:cs="仿宋_GB2312" w:hint="eastAsia"/>
          <w:sz w:val="30"/>
          <w:szCs w:val="30"/>
        </w:rPr>
        <w:t>会员申请开展</w:t>
      </w:r>
      <w:r>
        <w:rPr>
          <w:rFonts w:ascii="仿宋_GB2312" w:eastAsia="仿宋_GB2312" w:hint="eastAsia"/>
          <w:sz w:val="30"/>
          <w:szCs w:val="30"/>
        </w:rPr>
        <w:t>港股通业务，应向本所提出申请。</w:t>
      </w:r>
      <w:r>
        <w:rPr>
          <w:rFonts w:ascii="仿宋_GB2312" w:eastAsia="仿宋_GB2312" w:cs="仿宋_GB2312" w:hint="eastAsia"/>
          <w:sz w:val="30"/>
          <w:szCs w:val="30"/>
        </w:rPr>
        <w:t>基金管理公司、保险机构等申请通过租用的本所交易单元开展</w:t>
      </w:r>
      <w:r>
        <w:rPr>
          <w:rFonts w:ascii="仿宋_GB2312" w:eastAsia="仿宋_GB2312" w:hint="eastAsia"/>
          <w:sz w:val="30"/>
          <w:szCs w:val="30"/>
        </w:rPr>
        <w:t>港股通业务，应以自身名义向本所提出申请。</w:t>
      </w:r>
    </w:p>
    <w:p w:rsidR="007E6B9F" w:rsidRDefault="007E6B9F" w:rsidP="007E6B9F">
      <w:pPr>
        <w:spacing w:line="560" w:lineRule="exact"/>
        <w:ind w:firstLineChars="200" w:firstLine="600"/>
        <w:rPr>
          <w:rFonts w:ascii="仿宋_GB2312" w:eastAsia="仿宋_GB2312"/>
          <w:sz w:val="30"/>
          <w:szCs w:val="30"/>
        </w:rPr>
      </w:pPr>
      <w:r>
        <w:rPr>
          <w:rFonts w:ascii="仿宋_GB2312" w:eastAsia="仿宋_GB2312" w:hint="eastAsia"/>
          <w:sz w:val="30"/>
          <w:szCs w:val="30"/>
        </w:rPr>
        <w:t>申请机构开展港股通业务，适用本指南。</w:t>
      </w:r>
    </w:p>
    <w:p w:rsidR="007E6B9F" w:rsidRDefault="007E6B9F" w:rsidP="007E6B9F">
      <w:pPr>
        <w:spacing w:line="560" w:lineRule="exact"/>
        <w:ind w:firstLineChars="200" w:firstLine="600"/>
        <w:rPr>
          <w:rFonts w:ascii="仿宋_GB2312" w:eastAsia="仿宋_GB2312"/>
          <w:sz w:val="30"/>
          <w:szCs w:val="30"/>
        </w:rPr>
      </w:pPr>
      <w:r>
        <w:rPr>
          <w:rFonts w:ascii="仿宋_GB2312" w:eastAsia="仿宋_GB2312" w:hint="eastAsia"/>
          <w:sz w:val="30"/>
          <w:szCs w:val="30"/>
        </w:rPr>
        <w:t>港股通业务的登记结算，适用中国证券登记结算有限责任公</w:t>
      </w:r>
      <w:r>
        <w:rPr>
          <w:rFonts w:ascii="仿宋_GB2312" w:eastAsia="仿宋_GB2312" w:hint="eastAsia"/>
          <w:sz w:val="30"/>
          <w:szCs w:val="30"/>
        </w:rPr>
        <w:lastRenderedPageBreak/>
        <w:t>司（以下简称中国结算）的相关规定。</w:t>
      </w:r>
    </w:p>
    <w:p w:rsidR="007E6B9F" w:rsidRDefault="007E6B9F" w:rsidP="007E6B9F">
      <w:pPr>
        <w:pStyle w:val="a5"/>
        <w:numPr>
          <w:ilvl w:val="0"/>
          <w:numId w:val="1"/>
        </w:numPr>
        <w:spacing w:line="560" w:lineRule="exact"/>
        <w:ind w:left="0" w:firstLineChars="0"/>
        <w:jc w:val="center"/>
        <w:rPr>
          <w:rFonts w:ascii="黑体" w:eastAsia="黑体" w:hAnsi="宋体"/>
          <w:b/>
          <w:sz w:val="30"/>
          <w:szCs w:val="30"/>
        </w:rPr>
      </w:pPr>
      <w:r>
        <w:rPr>
          <w:rFonts w:ascii="黑体" w:eastAsia="黑体" w:hAnsi="宋体" w:hint="eastAsia"/>
          <w:b/>
          <w:sz w:val="30"/>
          <w:szCs w:val="30"/>
        </w:rPr>
        <w:t>港股通业务开通申请</w:t>
      </w:r>
    </w:p>
    <w:p w:rsidR="007E6B9F" w:rsidRPr="004F4B2B" w:rsidRDefault="007E6B9F" w:rsidP="007E6B9F">
      <w:pPr>
        <w:spacing w:line="560" w:lineRule="exact"/>
        <w:ind w:firstLineChars="200" w:firstLine="600"/>
        <w:rPr>
          <w:rFonts w:ascii="仿宋_GB2312" w:eastAsia="仿宋_GB2312" w:hAnsi="Calibri"/>
          <w:sz w:val="30"/>
          <w:szCs w:val="30"/>
        </w:rPr>
      </w:pPr>
      <w:r w:rsidRPr="004F4B2B">
        <w:rPr>
          <w:rFonts w:ascii="仿宋_GB2312" w:eastAsia="仿宋_GB2312" w:hint="eastAsia"/>
          <w:sz w:val="30"/>
          <w:szCs w:val="30"/>
        </w:rPr>
        <w:t>一、申请条件</w:t>
      </w:r>
    </w:p>
    <w:p w:rsidR="00551C16" w:rsidRDefault="007E6B9F" w:rsidP="00551C16">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（一）</w:t>
      </w:r>
      <w:r w:rsidR="00551C16">
        <w:rPr>
          <w:rFonts w:ascii="仿宋_GB2312" w:eastAsia="仿宋_GB2312" w:hint="eastAsia"/>
          <w:sz w:val="30"/>
          <w:szCs w:val="30"/>
        </w:rPr>
        <w:t>申请机构</w:t>
      </w:r>
      <w:r w:rsidR="00551C16" w:rsidRPr="004F4B2B">
        <w:rPr>
          <w:rFonts w:ascii="仿宋_GB2312" w:eastAsia="仿宋_GB2312" w:hint="eastAsia"/>
          <w:sz w:val="30"/>
          <w:szCs w:val="30"/>
        </w:rPr>
        <w:t>申请开通港股通业务前</w:t>
      </w:r>
      <w:r w:rsidRPr="004F4B2B">
        <w:rPr>
          <w:rFonts w:ascii="仿宋_GB2312" w:eastAsia="仿宋_GB2312" w:hint="eastAsia"/>
          <w:sz w:val="30"/>
          <w:szCs w:val="30"/>
        </w:rPr>
        <w:t>，</w:t>
      </w:r>
      <w:r w:rsidR="0051710E">
        <w:rPr>
          <w:rFonts w:ascii="仿宋_GB2312" w:eastAsia="仿宋_GB2312" w:hint="eastAsia"/>
          <w:sz w:val="30"/>
          <w:szCs w:val="30"/>
        </w:rPr>
        <w:t>除应满足本所及中国结算的相关要求外，还应符合以下条件：</w:t>
      </w:r>
    </w:p>
    <w:p w:rsidR="00551C16" w:rsidRDefault="0051710E" w:rsidP="00551C16">
      <w:pPr>
        <w:spacing w:line="560" w:lineRule="exact"/>
        <w:ind w:firstLineChars="200" w:firstLine="600"/>
        <w:rPr>
          <w:rFonts w:ascii="仿宋_GB2312" w:eastAsia="仿宋_GB2312"/>
          <w:sz w:val="30"/>
          <w:szCs w:val="30"/>
        </w:rPr>
      </w:pPr>
      <w:r>
        <w:rPr>
          <w:rFonts w:ascii="仿宋_GB2312" w:eastAsia="仿宋_GB2312" w:cs="仿宋_GB2312" w:hint="eastAsia"/>
          <w:sz w:val="30"/>
          <w:szCs w:val="30"/>
        </w:rPr>
        <w:t>1.</w:t>
      </w:r>
      <w:r w:rsidR="00551C16">
        <w:rPr>
          <w:rFonts w:ascii="仿宋_GB2312" w:eastAsia="仿宋_GB2312" w:cs="仿宋_GB2312" w:hint="eastAsia"/>
          <w:sz w:val="30"/>
          <w:szCs w:val="30"/>
        </w:rPr>
        <w:t>制定港股通业务方案和实施计划</w:t>
      </w:r>
      <w:r>
        <w:rPr>
          <w:rFonts w:ascii="仿宋_GB2312" w:eastAsia="仿宋_GB2312" w:cs="仿宋_GB2312" w:hint="eastAsia"/>
          <w:sz w:val="30"/>
          <w:szCs w:val="30"/>
        </w:rPr>
        <w:t>；</w:t>
      </w:r>
    </w:p>
    <w:p w:rsidR="00551C16" w:rsidRDefault="0051710E" w:rsidP="0051710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2.</w:t>
      </w:r>
      <w:r w:rsidR="00842C7D" w:rsidRPr="00842C7D">
        <w:rPr>
          <w:rFonts w:ascii="仿宋_GB2312" w:eastAsia="仿宋_GB2312" w:cs="仿宋_GB2312" w:hint="eastAsia"/>
          <w:sz w:val="30"/>
          <w:szCs w:val="30"/>
        </w:rPr>
        <w:t>参与港股通技术测试，确保技术准备就绪</w:t>
      </w:r>
      <w:r w:rsidR="00D27B8E">
        <w:rPr>
          <w:rFonts w:ascii="仿宋_GB2312" w:eastAsia="仿宋_GB2312" w:cs="仿宋_GB2312" w:hint="eastAsia"/>
          <w:sz w:val="30"/>
          <w:szCs w:val="30"/>
        </w:rPr>
        <w:t>（</w:t>
      </w:r>
      <w:r w:rsidR="00D27B8E" w:rsidRPr="004F4B2B">
        <w:rPr>
          <w:rFonts w:ascii="仿宋_GB2312" w:eastAsia="仿宋_GB2312" w:hint="eastAsia"/>
          <w:sz w:val="30"/>
          <w:szCs w:val="30"/>
        </w:rPr>
        <w:t>技术支持电话：</w:t>
      </w:r>
      <w:r w:rsidR="00D27B8E" w:rsidRPr="004F4B2B">
        <w:rPr>
          <w:rFonts w:ascii="仿宋_GB2312" w:eastAsia="仿宋_GB2312" w:cs="仿宋_GB2312"/>
          <w:sz w:val="30"/>
          <w:szCs w:val="30"/>
        </w:rPr>
        <w:t>4009003600</w:t>
      </w:r>
      <w:r w:rsidR="00D27B8E" w:rsidRPr="004F4B2B">
        <w:rPr>
          <w:rFonts w:ascii="仿宋_GB2312" w:eastAsia="仿宋_GB2312" w:hint="eastAsia"/>
          <w:sz w:val="30"/>
          <w:szCs w:val="30"/>
        </w:rPr>
        <w:t>。</w:t>
      </w:r>
      <w:r w:rsidR="00D27B8E">
        <w:rPr>
          <w:rFonts w:ascii="仿宋_GB2312" w:eastAsia="仿宋_GB2312" w:cs="仿宋_GB2312" w:hint="eastAsia"/>
          <w:sz w:val="30"/>
          <w:szCs w:val="30"/>
        </w:rPr>
        <w:t>）</w:t>
      </w:r>
      <w:r>
        <w:rPr>
          <w:rFonts w:ascii="仿宋_GB2312" w:eastAsia="仿宋_GB2312" w:cs="仿宋_GB2312" w:hint="eastAsia"/>
          <w:sz w:val="30"/>
          <w:szCs w:val="30"/>
        </w:rPr>
        <w:t>；</w:t>
      </w:r>
    </w:p>
    <w:p w:rsidR="0051710E" w:rsidRDefault="0051710E" w:rsidP="0051710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3.</w:t>
      </w:r>
      <w:r w:rsidR="00842C7D" w:rsidRPr="00842C7D">
        <w:rPr>
          <w:rFonts w:ascii="仿宋_GB2312" w:eastAsia="仿宋_GB2312" w:cs="仿宋_GB2312" w:hint="eastAsia"/>
          <w:sz w:val="30"/>
          <w:szCs w:val="30"/>
        </w:rPr>
        <w:t>在中国结算</w:t>
      </w:r>
      <w:r>
        <w:rPr>
          <w:rFonts w:ascii="仿宋_GB2312" w:eastAsia="仿宋_GB2312" w:cs="仿宋_GB2312" w:hint="eastAsia"/>
          <w:sz w:val="30"/>
          <w:szCs w:val="30"/>
        </w:rPr>
        <w:t>上海</w:t>
      </w:r>
      <w:r w:rsidR="00842C7D" w:rsidRPr="00842C7D">
        <w:rPr>
          <w:rFonts w:ascii="仿宋_GB2312" w:eastAsia="仿宋_GB2312" w:cs="仿宋_GB2312" w:hint="eastAsia"/>
          <w:sz w:val="30"/>
          <w:szCs w:val="30"/>
        </w:rPr>
        <w:t>分公司完成港股通业务资金结算账户开立</w:t>
      </w:r>
      <w:r>
        <w:rPr>
          <w:rFonts w:ascii="仿宋_GB2312" w:eastAsia="仿宋_GB2312" w:cs="仿宋_GB2312" w:hint="eastAsia"/>
          <w:sz w:val="30"/>
          <w:szCs w:val="30"/>
        </w:rPr>
        <w:t>；</w:t>
      </w:r>
    </w:p>
    <w:p w:rsidR="0051710E" w:rsidRDefault="0051710E" w:rsidP="0051710E">
      <w:pPr>
        <w:spacing w:line="560" w:lineRule="exact"/>
        <w:ind w:firstLineChars="200" w:firstLine="600"/>
        <w:rPr>
          <w:rFonts w:ascii="仿宋_GB2312" w:eastAsia="仿宋_GB2312"/>
          <w:sz w:val="30"/>
          <w:szCs w:val="30"/>
        </w:rPr>
      </w:pPr>
      <w:r>
        <w:rPr>
          <w:rFonts w:ascii="仿宋_GB2312" w:eastAsia="仿宋_GB2312" w:cs="仿宋_GB2312" w:hint="eastAsia"/>
          <w:sz w:val="30"/>
          <w:szCs w:val="30"/>
        </w:rPr>
        <w:t>4.</w:t>
      </w:r>
      <w:r w:rsidR="00842C7D" w:rsidRPr="00842C7D">
        <w:rPr>
          <w:rFonts w:ascii="仿宋_GB2312" w:eastAsia="仿宋_GB2312" w:cs="仿宋_GB2312" w:hint="eastAsia"/>
          <w:sz w:val="30"/>
          <w:szCs w:val="30"/>
        </w:rPr>
        <w:t>结合公司实际完成港股通</w:t>
      </w:r>
      <w:r w:rsidR="00A674EB">
        <w:rPr>
          <w:rFonts w:ascii="仿宋_GB2312" w:eastAsia="仿宋_GB2312" w:cs="仿宋_GB2312" w:hint="eastAsia"/>
          <w:sz w:val="30"/>
          <w:szCs w:val="30"/>
        </w:rPr>
        <w:t>业务</w:t>
      </w:r>
      <w:r w:rsidR="00842C7D" w:rsidRPr="00842C7D">
        <w:rPr>
          <w:rFonts w:ascii="仿宋_GB2312" w:eastAsia="仿宋_GB2312" w:cs="仿宋_GB2312" w:hint="eastAsia"/>
          <w:sz w:val="30"/>
          <w:szCs w:val="30"/>
        </w:rPr>
        <w:t>准备情况自我评估（评估要点详见附件）；</w:t>
      </w:r>
    </w:p>
    <w:p w:rsidR="00551C16" w:rsidRDefault="0051710E" w:rsidP="00551C16">
      <w:pPr>
        <w:spacing w:line="560" w:lineRule="exact"/>
        <w:ind w:firstLineChars="200" w:firstLine="600"/>
        <w:rPr>
          <w:rFonts w:ascii="仿宋_GB2312" w:eastAsia="仿宋_GB2312"/>
          <w:sz w:val="30"/>
          <w:szCs w:val="30"/>
        </w:rPr>
      </w:pPr>
      <w:r>
        <w:rPr>
          <w:rFonts w:ascii="仿宋_GB2312" w:eastAsia="仿宋_GB2312" w:cs="仿宋_GB2312" w:hint="eastAsia"/>
          <w:sz w:val="30"/>
          <w:szCs w:val="30"/>
        </w:rPr>
        <w:t>5.</w:t>
      </w:r>
      <w:r w:rsidR="00551C16">
        <w:rPr>
          <w:rFonts w:ascii="仿宋_GB2312" w:eastAsia="仿宋_GB2312" w:hAnsi="黑体" w:cs="仿宋_GB2312" w:hint="eastAsia"/>
          <w:sz w:val="30"/>
          <w:szCs w:val="30"/>
        </w:rPr>
        <w:t>采取托管人模式结算的申请机构，还应当会同托管人制订港股通交易相关结算方案、业务制度和操作流程，并督促托管人</w:t>
      </w:r>
      <w:r w:rsidR="00842C7D" w:rsidRPr="00842C7D">
        <w:rPr>
          <w:rFonts w:ascii="仿宋_GB2312" w:eastAsia="仿宋_GB2312" w:hAnsi="黑体" w:cs="仿宋_GB2312" w:hint="eastAsia"/>
          <w:sz w:val="30"/>
          <w:szCs w:val="30"/>
        </w:rPr>
        <w:t>前往中国结算</w:t>
      </w:r>
      <w:r w:rsidR="008A3FC7">
        <w:rPr>
          <w:rFonts w:ascii="仿宋_GB2312" w:eastAsia="仿宋_GB2312" w:hAnsi="黑体" w:cs="仿宋_GB2312" w:hint="eastAsia"/>
          <w:sz w:val="30"/>
          <w:szCs w:val="30"/>
        </w:rPr>
        <w:t>上海</w:t>
      </w:r>
      <w:r w:rsidR="00842C7D" w:rsidRPr="00842C7D">
        <w:rPr>
          <w:rFonts w:ascii="仿宋_GB2312" w:eastAsia="仿宋_GB2312" w:hAnsi="黑体" w:cs="仿宋_GB2312" w:hint="eastAsia"/>
          <w:sz w:val="30"/>
          <w:szCs w:val="30"/>
        </w:rPr>
        <w:t>分公司完成港股通业务资金结算账户开立</w:t>
      </w:r>
      <w:r>
        <w:rPr>
          <w:rFonts w:ascii="仿宋_GB2312" w:eastAsia="仿宋_GB2312" w:hAnsi="黑体" w:cs="仿宋_GB2312" w:hint="eastAsia"/>
          <w:sz w:val="30"/>
          <w:szCs w:val="30"/>
        </w:rPr>
        <w:t>。</w:t>
      </w:r>
    </w:p>
    <w:p w:rsidR="007E6B9F" w:rsidRPr="004F4B2B" w:rsidRDefault="007E6B9F" w:rsidP="007E6B9F">
      <w:pPr>
        <w:spacing w:line="560" w:lineRule="exact"/>
        <w:ind w:firstLine="560"/>
        <w:jc w:val="left"/>
        <w:rPr>
          <w:rFonts w:ascii="仿宋_GB2312" w:eastAsia="仿宋_GB2312"/>
          <w:sz w:val="30"/>
          <w:szCs w:val="30"/>
        </w:rPr>
      </w:pPr>
      <w:r w:rsidRPr="004F4B2B">
        <w:rPr>
          <w:rFonts w:ascii="仿宋_GB2312" w:eastAsia="仿宋_GB2312" w:hint="eastAsia"/>
          <w:sz w:val="30"/>
          <w:szCs w:val="30"/>
        </w:rPr>
        <w:t>（二）申请机构申请开通港股通业务前，</w:t>
      </w:r>
      <w:r w:rsidRPr="004F4B2B">
        <w:rPr>
          <w:rFonts w:ascii="仿宋_GB2312" w:eastAsia="仿宋_GB2312" w:hAnsi="宋体" w:hint="eastAsia"/>
          <w:sz w:val="30"/>
          <w:szCs w:val="30"/>
        </w:rPr>
        <w:t>应当与本所证券交易服务公司</w:t>
      </w:r>
      <w:r w:rsidRPr="004F4B2B">
        <w:rPr>
          <w:rFonts w:ascii="仿宋_GB2312" w:eastAsia="仿宋_GB2312" w:hint="eastAsia"/>
          <w:sz w:val="30"/>
          <w:szCs w:val="30"/>
        </w:rPr>
        <w:t>（中国投资信息有限公司）</w:t>
      </w:r>
      <w:r w:rsidRPr="004F4B2B">
        <w:rPr>
          <w:rFonts w:ascii="仿宋_GB2312" w:eastAsia="仿宋_GB2312" w:hAnsi="宋体" w:hint="eastAsia"/>
          <w:sz w:val="30"/>
          <w:szCs w:val="30"/>
        </w:rPr>
        <w:t>签订《</w:t>
      </w:r>
      <w:r w:rsidRPr="004F4B2B">
        <w:rPr>
          <w:rFonts w:ascii="仿宋_GB2312" w:eastAsia="仿宋_GB2312" w:hint="eastAsia"/>
          <w:sz w:val="30"/>
          <w:szCs w:val="30"/>
        </w:rPr>
        <w:t>上海证券交易所</w:t>
      </w:r>
      <w:r w:rsidRPr="004F4B2B">
        <w:rPr>
          <w:rFonts w:ascii="仿宋_GB2312" w:eastAsia="仿宋_GB2312" w:hAnsi="宋体" w:hint="eastAsia"/>
          <w:sz w:val="30"/>
          <w:szCs w:val="30"/>
        </w:rPr>
        <w:t>港股通服务协议》。申请机构</w:t>
      </w:r>
      <w:r w:rsidRPr="004F4B2B">
        <w:rPr>
          <w:rFonts w:ascii="仿宋_GB2312" w:eastAsia="仿宋_GB2312" w:hint="eastAsia"/>
          <w:sz w:val="30"/>
          <w:szCs w:val="30"/>
        </w:rPr>
        <w:t>可与本所</w:t>
      </w:r>
      <w:r w:rsidR="00F66A96">
        <w:rPr>
          <w:rFonts w:ascii="仿宋_GB2312" w:eastAsia="仿宋_GB2312" w:hint="eastAsia"/>
          <w:sz w:val="30"/>
          <w:szCs w:val="30"/>
        </w:rPr>
        <w:t>会员管理部</w:t>
      </w:r>
      <w:r w:rsidRPr="004F4B2B">
        <w:rPr>
          <w:rFonts w:ascii="仿宋_GB2312" w:eastAsia="仿宋_GB2312" w:hint="eastAsia"/>
          <w:sz w:val="30"/>
          <w:szCs w:val="30"/>
        </w:rPr>
        <w:t>联系，领取与本所证券交易服务公司签署的《上海证券交易所港股通服务协议》文本，并于签署完毕后将1份原件寄往本所</w:t>
      </w:r>
      <w:r w:rsidR="00F66A96">
        <w:rPr>
          <w:rFonts w:ascii="仿宋_GB2312" w:eastAsia="仿宋_GB2312" w:hint="eastAsia"/>
          <w:sz w:val="30"/>
          <w:szCs w:val="30"/>
        </w:rPr>
        <w:t>会员管理部</w:t>
      </w:r>
      <w:r w:rsidRPr="004F4B2B">
        <w:rPr>
          <w:rFonts w:ascii="仿宋_GB2312" w:eastAsia="仿宋_GB2312" w:hint="eastAsia"/>
          <w:sz w:val="30"/>
          <w:szCs w:val="30"/>
        </w:rPr>
        <w:t>转交本所证券交易服务公司存档。</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二、申请材料</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申请机构申请开通港股通业务，应当通过本所</w:t>
      </w:r>
      <w:r w:rsidR="00EB3C10">
        <w:rPr>
          <w:rFonts w:ascii="仿宋_GB2312" w:eastAsia="仿宋_GB2312" w:hint="eastAsia"/>
          <w:sz w:val="30"/>
          <w:szCs w:val="30"/>
        </w:rPr>
        <w:t>业务管理系统平台</w:t>
      </w:r>
      <w:r w:rsidR="008A3FC7">
        <w:rPr>
          <w:rFonts w:ascii="仿宋_GB2312" w:eastAsia="仿宋_GB2312" w:hint="eastAsia"/>
          <w:sz w:val="30"/>
          <w:szCs w:val="30"/>
        </w:rPr>
        <w:t>-会员管理业务模块</w:t>
      </w:r>
      <w:r w:rsidRPr="004F4B2B">
        <w:rPr>
          <w:rFonts w:ascii="仿宋_GB2312" w:eastAsia="仿宋_GB2312" w:hint="eastAsia"/>
          <w:sz w:val="30"/>
          <w:szCs w:val="30"/>
        </w:rPr>
        <w:t>向本所</w:t>
      </w:r>
      <w:r w:rsidR="00F66A96">
        <w:rPr>
          <w:rFonts w:ascii="仿宋_GB2312" w:eastAsia="仿宋_GB2312" w:hint="eastAsia"/>
          <w:sz w:val="30"/>
          <w:szCs w:val="30"/>
        </w:rPr>
        <w:t>会员管理部</w:t>
      </w:r>
      <w:r w:rsidRPr="004F4B2B">
        <w:rPr>
          <w:rFonts w:ascii="仿宋_GB2312" w:eastAsia="仿宋_GB2312" w:hint="eastAsia"/>
          <w:sz w:val="30"/>
          <w:szCs w:val="30"/>
        </w:rPr>
        <w:t>提交以下材料：</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（一）业务申请书；</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（二）与本所证券交易服务公司签署的《</w:t>
      </w:r>
      <w:r w:rsidRPr="004F4B2B">
        <w:rPr>
          <w:rFonts w:ascii="仿宋_GB2312" w:eastAsia="仿宋_GB2312" w:hAnsi="宋体" w:hint="eastAsia"/>
          <w:sz w:val="30"/>
          <w:szCs w:val="30"/>
        </w:rPr>
        <w:t>上海证券交易所</w:t>
      </w:r>
      <w:r w:rsidRPr="004F4B2B">
        <w:rPr>
          <w:rFonts w:ascii="仿宋_GB2312" w:eastAsia="仿宋_GB2312" w:hint="eastAsia"/>
          <w:sz w:val="30"/>
          <w:szCs w:val="30"/>
        </w:rPr>
        <w:t>港股通服务协议》；</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（三）港股通业务实施方案；</w:t>
      </w:r>
    </w:p>
    <w:p w:rsidR="007E6B9F"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（四）港股通业务投资者适当性管理制度（仅会员适用）</w:t>
      </w:r>
      <w:r w:rsidR="000B4268">
        <w:rPr>
          <w:rFonts w:ascii="仿宋_GB2312" w:eastAsia="仿宋_GB2312" w:hint="eastAsia"/>
          <w:sz w:val="30"/>
          <w:szCs w:val="30"/>
        </w:rPr>
        <w:t>；</w:t>
      </w:r>
    </w:p>
    <w:p w:rsidR="00EE44BA" w:rsidRDefault="000B4268" w:rsidP="00EE44BA">
      <w:pPr>
        <w:spacing w:line="560" w:lineRule="exact"/>
        <w:ind w:firstLineChars="200" w:firstLine="600"/>
        <w:rPr>
          <w:rFonts w:ascii="仿宋_GB2312" w:eastAsia="仿宋_GB2312"/>
          <w:sz w:val="30"/>
          <w:szCs w:val="30"/>
        </w:rPr>
      </w:pPr>
      <w:r>
        <w:rPr>
          <w:rFonts w:ascii="仿宋_GB2312" w:eastAsia="仿宋_GB2312" w:hint="eastAsia"/>
          <w:sz w:val="30"/>
          <w:szCs w:val="30"/>
        </w:rPr>
        <w:t>（五）由本所技术部门提供的技术测试通过反馈文件</w:t>
      </w:r>
      <w:r w:rsidR="006B2310">
        <w:rPr>
          <w:rFonts w:ascii="仿宋_GB2312" w:eastAsia="仿宋_GB2312" w:hint="eastAsia"/>
          <w:sz w:val="30"/>
          <w:szCs w:val="30"/>
        </w:rPr>
        <w:t>；</w:t>
      </w:r>
    </w:p>
    <w:p w:rsidR="00EE44BA" w:rsidRPr="004F4B2B" w:rsidRDefault="00EE44BA" w:rsidP="00EE44BA">
      <w:pPr>
        <w:spacing w:line="560" w:lineRule="exact"/>
        <w:ind w:firstLineChars="200" w:firstLine="600"/>
        <w:rPr>
          <w:rFonts w:ascii="仿宋_GB2312" w:eastAsia="仿宋_GB2312"/>
          <w:sz w:val="30"/>
          <w:szCs w:val="30"/>
        </w:rPr>
      </w:pPr>
      <w:r>
        <w:rPr>
          <w:rFonts w:ascii="仿宋_GB2312" w:eastAsia="仿宋_GB2312" w:hint="eastAsia"/>
          <w:sz w:val="30"/>
          <w:szCs w:val="30"/>
        </w:rPr>
        <w:t>（六）</w:t>
      </w:r>
      <w:r w:rsidRPr="00B37543">
        <w:rPr>
          <w:rFonts w:ascii="仿宋_GB2312" w:eastAsia="仿宋_GB2312" w:cs="仿宋_GB2312" w:hint="eastAsia"/>
          <w:sz w:val="30"/>
          <w:szCs w:val="30"/>
        </w:rPr>
        <w:t>港股通</w:t>
      </w:r>
      <w:r w:rsidR="00A674EB">
        <w:rPr>
          <w:rFonts w:ascii="仿宋_GB2312" w:eastAsia="仿宋_GB2312" w:cs="仿宋_GB2312" w:hint="eastAsia"/>
          <w:sz w:val="30"/>
          <w:szCs w:val="30"/>
        </w:rPr>
        <w:t>业务</w:t>
      </w:r>
      <w:r w:rsidRPr="00B37543">
        <w:rPr>
          <w:rFonts w:ascii="仿宋_GB2312" w:eastAsia="仿宋_GB2312" w:cs="仿宋_GB2312" w:hint="eastAsia"/>
          <w:sz w:val="30"/>
          <w:szCs w:val="30"/>
        </w:rPr>
        <w:t>准备情况自我评估</w:t>
      </w:r>
      <w:r>
        <w:rPr>
          <w:rFonts w:ascii="仿宋_GB2312" w:eastAsia="仿宋_GB2312" w:cs="仿宋_GB2312" w:hint="eastAsia"/>
          <w:sz w:val="30"/>
          <w:szCs w:val="30"/>
        </w:rPr>
        <w:t>表（加盖公章）</w:t>
      </w:r>
    </w:p>
    <w:p w:rsidR="007C6F39" w:rsidRPr="007C6F39" w:rsidRDefault="007E6B9F" w:rsidP="00F41E73">
      <w:pPr>
        <w:spacing w:line="560" w:lineRule="exact"/>
        <w:ind w:firstLineChars="200" w:firstLine="600"/>
        <w:rPr>
          <w:rFonts w:ascii="Arial Unicode MS" w:eastAsia="Arial Unicode MS" w:hAnsiTheme="minorHAnsi" w:cs="Arial Unicode MS"/>
          <w:color w:val="000000"/>
          <w:kern w:val="0"/>
          <w:szCs w:val="21"/>
        </w:rPr>
      </w:pPr>
      <w:r w:rsidRPr="004F4B2B">
        <w:rPr>
          <w:rFonts w:ascii="仿宋_GB2312" w:eastAsia="仿宋_GB2312" w:hint="eastAsia"/>
          <w:sz w:val="30"/>
          <w:szCs w:val="30"/>
        </w:rPr>
        <w:t>业务申请书应当为申请机构的正式发文，并加盖公司公章。</w:t>
      </w:r>
      <w:r w:rsidRPr="004F4B2B">
        <w:rPr>
          <w:rFonts w:ascii="仿宋_GB2312" w:eastAsia="仿宋_GB2312" w:cs="仿宋_GB2312" w:hint="eastAsia"/>
          <w:sz w:val="30"/>
          <w:szCs w:val="30"/>
        </w:rPr>
        <w:t>租用本所交易单元的申请机构应当在申请书中承诺，就将相关交易单元用于港股通交易已获得交易单元持有人的同意。申请机构</w:t>
      </w:r>
      <w:r w:rsidRPr="004F4B2B">
        <w:rPr>
          <w:rFonts w:ascii="仿宋_GB2312" w:eastAsia="仿宋_GB2312" w:hint="eastAsia"/>
          <w:sz w:val="30"/>
          <w:szCs w:val="30"/>
        </w:rPr>
        <w:t>的法定代表人或其授权代表应当在申请书上签章，并做出如下承诺：申请材料的内容真实、准确、完整，如申请材料存在虚假记载、误导性陈述和重大遗漏，将承担全部法律责任。上述申请材料的文件上传路径为“</w:t>
      </w:r>
      <w:r w:rsidR="00D27B8E">
        <w:rPr>
          <w:rFonts w:ascii="仿宋_GB2312" w:eastAsia="仿宋_GB2312" w:hint="eastAsia"/>
          <w:sz w:val="30"/>
          <w:szCs w:val="30"/>
        </w:rPr>
        <w:t>本所</w:t>
      </w:r>
      <w:r w:rsidR="00EB3C10">
        <w:rPr>
          <w:rFonts w:ascii="仿宋_GB2312" w:eastAsia="仿宋_GB2312" w:hint="eastAsia"/>
          <w:sz w:val="30"/>
          <w:szCs w:val="30"/>
        </w:rPr>
        <w:t>业务管理系统平台-会员管理业务</w:t>
      </w:r>
      <w:r w:rsidR="003A5857">
        <w:rPr>
          <w:rFonts w:ascii="仿宋_GB2312" w:eastAsia="仿宋_GB2312" w:hint="eastAsia"/>
          <w:sz w:val="30"/>
          <w:szCs w:val="30"/>
        </w:rPr>
        <w:t>模块</w:t>
      </w:r>
      <w:r w:rsidR="00EB3C10">
        <w:rPr>
          <w:rFonts w:ascii="仿宋_GB2312" w:eastAsia="仿宋_GB2312" w:hint="eastAsia"/>
          <w:sz w:val="30"/>
          <w:szCs w:val="30"/>
        </w:rPr>
        <w:t>-</w:t>
      </w:r>
      <w:r w:rsidR="00D27B8E">
        <w:rPr>
          <w:rFonts w:ascii="仿宋_GB2312" w:eastAsia="仿宋_GB2312" w:hint="eastAsia"/>
          <w:sz w:val="30"/>
          <w:szCs w:val="30"/>
        </w:rPr>
        <w:t>**</w:t>
      </w:r>
      <w:r w:rsidR="00EB3C10">
        <w:rPr>
          <w:rFonts w:ascii="仿宋_GB2312" w:eastAsia="仿宋_GB2312" w:hint="eastAsia"/>
          <w:sz w:val="30"/>
          <w:szCs w:val="30"/>
        </w:rPr>
        <w:t>交易单元操作岗-</w:t>
      </w:r>
      <w:r w:rsidR="00D27B8E">
        <w:rPr>
          <w:rFonts w:ascii="仿宋_GB2312" w:eastAsia="仿宋_GB2312" w:hint="eastAsia"/>
          <w:sz w:val="30"/>
          <w:szCs w:val="30"/>
        </w:rPr>
        <w:t>业务办理-港股通业务办理-</w:t>
      </w:r>
      <w:r w:rsidR="00842C7D" w:rsidRPr="00842C7D">
        <w:rPr>
          <w:rFonts w:ascii="仿宋_GB2312" w:eastAsia="仿宋_GB2312" w:hAnsiTheme="minorHAnsi" w:cs="Arial Unicode MS" w:hint="eastAsia"/>
          <w:color w:val="000000"/>
          <w:kern w:val="0"/>
          <w:sz w:val="30"/>
          <w:szCs w:val="30"/>
        </w:rPr>
        <w:t>港股通业务权限申请</w:t>
      </w:r>
      <w:r w:rsidR="00EB3C10">
        <w:rPr>
          <w:szCs w:val="21"/>
        </w:rPr>
        <w:t xml:space="preserve"> </w:t>
      </w:r>
      <w:r w:rsidRPr="004F4B2B">
        <w:rPr>
          <w:rFonts w:ascii="仿宋_GB2312" w:eastAsia="仿宋_GB2312" w:hint="eastAsia"/>
          <w:sz w:val="30"/>
          <w:szCs w:val="30"/>
        </w:rPr>
        <w:t>”。其中，业务申请书必须为PDF格式的彩色扫描件；其他申请材料可以是黑白扫描件，</w:t>
      </w:r>
      <w:r w:rsidR="00D27B8E" w:rsidRPr="004F4B2B">
        <w:rPr>
          <w:rFonts w:ascii="仿宋_GB2312" w:eastAsia="仿宋_GB2312" w:hint="eastAsia"/>
          <w:sz w:val="30"/>
          <w:szCs w:val="30"/>
        </w:rPr>
        <w:t>单个文件</w:t>
      </w:r>
      <w:r w:rsidR="00D27B8E">
        <w:rPr>
          <w:rFonts w:ascii="仿宋_GB2312" w:eastAsia="仿宋_GB2312" w:hint="eastAsia"/>
          <w:sz w:val="30"/>
          <w:szCs w:val="30"/>
        </w:rPr>
        <w:t>大小限制在20</w:t>
      </w:r>
      <w:r w:rsidRPr="004F4B2B">
        <w:rPr>
          <w:rFonts w:ascii="仿宋_GB2312" w:eastAsia="仿宋_GB2312" w:hint="eastAsia"/>
          <w:sz w:val="30"/>
          <w:szCs w:val="30"/>
        </w:rPr>
        <w:t>M</w:t>
      </w:r>
      <w:r w:rsidR="00D27B8E">
        <w:rPr>
          <w:rFonts w:ascii="仿宋_GB2312" w:eastAsia="仿宋_GB2312" w:hint="eastAsia"/>
          <w:sz w:val="30"/>
          <w:szCs w:val="30"/>
        </w:rPr>
        <w:t>内</w:t>
      </w:r>
      <w:r w:rsidRPr="004F4B2B">
        <w:rPr>
          <w:rFonts w:ascii="仿宋_GB2312" w:eastAsia="仿宋_GB2312" w:hint="eastAsia"/>
          <w:sz w:val="30"/>
          <w:szCs w:val="30"/>
        </w:rPr>
        <w:t>。</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三、办理流程</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本所将在中国结算上海分公司为</w:t>
      </w:r>
      <w:r w:rsidRPr="004F4B2B">
        <w:rPr>
          <w:rFonts w:ascii="仿宋_GB2312" w:eastAsia="仿宋_GB2312" w:cs="仿宋_GB2312" w:hint="eastAsia"/>
          <w:sz w:val="30"/>
          <w:szCs w:val="30"/>
        </w:rPr>
        <w:t>申请机构或其指定托管人</w:t>
      </w:r>
      <w:r w:rsidRPr="004F4B2B">
        <w:rPr>
          <w:rFonts w:ascii="仿宋_GB2312" w:eastAsia="仿宋_GB2312" w:hint="eastAsia"/>
          <w:sz w:val="30"/>
          <w:szCs w:val="30"/>
        </w:rPr>
        <w:t>开通相应港股通结算业务后，为符合规定的申请机构开通其交易单元的港股通交易权限，并向申请机构发出确认开通其交易单元的港股通交易权限的书面通知。</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cs="仿宋_GB2312" w:hint="eastAsia"/>
          <w:sz w:val="30"/>
          <w:szCs w:val="30"/>
        </w:rPr>
        <w:t>申请机构在</w:t>
      </w:r>
      <w:r w:rsidRPr="004F4B2B">
        <w:rPr>
          <w:rFonts w:ascii="仿宋_GB2312" w:eastAsia="仿宋_GB2312" w:hAnsi="黑体" w:hint="eastAsia"/>
          <w:sz w:val="30"/>
          <w:szCs w:val="30"/>
        </w:rPr>
        <w:t>中国结算上海分公司的</w:t>
      </w:r>
      <w:r w:rsidRPr="004F4B2B">
        <w:rPr>
          <w:rFonts w:ascii="仿宋_GB2312" w:eastAsia="仿宋_GB2312" w:cs="仿宋_GB2312" w:hint="eastAsia"/>
          <w:sz w:val="30"/>
          <w:szCs w:val="30"/>
        </w:rPr>
        <w:t>结算业务</w:t>
      </w:r>
      <w:r w:rsidRPr="004F4B2B">
        <w:rPr>
          <w:rFonts w:ascii="仿宋_GB2312" w:eastAsia="仿宋_GB2312" w:hAnsi="黑体" w:hint="eastAsia"/>
          <w:sz w:val="30"/>
          <w:szCs w:val="30"/>
        </w:rPr>
        <w:t>涉及多个托管人的，应当确保其用于港股通交易的交易单元对应的托管人已开通港股通结算业务，否则不得通过该交易单元进行港股通交易。申请机构违反上述要求的，应当承担由此产生的一切责任。</w:t>
      </w:r>
    </w:p>
    <w:p w:rsidR="007E6B9F" w:rsidRPr="004F4B2B" w:rsidRDefault="007E6B9F" w:rsidP="007E6B9F">
      <w:pPr>
        <w:spacing w:line="560" w:lineRule="exact"/>
        <w:ind w:firstLine="560"/>
        <w:jc w:val="left"/>
        <w:rPr>
          <w:rFonts w:ascii="仿宋_GB2312" w:eastAsia="仿宋_GB2312"/>
          <w:sz w:val="30"/>
          <w:szCs w:val="30"/>
        </w:rPr>
      </w:pPr>
      <w:r w:rsidRPr="004F4B2B">
        <w:rPr>
          <w:rFonts w:ascii="仿宋_GB2312" w:eastAsia="仿宋_GB2312" w:hint="eastAsia"/>
          <w:sz w:val="30"/>
          <w:szCs w:val="30"/>
        </w:rPr>
        <w:t>本所可根据需要，对申请机构港股通业务相关的内部控制制度、业务操作规范、风险管理措施、交易技术系统的安全运行状况等进行</w:t>
      </w:r>
      <w:r w:rsidR="00C579DE">
        <w:rPr>
          <w:rFonts w:ascii="仿宋_GB2312" w:eastAsia="仿宋_GB2312" w:hint="eastAsia"/>
          <w:sz w:val="30"/>
          <w:szCs w:val="30"/>
        </w:rPr>
        <w:t>现场</w:t>
      </w:r>
      <w:r w:rsidRPr="004F4B2B">
        <w:rPr>
          <w:rFonts w:ascii="仿宋_GB2312" w:eastAsia="仿宋_GB2312" w:hint="eastAsia"/>
          <w:sz w:val="30"/>
          <w:szCs w:val="30"/>
        </w:rPr>
        <w:t>检查。</w:t>
      </w:r>
    </w:p>
    <w:p w:rsidR="007E6B9F" w:rsidRPr="004F4B2B"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四、</w:t>
      </w:r>
      <w:r w:rsidR="00F43FCD">
        <w:rPr>
          <w:rFonts w:ascii="仿宋_GB2312" w:eastAsia="仿宋_GB2312" w:hint="eastAsia"/>
          <w:sz w:val="30"/>
          <w:szCs w:val="30"/>
        </w:rPr>
        <w:t>注意事项</w:t>
      </w:r>
    </w:p>
    <w:p w:rsidR="007E6B9F" w:rsidRDefault="007E6B9F" w:rsidP="007E6B9F">
      <w:pPr>
        <w:spacing w:line="560" w:lineRule="exact"/>
        <w:ind w:firstLineChars="200" w:firstLine="600"/>
        <w:rPr>
          <w:rFonts w:ascii="仿宋_GB2312" w:eastAsia="仿宋_GB2312"/>
          <w:sz w:val="30"/>
          <w:szCs w:val="30"/>
        </w:rPr>
      </w:pPr>
      <w:r w:rsidRPr="004F4B2B">
        <w:rPr>
          <w:rFonts w:ascii="仿宋_GB2312" w:eastAsia="仿宋_GB2312" w:hint="eastAsia"/>
          <w:sz w:val="30"/>
          <w:szCs w:val="30"/>
        </w:rPr>
        <w:t>参与港股通业务的会员可以复用</w:t>
      </w:r>
      <w:r w:rsidR="00A674EB">
        <w:rPr>
          <w:rFonts w:ascii="仿宋_GB2312" w:eastAsia="仿宋_GB2312" w:hint="eastAsia"/>
          <w:sz w:val="30"/>
          <w:szCs w:val="30"/>
        </w:rPr>
        <w:t>或新设</w:t>
      </w:r>
      <w:r w:rsidRPr="004F4B2B">
        <w:rPr>
          <w:rFonts w:ascii="仿宋_GB2312" w:eastAsia="仿宋_GB2312" w:hint="eastAsia"/>
          <w:sz w:val="30"/>
          <w:szCs w:val="30"/>
        </w:rPr>
        <w:t>A股市场的交易单元</w:t>
      </w:r>
      <w:r>
        <w:rPr>
          <w:rFonts w:ascii="仿宋_GB2312" w:eastAsia="仿宋_GB2312" w:hint="eastAsia"/>
          <w:sz w:val="30"/>
          <w:szCs w:val="30"/>
        </w:rPr>
        <w:t>。</w:t>
      </w:r>
    </w:p>
    <w:p w:rsidR="00FF6C7A" w:rsidRDefault="00842C7D" w:rsidP="00036C05">
      <w:pPr>
        <w:spacing w:line="560" w:lineRule="exact"/>
        <w:ind w:firstLineChars="200" w:firstLine="600"/>
        <w:rPr>
          <w:rFonts w:ascii="仿宋_GB2312" w:eastAsia="仿宋_GB2312"/>
          <w:sz w:val="30"/>
          <w:szCs w:val="30"/>
        </w:rPr>
      </w:pPr>
      <w:r w:rsidRPr="00842C7D">
        <w:rPr>
          <w:rFonts w:ascii="仿宋_GB2312" w:eastAsia="仿宋_GB2312" w:hint="eastAsia"/>
          <w:sz w:val="30"/>
          <w:szCs w:val="30"/>
        </w:rPr>
        <w:t>参与港股通交易</w:t>
      </w:r>
      <w:r w:rsidR="0094103F">
        <w:rPr>
          <w:rFonts w:ascii="仿宋_GB2312" w:eastAsia="仿宋_GB2312" w:hint="eastAsia"/>
          <w:sz w:val="30"/>
          <w:szCs w:val="30"/>
        </w:rPr>
        <w:t>，</w:t>
      </w:r>
      <w:r w:rsidRPr="00842C7D">
        <w:rPr>
          <w:rFonts w:ascii="仿宋_GB2312" w:eastAsia="仿宋_GB2312" w:hint="eastAsia"/>
          <w:sz w:val="30"/>
          <w:szCs w:val="30"/>
        </w:rPr>
        <w:t>选择托管人结算模式的，应当确保托管人已在中国结算</w:t>
      </w:r>
      <w:r w:rsidR="00273616">
        <w:rPr>
          <w:rFonts w:ascii="仿宋_GB2312" w:eastAsia="仿宋_GB2312" w:hint="eastAsia"/>
          <w:sz w:val="30"/>
          <w:szCs w:val="30"/>
        </w:rPr>
        <w:t>上海</w:t>
      </w:r>
      <w:r w:rsidRPr="00842C7D">
        <w:rPr>
          <w:rFonts w:ascii="仿宋_GB2312" w:eastAsia="仿宋_GB2312" w:hint="eastAsia"/>
          <w:sz w:val="30"/>
          <w:szCs w:val="30"/>
        </w:rPr>
        <w:t>分公司完成港股通业务资金结算账户开立，方可接受相应产品的港股通交易委托。</w:t>
      </w:r>
    </w:p>
    <w:p w:rsidR="007E6B9F" w:rsidRDefault="007E6B9F" w:rsidP="007E6B9F">
      <w:pPr>
        <w:spacing w:line="560" w:lineRule="exact"/>
        <w:ind w:firstLineChars="200" w:firstLine="600"/>
        <w:rPr>
          <w:rFonts w:ascii="仿宋_GB2312" w:eastAsia="仿宋_GB2312"/>
          <w:sz w:val="30"/>
          <w:szCs w:val="30"/>
        </w:rPr>
      </w:pPr>
      <w:r>
        <w:rPr>
          <w:rFonts w:ascii="仿宋_GB2312" w:eastAsia="仿宋_GB2312" w:hint="eastAsia"/>
          <w:sz w:val="30"/>
          <w:szCs w:val="30"/>
        </w:rPr>
        <w:t>本指南自发布之日起施行。</w:t>
      </w:r>
    </w:p>
    <w:p w:rsidR="007E6B9F" w:rsidRPr="00EE2E57" w:rsidRDefault="007E6B9F" w:rsidP="007E6B9F"/>
    <w:p w:rsidR="00736951" w:rsidRDefault="009D4751"/>
    <w:p w:rsidR="00273616" w:rsidRDefault="00842C7D">
      <w:pPr>
        <w:rPr>
          <w:rFonts w:ascii="仿宋_GB2312" w:eastAsia="仿宋_GB2312" w:cs="仿宋_GB2312"/>
          <w:sz w:val="30"/>
          <w:szCs w:val="30"/>
        </w:rPr>
      </w:pPr>
      <w:r w:rsidRPr="00842C7D">
        <w:rPr>
          <w:rFonts w:ascii="仿宋_GB2312" w:eastAsia="仿宋_GB2312" w:cs="仿宋_GB2312" w:hint="eastAsia"/>
          <w:sz w:val="30"/>
          <w:szCs w:val="30"/>
        </w:rPr>
        <w:t>附件：</w:t>
      </w:r>
      <w:r w:rsidR="00273616" w:rsidRPr="0051710E">
        <w:rPr>
          <w:rFonts w:ascii="仿宋_GB2312" w:eastAsia="仿宋_GB2312" w:cs="仿宋_GB2312" w:hint="eastAsia"/>
          <w:sz w:val="30"/>
          <w:szCs w:val="30"/>
        </w:rPr>
        <w:t>港股通</w:t>
      </w:r>
      <w:r w:rsidR="00E809F1">
        <w:rPr>
          <w:rFonts w:ascii="仿宋_GB2312" w:eastAsia="仿宋_GB2312" w:cs="仿宋_GB2312" w:hint="eastAsia"/>
          <w:sz w:val="30"/>
          <w:szCs w:val="30"/>
        </w:rPr>
        <w:t>业务</w:t>
      </w:r>
      <w:r w:rsidR="00273616" w:rsidRPr="0051710E">
        <w:rPr>
          <w:rFonts w:ascii="仿宋_GB2312" w:eastAsia="仿宋_GB2312" w:cs="仿宋_GB2312" w:hint="eastAsia"/>
          <w:sz w:val="30"/>
          <w:szCs w:val="30"/>
        </w:rPr>
        <w:t>准备情况评估</w:t>
      </w:r>
      <w:r w:rsidR="00273616">
        <w:rPr>
          <w:rFonts w:ascii="仿宋_GB2312" w:eastAsia="仿宋_GB2312" w:cs="仿宋_GB2312" w:hint="eastAsia"/>
          <w:sz w:val="30"/>
          <w:szCs w:val="30"/>
        </w:rPr>
        <w:t>要点</w:t>
      </w:r>
    </w:p>
    <w:p w:rsidR="00273616" w:rsidRDefault="00273616">
      <w:pPr>
        <w:widowControl/>
        <w:jc w:val="left"/>
        <w:rPr>
          <w:rFonts w:ascii="仿宋_GB2312" w:eastAsia="仿宋_GB2312" w:cs="仿宋_GB2312"/>
          <w:sz w:val="30"/>
          <w:szCs w:val="30"/>
        </w:rPr>
      </w:pPr>
      <w:r>
        <w:rPr>
          <w:rFonts w:ascii="仿宋_GB2312" w:eastAsia="仿宋_GB2312" w:cs="仿宋_GB2312"/>
          <w:sz w:val="30"/>
          <w:szCs w:val="30"/>
        </w:rPr>
        <w:br w:type="page"/>
      </w:r>
    </w:p>
    <w:p w:rsidR="00273616" w:rsidRPr="000B0BB0" w:rsidRDefault="00273616" w:rsidP="00273616">
      <w:pPr>
        <w:spacing w:line="600" w:lineRule="exact"/>
        <w:jc w:val="center"/>
        <w:rPr>
          <w:rFonts w:ascii="方正大标宋简体" w:eastAsia="方正大标宋简体"/>
          <w:sz w:val="42"/>
          <w:szCs w:val="42"/>
        </w:rPr>
      </w:pPr>
      <w:r w:rsidRPr="000B0BB0">
        <w:rPr>
          <w:rFonts w:ascii="方正大标宋简体" w:eastAsia="方正大标宋简体" w:hint="eastAsia"/>
          <w:sz w:val="42"/>
          <w:szCs w:val="42"/>
        </w:rPr>
        <w:t>港股通业务</w:t>
      </w:r>
      <w:r>
        <w:rPr>
          <w:rFonts w:ascii="方正大标宋简体" w:eastAsia="方正大标宋简体" w:hint="eastAsia"/>
          <w:sz w:val="42"/>
          <w:szCs w:val="42"/>
        </w:rPr>
        <w:t>准备情况评估要点</w:t>
      </w:r>
    </w:p>
    <w:p w:rsidR="00273616" w:rsidRPr="00560009" w:rsidRDefault="00273616" w:rsidP="00273616">
      <w:pPr>
        <w:spacing w:line="560" w:lineRule="exact"/>
        <w:jc w:val="center"/>
        <w:rPr>
          <w:rFonts w:ascii="黑体" w:eastAsia="黑体"/>
          <w:b/>
          <w:sz w:val="44"/>
          <w:szCs w:val="44"/>
        </w:rPr>
      </w:pPr>
    </w:p>
    <w:p w:rsidR="00273616" w:rsidRPr="00560009" w:rsidRDefault="00273616" w:rsidP="00273616">
      <w:pPr>
        <w:pStyle w:val="22"/>
        <w:spacing w:line="600" w:lineRule="exact"/>
        <w:jc w:val="center"/>
        <w:rPr>
          <w:rFonts w:ascii="黑体" w:eastAsia="黑体" w:hAnsi="仿宋"/>
          <w:b/>
          <w:bCs/>
          <w:sz w:val="30"/>
          <w:szCs w:val="30"/>
        </w:rPr>
      </w:pPr>
      <w:r w:rsidRPr="00560009">
        <w:rPr>
          <w:rFonts w:ascii="黑体" w:eastAsia="黑体" w:hAnsi="仿宋" w:hint="eastAsia"/>
          <w:b/>
          <w:bCs/>
          <w:sz w:val="30"/>
          <w:szCs w:val="30"/>
        </w:rPr>
        <w:t>第一部分港股通业务就绪情况</w:t>
      </w:r>
    </w:p>
    <w:p w:rsidR="00273616" w:rsidRPr="00560009" w:rsidRDefault="00273616" w:rsidP="00273616">
      <w:pPr>
        <w:spacing w:line="560" w:lineRule="exact"/>
        <w:rPr>
          <w:rFonts w:ascii="仿宋_GB2312" w:eastAsia="仿宋_GB2312"/>
          <w:sz w:val="30"/>
          <w:szCs w:val="30"/>
        </w:rPr>
      </w:pPr>
      <w:r w:rsidRPr="00560009">
        <w:rPr>
          <w:rFonts w:ascii="仿宋_GB2312" w:eastAsia="仿宋_GB2312" w:hint="eastAsia"/>
          <w:sz w:val="30"/>
          <w:szCs w:val="30"/>
        </w:rPr>
        <w:t>一、基本要求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008"/>
        <w:gridCol w:w="708"/>
        <w:gridCol w:w="6620"/>
      </w:tblGrid>
      <w:tr w:rsidR="00273616" w:rsidTr="008046B3">
        <w:trPr>
          <w:cantSplit/>
          <w:trHeight w:val="312"/>
          <w:jc w:val="center"/>
        </w:trPr>
        <w:tc>
          <w:tcPr>
            <w:tcW w:w="1008" w:type="dxa"/>
            <w:vMerge w:val="restart"/>
            <w:vAlign w:val="center"/>
          </w:tcPr>
          <w:p w:rsidR="00273616" w:rsidRPr="00114D5C" w:rsidRDefault="00273616"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检查项目</w:t>
            </w:r>
          </w:p>
        </w:tc>
        <w:tc>
          <w:tcPr>
            <w:tcW w:w="708" w:type="dxa"/>
            <w:vMerge w:val="restart"/>
          </w:tcPr>
          <w:p w:rsidR="00273616" w:rsidRPr="00114D5C" w:rsidRDefault="00273616" w:rsidP="005377BA">
            <w:pPr>
              <w:autoSpaceDN w:val="0"/>
              <w:spacing w:line="480" w:lineRule="auto"/>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编号</w:t>
            </w:r>
          </w:p>
        </w:tc>
        <w:tc>
          <w:tcPr>
            <w:tcW w:w="6620" w:type="dxa"/>
            <w:vMerge w:val="restart"/>
            <w:vAlign w:val="center"/>
          </w:tcPr>
          <w:p w:rsidR="00273616" w:rsidRPr="00114D5C" w:rsidRDefault="00273616"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检查内容</w:t>
            </w:r>
          </w:p>
        </w:tc>
      </w:tr>
      <w:tr w:rsidR="00273616" w:rsidTr="008046B3">
        <w:trPr>
          <w:cantSplit/>
          <w:trHeight w:val="312"/>
          <w:jc w:val="center"/>
        </w:trPr>
        <w:tc>
          <w:tcPr>
            <w:tcW w:w="1008" w:type="dxa"/>
            <w:vMerge/>
            <w:vAlign w:val="center"/>
          </w:tcPr>
          <w:p w:rsidR="00273616" w:rsidRPr="00114D5C" w:rsidRDefault="00273616" w:rsidP="005377BA">
            <w:pPr>
              <w:autoSpaceDN w:val="0"/>
              <w:jc w:val="center"/>
              <w:textAlignment w:val="center"/>
              <w:rPr>
                <w:rFonts w:ascii="楷体_GB2312" w:eastAsia="楷体_GB2312" w:hAnsi="楷体_GB2312"/>
                <w:b/>
                <w:color w:val="000000"/>
              </w:rPr>
            </w:pPr>
          </w:p>
        </w:tc>
        <w:tc>
          <w:tcPr>
            <w:tcW w:w="708" w:type="dxa"/>
            <w:vMerge/>
          </w:tcPr>
          <w:p w:rsidR="00273616" w:rsidRPr="00114D5C" w:rsidRDefault="00273616" w:rsidP="005377BA">
            <w:pPr>
              <w:autoSpaceDN w:val="0"/>
              <w:jc w:val="center"/>
              <w:textAlignment w:val="center"/>
              <w:rPr>
                <w:rFonts w:ascii="楷体_GB2312" w:eastAsia="楷体_GB2312" w:hAnsi="楷体_GB2312"/>
                <w:b/>
                <w:color w:val="000000"/>
              </w:rPr>
            </w:pPr>
          </w:p>
        </w:tc>
        <w:tc>
          <w:tcPr>
            <w:tcW w:w="6620" w:type="dxa"/>
            <w:vMerge/>
            <w:vAlign w:val="center"/>
          </w:tcPr>
          <w:p w:rsidR="00273616" w:rsidRPr="00114D5C" w:rsidRDefault="00273616" w:rsidP="005377BA">
            <w:pPr>
              <w:autoSpaceDN w:val="0"/>
              <w:jc w:val="left"/>
              <w:textAlignment w:val="center"/>
              <w:rPr>
                <w:rFonts w:ascii="楷体_GB2312" w:eastAsia="楷体_GB2312" w:hAnsi="楷体_GB2312"/>
                <w:b/>
                <w:color w:val="000000"/>
              </w:rPr>
            </w:pPr>
          </w:p>
        </w:tc>
      </w:tr>
      <w:tr w:rsidR="00273616" w:rsidTr="008046B3">
        <w:trPr>
          <w:cantSplit/>
          <w:jc w:val="center"/>
        </w:trPr>
        <w:tc>
          <w:tcPr>
            <w:tcW w:w="1008" w:type="dxa"/>
            <w:vMerge w:val="restart"/>
            <w:vAlign w:val="center"/>
          </w:tcPr>
          <w:p w:rsidR="00273616" w:rsidRDefault="00273616" w:rsidP="005377BA">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组织架构</w:t>
            </w: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sidRPr="00560524">
              <w:rPr>
                <w:rFonts w:ascii="楷体_GB2312" w:eastAsia="楷体_GB2312"/>
                <w:b/>
                <w:color w:val="000000"/>
                <w:sz w:val="24"/>
              </w:rPr>
              <w:t>1</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建立完善的港股通业务授权体系</w:t>
            </w:r>
          </w:p>
        </w:tc>
      </w:tr>
      <w:tr w:rsidR="00273616" w:rsidTr="008046B3">
        <w:trPr>
          <w:cantSplit/>
          <w:jc w:val="center"/>
        </w:trPr>
        <w:tc>
          <w:tcPr>
            <w:tcW w:w="1008" w:type="dxa"/>
            <w:vMerge/>
            <w:vAlign w:val="center"/>
          </w:tcPr>
          <w:p w:rsidR="00273616" w:rsidRDefault="00273616" w:rsidP="005377BA">
            <w:pPr>
              <w:jc w:val="center"/>
              <w:rPr>
                <w:rFonts w:ascii="宋体"/>
                <w:sz w:val="24"/>
              </w:rPr>
            </w:pP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sidRPr="00560524">
              <w:rPr>
                <w:rFonts w:ascii="楷体_GB2312" w:eastAsia="楷体_GB2312"/>
                <w:b/>
                <w:color w:val="000000"/>
                <w:sz w:val="24"/>
              </w:rPr>
              <w:t>2</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sidRPr="00DD3565">
              <w:rPr>
                <w:rFonts w:ascii="楷体_GB2312" w:eastAsia="楷体_GB2312" w:hAnsi="楷体_GB2312" w:hint="eastAsia"/>
                <w:color w:val="000000"/>
              </w:rPr>
              <w:t>应当确定港股通业务的牵头部门，</w:t>
            </w:r>
            <w:r>
              <w:rPr>
                <w:rFonts w:ascii="楷体_GB2312" w:eastAsia="楷体_GB2312" w:hAnsi="楷体_GB2312" w:hint="eastAsia"/>
                <w:color w:val="000000"/>
              </w:rPr>
              <w:t>明确各相关部门的职责与分工</w:t>
            </w:r>
          </w:p>
        </w:tc>
      </w:tr>
      <w:tr w:rsidR="00273616" w:rsidTr="008046B3">
        <w:trPr>
          <w:cantSplit/>
          <w:jc w:val="center"/>
        </w:trPr>
        <w:tc>
          <w:tcPr>
            <w:tcW w:w="1008" w:type="dxa"/>
            <w:vMerge/>
            <w:vAlign w:val="center"/>
          </w:tcPr>
          <w:p w:rsidR="00273616" w:rsidRDefault="00273616" w:rsidP="005377BA">
            <w:pPr>
              <w:jc w:val="center"/>
              <w:rPr>
                <w:rFonts w:ascii="宋体"/>
                <w:sz w:val="24"/>
              </w:rPr>
            </w:pP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3</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明确港股通业务各相关岗位的岗位名称、所属部门、岗位职责</w:t>
            </w:r>
          </w:p>
        </w:tc>
      </w:tr>
      <w:tr w:rsidR="00273616" w:rsidTr="008046B3">
        <w:trPr>
          <w:cantSplit/>
          <w:jc w:val="center"/>
        </w:trPr>
        <w:tc>
          <w:tcPr>
            <w:tcW w:w="1008" w:type="dxa"/>
            <w:vMerge w:val="restart"/>
            <w:vAlign w:val="center"/>
          </w:tcPr>
          <w:p w:rsidR="008046B3" w:rsidRDefault="00273616" w:rsidP="008046B3">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制度与</w:t>
            </w:r>
          </w:p>
          <w:p w:rsidR="00273616" w:rsidRDefault="00273616" w:rsidP="008046B3">
            <w:pPr>
              <w:autoSpaceDN w:val="0"/>
              <w:jc w:val="center"/>
              <w:textAlignment w:val="center"/>
              <w:rPr>
                <w:rFonts w:ascii="楷体_GB2312" w:eastAsia="楷体_GB2312" w:hAnsi="楷体_GB2312"/>
                <w:b/>
                <w:color w:val="000000"/>
              </w:rPr>
            </w:pPr>
            <w:r w:rsidRPr="00664D3E">
              <w:rPr>
                <w:rFonts w:ascii="楷体_GB2312" w:eastAsia="楷体_GB2312" w:hAnsi="楷体_GB2312" w:hint="eastAsia"/>
                <w:b/>
                <w:color w:val="000000"/>
              </w:rPr>
              <w:t>规则</w:t>
            </w: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4</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港股通经纪业务管理办法</w:t>
            </w:r>
          </w:p>
        </w:tc>
      </w:tr>
      <w:tr w:rsidR="00273616" w:rsidTr="008046B3">
        <w:trPr>
          <w:cantSplit/>
          <w:jc w:val="center"/>
        </w:trPr>
        <w:tc>
          <w:tcPr>
            <w:tcW w:w="1008" w:type="dxa"/>
            <w:vMerge/>
            <w:vAlign w:val="center"/>
          </w:tcPr>
          <w:p w:rsidR="00273616" w:rsidRDefault="00273616" w:rsidP="005377BA">
            <w:pPr>
              <w:jc w:val="center"/>
              <w:rPr>
                <w:rFonts w:ascii="宋体"/>
                <w:sz w:val="24"/>
              </w:rPr>
            </w:pP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5</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港股通合规与风险管理</w:t>
            </w:r>
            <w:r w:rsidRPr="00664D3E">
              <w:rPr>
                <w:rFonts w:ascii="楷体_GB2312" w:eastAsia="楷体_GB2312" w:hAnsi="楷体_GB2312" w:hint="eastAsia"/>
                <w:color w:val="000000"/>
              </w:rPr>
              <w:t>相关制度</w:t>
            </w:r>
          </w:p>
        </w:tc>
      </w:tr>
      <w:tr w:rsidR="00273616" w:rsidTr="008046B3">
        <w:trPr>
          <w:cantSplit/>
          <w:jc w:val="center"/>
        </w:trPr>
        <w:tc>
          <w:tcPr>
            <w:tcW w:w="1008" w:type="dxa"/>
            <w:vMerge/>
            <w:vAlign w:val="center"/>
          </w:tcPr>
          <w:p w:rsidR="00273616" w:rsidRDefault="00273616" w:rsidP="005377BA">
            <w:pPr>
              <w:jc w:val="center"/>
              <w:rPr>
                <w:rFonts w:ascii="宋体"/>
                <w:sz w:val="24"/>
              </w:rPr>
            </w:pP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6</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港股通业务客户适当性管理相关制度</w:t>
            </w:r>
          </w:p>
        </w:tc>
      </w:tr>
      <w:tr w:rsidR="00273616" w:rsidTr="008046B3">
        <w:trPr>
          <w:cantSplit/>
          <w:jc w:val="center"/>
        </w:trPr>
        <w:tc>
          <w:tcPr>
            <w:tcW w:w="1008" w:type="dxa"/>
            <w:vMerge/>
            <w:vAlign w:val="center"/>
          </w:tcPr>
          <w:p w:rsidR="00273616" w:rsidRDefault="00273616" w:rsidP="005377BA">
            <w:pPr>
              <w:jc w:val="center"/>
              <w:rPr>
                <w:rFonts w:ascii="宋体"/>
                <w:sz w:val="24"/>
              </w:rPr>
            </w:pP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7</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港股通客户管理</w:t>
            </w:r>
            <w:r w:rsidRPr="00664D3E">
              <w:rPr>
                <w:rFonts w:ascii="楷体_GB2312" w:eastAsia="楷体_GB2312" w:hAnsi="楷体_GB2312" w:hint="eastAsia"/>
                <w:color w:val="000000"/>
              </w:rPr>
              <w:t>相关制度</w:t>
            </w:r>
          </w:p>
          <w:p w:rsidR="00273616" w:rsidRPr="00664D3E"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（包括但不限于客户投诉、客户回访</w:t>
            </w:r>
            <w:r>
              <w:rPr>
                <w:rFonts w:ascii="楷体_GB2312" w:eastAsia="楷体_GB2312" w:hAnsi="楷体_GB2312"/>
                <w:color w:val="000000"/>
              </w:rPr>
              <w:t xml:space="preserve"> </w:t>
            </w:r>
            <w:r>
              <w:rPr>
                <w:rFonts w:ascii="楷体_GB2312" w:eastAsia="楷体_GB2312" w:hAnsi="楷体_GB2312" w:hint="eastAsia"/>
                <w:color w:val="000000"/>
              </w:rPr>
              <w:t>、投资者教育等方面）</w:t>
            </w:r>
          </w:p>
        </w:tc>
      </w:tr>
      <w:tr w:rsidR="00273616" w:rsidTr="008046B3">
        <w:trPr>
          <w:cantSplit/>
          <w:jc w:val="center"/>
        </w:trPr>
        <w:tc>
          <w:tcPr>
            <w:tcW w:w="1008" w:type="dxa"/>
            <w:vMerge/>
            <w:vAlign w:val="center"/>
          </w:tcPr>
          <w:p w:rsidR="00273616" w:rsidRDefault="00273616" w:rsidP="005377BA">
            <w:pPr>
              <w:jc w:val="center"/>
              <w:rPr>
                <w:rFonts w:ascii="宋体"/>
                <w:sz w:val="24"/>
              </w:rPr>
            </w:pP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8</w:t>
            </w:r>
          </w:p>
        </w:tc>
        <w:tc>
          <w:tcPr>
            <w:tcW w:w="6620" w:type="dxa"/>
            <w:vAlign w:val="center"/>
          </w:tcPr>
          <w:p w:rsidR="00273616" w:rsidRPr="00114D5C"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港股通客户协议</w:t>
            </w:r>
            <w:r w:rsidRPr="00664D3E">
              <w:rPr>
                <w:rFonts w:ascii="楷体_GB2312" w:eastAsia="楷体_GB2312" w:hAnsi="楷体_GB2312" w:hint="eastAsia"/>
                <w:color w:val="000000"/>
              </w:rPr>
              <w:t>风险揭示书</w:t>
            </w:r>
          </w:p>
        </w:tc>
      </w:tr>
      <w:tr w:rsidR="00273616" w:rsidTr="008046B3">
        <w:trPr>
          <w:cantSplit/>
          <w:jc w:val="center"/>
        </w:trPr>
        <w:tc>
          <w:tcPr>
            <w:tcW w:w="1008" w:type="dxa"/>
            <w:vAlign w:val="center"/>
          </w:tcPr>
          <w:p w:rsidR="00273616" w:rsidRDefault="00273616" w:rsidP="005377BA">
            <w:pPr>
              <w:jc w:val="center"/>
              <w:rPr>
                <w:rFonts w:ascii="宋体"/>
                <w:sz w:val="24"/>
              </w:rPr>
            </w:pPr>
          </w:p>
        </w:tc>
        <w:tc>
          <w:tcPr>
            <w:tcW w:w="708"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9</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sidRPr="000D4563">
              <w:rPr>
                <w:rFonts w:ascii="楷体_GB2312" w:eastAsia="楷体_GB2312" w:hAnsi="楷体_GB2312" w:hint="eastAsia"/>
                <w:color w:val="000000"/>
              </w:rPr>
              <w:t>港股通业务登记结算管理办法</w:t>
            </w:r>
          </w:p>
        </w:tc>
      </w:tr>
      <w:tr w:rsidR="00273616" w:rsidTr="008046B3">
        <w:trPr>
          <w:cantSplit/>
          <w:jc w:val="center"/>
        </w:trPr>
        <w:tc>
          <w:tcPr>
            <w:tcW w:w="1008" w:type="dxa"/>
            <w:vMerge w:val="restart"/>
            <w:vAlign w:val="center"/>
          </w:tcPr>
          <w:p w:rsidR="00273616" w:rsidRDefault="00273616" w:rsidP="005377BA">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流程</w:t>
            </w: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10</w:t>
            </w:r>
          </w:p>
        </w:tc>
        <w:tc>
          <w:tcPr>
            <w:tcW w:w="6620" w:type="dxa"/>
          </w:tcPr>
          <w:p w:rsidR="00273616" w:rsidRPr="009C40E0"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客户业务受理流程（投资者教育、客户身份审核、客户资质审核、风险揭示、业务权限开通、港股通交易、客户资料档案管理）、交易业务规程）</w:t>
            </w:r>
          </w:p>
        </w:tc>
      </w:tr>
      <w:tr w:rsidR="00273616" w:rsidTr="008046B3">
        <w:trPr>
          <w:cantSplit/>
          <w:jc w:val="center"/>
        </w:trPr>
        <w:tc>
          <w:tcPr>
            <w:tcW w:w="1008" w:type="dxa"/>
            <w:vMerge/>
            <w:vAlign w:val="center"/>
          </w:tcPr>
          <w:p w:rsidR="00273616" w:rsidRPr="005C2A02" w:rsidRDefault="00273616" w:rsidP="005377BA">
            <w:pPr>
              <w:autoSpaceDN w:val="0"/>
              <w:jc w:val="center"/>
              <w:textAlignment w:val="center"/>
              <w:rPr>
                <w:rFonts w:ascii="楷体_GB2312" w:eastAsia="楷体_GB2312" w:hAnsi="楷体_GB2312"/>
                <w:b/>
                <w:color w:val="000000"/>
              </w:rPr>
            </w:pPr>
          </w:p>
        </w:tc>
        <w:tc>
          <w:tcPr>
            <w:tcW w:w="708" w:type="dxa"/>
            <w:vAlign w:val="center"/>
          </w:tcPr>
          <w:p w:rsidR="00273616" w:rsidRPr="00560524" w:rsidRDefault="00273616" w:rsidP="005377BA">
            <w:pPr>
              <w:jc w:val="center"/>
              <w:rPr>
                <w:rFonts w:ascii="楷体_GB2312" w:eastAsia="楷体_GB2312"/>
                <w:b/>
                <w:color w:val="000000"/>
                <w:sz w:val="24"/>
              </w:rPr>
            </w:pPr>
            <w:r>
              <w:rPr>
                <w:rFonts w:ascii="楷体_GB2312" w:eastAsia="楷体_GB2312" w:hint="eastAsia"/>
                <w:b/>
                <w:color w:val="000000"/>
                <w:sz w:val="24"/>
              </w:rPr>
              <w:t>11</w:t>
            </w:r>
          </w:p>
        </w:tc>
        <w:tc>
          <w:tcPr>
            <w:tcW w:w="6620"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资金业务规程（明确以港市报价、以人民币交收）</w:t>
            </w:r>
          </w:p>
        </w:tc>
      </w:tr>
      <w:tr w:rsidR="00273616" w:rsidTr="008046B3">
        <w:trPr>
          <w:cantSplit/>
          <w:jc w:val="center"/>
        </w:trPr>
        <w:tc>
          <w:tcPr>
            <w:tcW w:w="1008" w:type="dxa"/>
            <w:vMerge/>
            <w:vAlign w:val="center"/>
          </w:tcPr>
          <w:p w:rsidR="00273616" w:rsidRPr="005C2A02" w:rsidRDefault="00273616" w:rsidP="005377BA">
            <w:pPr>
              <w:autoSpaceDN w:val="0"/>
              <w:jc w:val="center"/>
              <w:textAlignment w:val="center"/>
              <w:rPr>
                <w:rFonts w:ascii="楷体_GB2312" w:eastAsia="楷体_GB2312" w:hAnsi="楷体_GB2312"/>
                <w:b/>
                <w:color w:val="000000"/>
              </w:rPr>
            </w:pPr>
          </w:p>
        </w:tc>
        <w:tc>
          <w:tcPr>
            <w:tcW w:w="708" w:type="dxa"/>
            <w:vAlign w:val="center"/>
          </w:tcPr>
          <w:p w:rsidR="00273616" w:rsidRPr="00560524" w:rsidRDefault="00273616" w:rsidP="005377BA">
            <w:pPr>
              <w:jc w:val="center"/>
              <w:rPr>
                <w:rFonts w:ascii="楷体_GB2312" w:eastAsia="楷体_GB2312"/>
                <w:b/>
                <w:color w:val="000000"/>
                <w:sz w:val="24"/>
              </w:rPr>
            </w:pPr>
            <w:r>
              <w:rPr>
                <w:rFonts w:ascii="楷体_GB2312" w:eastAsia="楷体_GB2312" w:hint="eastAsia"/>
                <w:b/>
                <w:color w:val="000000"/>
                <w:sz w:val="24"/>
              </w:rPr>
              <w:t>12</w:t>
            </w:r>
          </w:p>
        </w:tc>
        <w:tc>
          <w:tcPr>
            <w:tcW w:w="6620"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交易业务规程（明确交易费用收取标准和费用调整审批流程）</w:t>
            </w:r>
          </w:p>
        </w:tc>
      </w:tr>
      <w:tr w:rsidR="00273616" w:rsidTr="008046B3">
        <w:trPr>
          <w:cantSplit/>
          <w:jc w:val="center"/>
        </w:trPr>
        <w:tc>
          <w:tcPr>
            <w:tcW w:w="1008" w:type="dxa"/>
            <w:vMerge/>
            <w:vAlign w:val="center"/>
          </w:tcPr>
          <w:p w:rsidR="00273616" w:rsidRPr="005C2A02" w:rsidRDefault="00273616" w:rsidP="005377BA">
            <w:pPr>
              <w:autoSpaceDN w:val="0"/>
              <w:jc w:val="center"/>
              <w:textAlignment w:val="center"/>
              <w:rPr>
                <w:rFonts w:ascii="楷体_GB2312" w:eastAsia="楷体_GB2312" w:hAnsi="楷体_GB2312"/>
                <w:b/>
                <w:color w:val="000000"/>
              </w:rPr>
            </w:pPr>
          </w:p>
        </w:tc>
        <w:tc>
          <w:tcPr>
            <w:tcW w:w="708" w:type="dxa"/>
            <w:vAlign w:val="center"/>
          </w:tcPr>
          <w:p w:rsidR="00273616" w:rsidRPr="00560524" w:rsidRDefault="00273616" w:rsidP="005377BA">
            <w:pPr>
              <w:jc w:val="center"/>
              <w:rPr>
                <w:rFonts w:ascii="楷体_GB2312" w:eastAsia="楷体_GB2312"/>
                <w:b/>
                <w:color w:val="000000"/>
                <w:sz w:val="24"/>
              </w:rPr>
            </w:pPr>
            <w:r w:rsidRPr="00560524">
              <w:rPr>
                <w:rFonts w:ascii="楷体_GB2312" w:eastAsia="楷体_GB2312"/>
                <w:b/>
                <w:color w:val="000000"/>
                <w:sz w:val="24"/>
              </w:rPr>
              <w:t>1</w:t>
            </w:r>
            <w:r>
              <w:rPr>
                <w:rFonts w:ascii="楷体_GB2312" w:eastAsia="楷体_GB2312" w:hint="eastAsia"/>
                <w:b/>
                <w:color w:val="000000"/>
                <w:sz w:val="24"/>
              </w:rPr>
              <w:t>3</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业务差错处理流程</w:t>
            </w:r>
          </w:p>
        </w:tc>
      </w:tr>
      <w:tr w:rsidR="00273616" w:rsidTr="008046B3">
        <w:trPr>
          <w:cantSplit/>
          <w:jc w:val="center"/>
        </w:trPr>
        <w:tc>
          <w:tcPr>
            <w:tcW w:w="1008" w:type="dxa"/>
            <w:vMerge/>
            <w:vAlign w:val="center"/>
          </w:tcPr>
          <w:p w:rsidR="00273616" w:rsidRPr="005C2A02" w:rsidRDefault="00273616" w:rsidP="005377BA">
            <w:pPr>
              <w:autoSpaceDN w:val="0"/>
              <w:jc w:val="center"/>
              <w:textAlignment w:val="center"/>
              <w:rPr>
                <w:rFonts w:ascii="楷体_GB2312" w:eastAsia="楷体_GB2312" w:hAnsi="楷体_GB2312"/>
                <w:b/>
                <w:color w:val="000000"/>
              </w:rPr>
            </w:pPr>
          </w:p>
        </w:tc>
        <w:tc>
          <w:tcPr>
            <w:tcW w:w="708" w:type="dxa"/>
            <w:vAlign w:val="center"/>
          </w:tcPr>
          <w:p w:rsidR="00273616" w:rsidRPr="00560524" w:rsidRDefault="00273616" w:rsidP="005377BA">
            <w:pPr>
              <w:jc w:val="center"/>
              <w:rPr>
                <w:rFonts w:ascii="楷体_GB2312" w:eastAsia="楷体_GB2312"/>
                <w:b/>
                <w:color w:val="000000"/>
                <w:sz w:val="24"/>
              </w:rPr>
            </w:pPr>
            <w:r>
              <w:rPr>
                <w:rFonts w:ascii="楷体_GB2312" w:eastAsia="楷体_GB2312" w:hint="eastAsia"/>
                <w:b/>
                <w:color w:val="000000"/>
                <w:sz w:val="24"/>
              </w:rPr>
              <w:t>14</w:t>
            </w:r>
          </w:p>
        </w:tc>
        <w:tc>
          <w:tcPr>
            <w:tcW w:w="6620"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港股通客户回访流程</w:t>
            </w:r>
          </w:p>
        </w:tc>
      </w:tr>
      <w:tr w:rsidR="00273616" w:rsidTr="008046B3">
        <w:trPr>
          <w:cantSplit/>
          <w:jc w:val="center"/>
        </w:trPr>
        <w:tc>
          <w:tcPr>
            <w:tcW w:w="1008" w:type="dxa"/>
            <w:vMerge/>
            <w:vAlign w:val="center"/>
          </w:tcPr>
          <w:p w:rsidR="00273616" w:rsidRPr="005C2A02" w:rsidRDefault="00273616" w:rsidP="005377BA">
            <w:pPr>
              <w:autoSpaceDN w:val="0"/>
              <w:jc w:val="center"/>
              <w:textAlignment w:val="center"/>
              <w:rPr>
                <w:rFonts w:ascii="楷体_GB2312" w:eastAsia="楷体_GB2312" w:hAnsi="楷体_GB2312"/>
                <w:b/>
                <w:color w:val="000000"/>
              </w:rPr>
            </w:pPr>
          </w:p>
        </w:tc>
        <w:tc>
          <w:tcPr>
            <w:tcW w:w="708"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15</w:t>
            </w:r>
          </w:p>
        </w:tc>
        <w:tc>
          <w:tcPr>
            <w:tcW w:w="6620" w:type="dxa"/>
            <w:vAlign w:val="center"/>
          </w:tcPr>
          <w:p w:rsidR="00273616" w:rsidRPr="009C40E0"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港股通客户投诉流程</w:t>
            </w:r>
          </w:p>
        </w:tc>
      </w:tr>
    </w:tbl>
    <w:p w:rsidR="00273616" w:rsidRPr="00560009" w:rsidRDefault="00273616" w:rsidP="00273616">
      <w:pPr>
        <w:spacing w:line="560" w:lineRule="exact"/>
        <w:rPr>
          <w:rFonts w:ascii="仿宋_GB2312" w:eastAsia="仿宋_GB2312"/>
          <w:sz w:val="30"/>
          <w:szCs w:val="30"/>
        </w:rPr>
      </w:pPr>
      <w:r w:rsidRPr="00560009">
        <w:rPr>
          <w:rFonts w:ascii="仿宋_GB2312" w:eastAsia="仿宋_GB2312" w:hint="eastAsia"/>
          <w:sz w:val="30"/>
          <w:szCs w:val="30"/>
        </w:rPr>
        <w:t>二、功能要求</w:t>
      </w:r>
    </w:p>
    <w:tbl>
      <w:tblPr>
        <w:tblW w:w="8359" w:type="dxa"/>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1020"/>
        <w:gridCol w:w="735"/>
        <w:gridCol w:w="6604"/>
      </w:tblGrid>
      <w:tr w:rsidR="008046B3" w:rsidTr="008046B3">
        <w:trPr>
          <w:cantSplit/>
          <w:trHeight w:val="312"/>
          <w:jc w:val="center"/>
        </w:trPr>
        <w:tc>
          <w:tcPr>
            <w:tcW w:w="1020" w:type="dxa"/>
            <w:vMerge w:val="restart"/>
            <w:vAlign w:val="center"/>
          </w:tcPr>
          <w:p w:rsidR="00273616" w:rsidRPr="00114D5C" w:rsidRDefault="00273616"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检查项目</w:t>
            </w:r>
          </w:p>
        </w:tc>
        <w:tc>
          <w:tcPr>
            <w:tcW w:w="735" w:type="dxa"/>
            <w:vMerge w:val="restart"/>
          </w:tcPr>
          <w:p w:rsidR="00273616" w:rsidRPr="00114D5C" w:rsidRDefault="00273616" w:rsidP="005377BA">
            <w:pPr>
              <w:autoSpaceDN w:val="0"/>
              <w:spacing w:line="480" w:lineRule="auto"/>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编号</w:t>
            </w:r>
          </w:p>
        </w:tc>
        <w:tc>
          <w:tcPr>
            <w:tcW w:w="6604" w:type="dxa"/>
            <w:vMerge w:val="restart"/>
            <w:vAlign w:val="center"/>
          </w:tcPr>
          <w:p w:rsidR="00273616" w:rsidRPr="00114D5C" w:rsidRDefault="00273616"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检查内容</w:t>
            </w:r>
          </w:p>
        </w:tc>
      </w:tr>
      <w:tr w:rsidR="008046B3" w:rsidTr="008046B3">
        <w:trPr>
          <w:cantSplit/>
          <w:trHeight w:val="312"/>
          <w:jc w:val="center"/>
        </w:trPr>
        <w:tc>
          <w:tcPr>
            <w:tcW w:w="1020" w:type="dxa"/>
            <w:vMerge/>
            <w:vAlign w:val="center"/>
          </w:tcPr>
          <w:p w:rsidR="00273616" w:rsidRPr="00114D5C" w:rsidRDefault="00273616" w:rsidP="005377BA">
            <w:pPr>
              <w:autoSpaceDN w:val="0"/>
              <w:jc w:val="center"/>
              <w:textAlignment w:val="center"/>
              <w:rPr>
                <w:rFonts w:ascii="楷体_GB2312" w:eastAsia="楷体_GB2312" w:hAnsi="楷体_GB2312"/>
                <w:b/>
                <w:color w:val="000000"/>
              </w:rPr>
            </w:pPr>
          </w:p>
        </w:tc>
        <w:tc>
          <w:tcPr>
            <w:tcW w:w="735" w:type="dxa"/>
            <w:vMerge/>
          </w:tcPr>
          <w:p w:rsidR="00273616" w:rsidRPr="00114D5C" w:rsidRDefault="00273616" w:rsidP="005377BA">
            <w:pPr>
              <w:autoSpaceDN w:val="0"/>
              <w:jc w:val="center"/>
              <w:textAlignment w:val="center"/>
              <w:rPr>
                <w:rFonts w:ascii="楷体_GB2312" w:eastAsia="楷体_GB2312" w:hAnsi="楷体_GB2312"/>
                <w:b/>
                <w:color w:val="000000"/>
              </w:rPr>
            </w:pPr>
          </w:p>
        </w:tc>
        <w:tc>
          <w:tcPr>
            <w:tcW w:w="6604" w:type="dxa"/>
            <w:vMerge/>
            <w:vAlign w:val="center"/>
          </w:tcPr>
          <w:p w:rsidR="00273616" w:rsidRPr="00114D5C" w:rsidRDefault="00273616" w:rsidP="005377BA">
            <w:pPr>
              <w:autoSpaceDN w:val="0"/>
              <w:jc w:val="left"/>
              <w:textAlignment w:val="center"/>
              <w:rPr>
                <w:rFonts w:ascii="楷体_GB2312" w:eastAsia="楷体_GB2312" w:hAnsi="楷体_GB2312"/>
                <w:b/>
                <w:color w:val="000000"/>
              </w:rPr>
            </w:pPr>
          </w:p>
        </w:tc>
      </w:tr>
      <w:tr w:rsidR="008046B3" w:rsidTr="008046B3">
        <w:trPr>
          <w:cantSplit/>
          <w:jc w:val="center"/>
        </w:trPr>
        <w:tc>
          <w:tcPr>
            <w:tcW w:w="1020" w:type="dxa"/>
            <w:vMerge w:val="restart"/>
            <w:vAlign w:val="center"/>
          </w:tcPr>
          <w:p w:rsidR="00273616" w:rsidRDefault="00273616" w:rsidP="008046B3">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账户及适当性管理业务</w:t>
            </w: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sidRPr="00560524">
              <w:rPr>
                <w:rFonts w:ascii="楷体_GB2312" w:eastAsia="楷体_GB2312"/>
                <w:b/>
                <w:color w:val="000000"/>
                <w:sz w:val="24"/>
              </w:rPr>
              <w:t>1</w:t>
            </w:r>
            <w:r>
              <w:rPr>
                <w:rFonts w:ascii="楷体_GB2312" w:eastAsia="楷体_GB2312" w:hint="eastAsia"/>
                <w:b/>
                <w:color w:val="000000"/>
                <w:sz w:val="24"/>
              </w:rPr>
              <w:t>6</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投资者准入管理</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17</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新客户开立账户过程中包含实名制校验、投资者教育、风险揭示等环节</w:t>
            </w:r>
          </w:p>
        </w:tc>
      </w:tr>
      <w:tr w:rsidR="008046B3" w:rsidTr="008046B3">
        <w:trPr>
          <w:cantSplit/>
          <w:jc w:val="center"/>
        </w:trPr>
        <w:tc>
          <w:tcPr>
            <w:tcW w:w="1020" w:type="dxa"/>
            <w:vMerge w:val="restart"/>
            <w:vAlign w:val="center"/>
          </w:tcPr>
          <w:p w:rsidR="00273616" w:rsidRDefault="00273616" w:rsidP="005377BA">
            <w:pPr>
              <w:jc w:val="center"/>
              <w:rPr>
                <w:rFonts w:ascii="宋体"/>
                <w:sz w:val="24"/>
              </w:rPr>
            </w:pPr>
            <w:r>
              <w:rPr>
                <w:rFonts w:ascii="楷体_GB2312" w:eastAsia="楷体_GB2312" w:hAnsi="楷体_GB2312" w:hint="eastAsia"/>
                <w:b/>
                <w:color w:val="000000"/>
              </w:rPr>
              <w:t>交易终端</w:t>
            </w: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18</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支持港股至少一档行情显示</w:t>
            </w:r>
          </w:p>
          <w:p w:rsidR="00273616" w:rsidRPr="00114D5C"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周边系统可让客户查询到港股通行情</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3C13C2"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19</w:t>
            </w:r>
          </w:p>
        </w:tc>
        <w:tc>
          <w:tcPr>
            <w:tcW w:w="6604" w:type="dxa"/>
            <w:vAlign w:val="center"/>
          </w:tcPr>
          <w:p w:rsidR="00273616" w:rsidRPr="00A2579B"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支持客户对交易费用的查询</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20</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支持客户通过依次选择品种、交易类型、股数等进行交易委托</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21</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支持买卖指令，包括买入、卖出、撤单</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22</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不允许卖空</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23</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支持对客户增加或取消港股通交易权限</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24</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日间参考汇率的揭示</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25</w:t>
            </w:r>
          </w:p>
        </w:tc>
        <w:tc>
          <w:tcPr>
            <w:tcW w:w="6604" w:type="dxa"/>
            <w:vAlign w:val="center"/>
          </w:tcPr>
          <w:p w:rsidR="00273616" w:rsidRPr="00114D5C"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市场额度的揭示</w:t>
            </w:r>
          </w:p>
        </w:tc>
      </w:tr>
      <w:tr w:rsidR="008046B3" w:rsidTr="008046B3">
        <w:trPr>
          <w:cantSplit/>
          <w:jc w:val="center"/>
        </w:trPr>
        <w:tc>
          <w:tcPr>
            <w:tcW w:w="1020" w:type="dxa"/>
            <w:vMerge w:val="restart"/>
            <w:vAlign w:val="center"/>
          </w:tcPr>
          <w:p w:rsidR="00273616" w:rsidRDefault="00273616" w:rsidP="005377BA">
            <w:pPr>
              <w:jc w:val="center"/>
              <w:rPr>
                <w:rFonts w:ascii="宋体"/>
                <w:sz w:val="24"/>
              </w:rPr>
            </w:pPr>
            <w:r>
              <w:rPr>
                <w:rFonts w:ascii="楷体_GB2312" w:eastAsia="楷体_GB2312" w:hAnsi="楷体_GB2312" w:hint="eastAsia"/>
                <w:b/>
                <w:color w:val="000000"/>
              </w:rPr>
              <w:t>港股通交易业务</w:t>
            </w: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26</w:t>
            </w:r>
          </w:p>
        </w:tc>
        <w:tc>
          <w:tcPr>
            <w:tcW w:w="6604" w:type="dxa"/>
            <w:vAlign w:val="center"/>
          </w:tcPr>
          <w:p w:rsidR="00273616" w:rsidRPr="002E7A9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支持“竞价限价盘”</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27</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支持“增强限价盘”</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28</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支持回转交易</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29</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资金前端控制</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30</w:t>
            </w:r>
          </w:p>
        </w:tc>
        <w:tc>
          <w:tcPr>
            <w:tcW w:w="6604" w:type="dxa"/>
            <w:vAlign w:val="center"/>
          </w:tcPr>
          <w:p w:rsidR="00273616" w:rsidRPr="00114D5C"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不允许客户进行港股卖空操作</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560524" w:rsidRDefault="00273616"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31</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支持港股通交易日12:30-13:00撤单</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A2579B" w:rsidRDefault="00273616" w:rsidP="005377BA">
            <w:pPr>
              <w:jc w:val="center"/>
              <w:rPr>
                <w:rFonts w:ascii="楷体_GB2312" w:eastAsia="楷体_GB2312"/>
                <w:b/>
                <w:color w:val="000000"/>
                <w:sz w:val="24"/>
              </w:rPr>
            </w:pPr>
            <w:r>
              <w:rPr>
                <w:rFonts w:ascii="楷体_GB2312" w:eastAsia="楷体_GB2312" w:hint="eastAsia"/>
                <w:b/>
                <w:color w:val="000000"/>
                <w:sz w:val="24"/>
              </w:rPr>
              <w:t>32</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支持港股通</w:t>
            </w:r>
            <w:r w:rsidR="00375269">
              <w:rPr>
                <w:rFonts w:ascii="楷体_GB2312" w:eastAsia="楷体_GB2312" w:hAnsi="楷体_GB2312" w:hint="eastAsia"/>
                <w:color w:val="000000"/>
              </w:rPr>
              <w:t>标的证券</w:t>
            </w:r>
            <w:r>
              <w:rPr>
                <w:rFonts w:ascii="楷体_GB2312" w:eastAsia="楷体_GB2312" w:hAnsi="楷体_GB2312" w:hint="eastAsia"/>
                <w:color w:val="000000"/>
              </w:rPr>
              <w:t>最小报价单位限制</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3C13C2"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33</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支持港股通</w:t>
            </w:r>
            <w:r w:rsidR="00375269">
              <w:rPr>
                <w:rFonts w:ascii="楷体_GB2312" w:eastAsia="楷体_GB2312" w:hAnsi="楷体_GB2312" w:hint="eastAsia"/>
                <w:color w:val="000000"/>
              </w:rPr>
              <w:t>标的证券</w:t>
            </w:r>
            <w:r>
              <w:rPr>
                <w:rFonts w:ascii="楷体_GB2312" w:eastAsia="楷体_GB2312" w:hAnsi="楷体_GB2312" w:hint="eastAsia"/>
                <w:color w:val="000000"/>
              </w:rPr>
              <w:t>交易单位的控制</w:t>
            </w:r>
          </w:p>
        </w:tc>
      </w:tr>
      <w:tr w:rsidR="008046B3"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3C13C2"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34</w:t>
            </w:r>
          </w:p>
        </w:tc>
        <w:tc>
          <w:tcPr>
            <w:tcW w:w="6604" w:type="dxa"/>
            <w:vAlign w:val="center"/>
          </w:tcPr>
          <w:p w:rsidR="00273616" w:rsidRPr="00114D5C" w:rsidRDefault="00273616" w:rsidP="005377BA">
            <w:pPr>
              <w:autoSpaceDN w:val="0"/>
              <w:jc w:val="left"/>
              <w:textAlignment w:val="center"/>
              <w:rPr>
                <w:rFonts w:ascii="楷体_GB2312" w:eastAsia="楷体_GB2312" w:hAnsi="楷体_GB2312"/>
                <w:color w:val="000000"/>
              </w:rPr>
            </w:pPr>
            <w:r w:rsidRPr="002E7A96">
              <w:rPr>
                <w:rFonts w:ascii="楷体_GB2312" w:eastAsia="楷体_GB2312" w:hAnsi="楷体_GB2312" w:hint="eastAsia"/>
                <w:color w:val="000000"/>
              </w:rPr>
              <w:t>不允许客户买入零股</w:t>
            </w:r>
            <w:r>
              <w:rPr>
                <w:rFonts w:ascii="楷体_GB2312" w:eastAsia="楷体_GB2312" w:hAnsi="楷体_GB2312" w:hint="eastAsia"/>
                <w:color w:val="000000"/>
              </w:rPr>
              <w:t>、支持零股卖出</w:t>
            </w:r>
          </w:p>
        </w:tc>
      </w:tr>
      <w:tr w:rsidR="008046B3" w:rsidRPr="00A2579B"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Pr="003C13C2" w:rsidRDefault="00273616" w:rsidP="005377BA">
            <w:pPr>
              <w:jc w:val="center"/>
              <w:rPr>
                <w:rFonts w:ascii="楷体_GB2312" w:eastAsia="楷体_GB2312" w:hAnsi="宋体" w:cs="宋体"/>
                <w:b/>
                <w:color w:val="000000"/>
                <w:sz w:val="24"/>
              </w:rPr>
            </w:pPr>
            <w:r>
              <w:rPr>
                <w:rFonts w:ascii="楷体_GB2312" w:eastAsia="楷体_GB2312" w:hint="eastAsia"/>
                <w:b/>
                <w:color w:val="000000"/>
                <w:sz w:val="24"/>
              </w:rPr>
              <w:t>35</w:t>
            </w:r>
          </w:p>
        </w:tc>
        <w:tc>
          <w:tcPr>
            <w:tcW w:w="6604" w:type="dxa"/>
            <w:vAlign w:val="center"/>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未完成交收、当日有委托或有成交时，禁止撤销指定</w:t>
            </w:r>
          </w:p>
        </w:tc>
      </w:tr>
      <w:tr w:rsidR="008046B3" w:rsidRPr="00A2579B"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36</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支持通过自动导入和维护调整，开盘前完成处理上交所转发的当日参考汇率数据</w:t>
            </w:r>
          </w:p>
        </w:tc>
      </w:tr>
      <w:tr w:rsidR="008046B3" w:rsidRPr="00A2579B"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37</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佣金税费设置应包括印花税、交易征费、交易费、交易系统使用费、证券组合费、佣金等费用的设置，支持按分笔计算、支持最低、最高费用设置</w:t>
            </w:r>
          </w:p>
        </w:tc>
      </w:tr>
      <w:tr w:rsidR="008046B3" w:rsidRPr="00A2579B"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38</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支持客户查询、打印交割单、对账单</w:t>
            </w:r>
          </w:p>
        </w:tc>
      </w:tr>
      <w:tr w:rsidR="008046B3" w:rsidRPr="00A2579B"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39</w:t>
            </w:r>
          </w:p>
        </w:tc>
        <w:tc>
          <w:tcPr>
            <w:tcW w:w="6604" w:type="dxa"/>
          </w:tcPr>
          <w:p w:rsidR="00273616" w:rsidRPr="00293A50"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支持港股通交易日历、交收日历维护</w:t>
            </w:r>
          </w:p>
        </w:tc>
      </w:tr>
      <w:tr w:rsidR="008046B3" w:rsidRPr="00A2579B" w:rsidTr="008046B3">
        <w:trPr>
          <w:cantSplit/>
          <w:jc w:val="center"/>
        </w:trPr>
        <w:tc>
          <w:tcPr>
            <w:tcW w:w="1020" w:type="dxa"/>
            <w:vMerge/>
            <w:vAlign w:val="center"/>
          </w:tcPr>
          <w:p w:rsidR="00273616" w:rsidRDefault="00273616" w:rsidP="005377BA">
            <w:pPr>
              <w:jc w:val="center"/>
              <w:rPr>
                <w:rFonts w:ascii="宋体"/>
                <w:sz w:val="24"/>
              </w:rPr>
            </w:pPr>
          </w:p>
        </w:tc>
        <w:tc>
          <w:tcPr>
            <w:tcW w:w="735" w:type="dxa"/>
            <w:vAlign w:val="center"/>
          </w:tcPr>
          <w:p w:rsidR="00273616" w:rsidRDefault="00273616" w:rsidP="005377BA">
            <w:pPr>
              <w:jc w:val="center"/>
              <w:rPr>
                <w:rFonts w:ascii="楷体_GB2312" w:eastAsia="楷体_GB2312"/>
                <w:b/>
                <w:color w:val="000000"/>
                <w:sz w:val="24"/>
              </w:rPr>
            </w:pPr>
            <w:r>
              <w:rPr>
                <w:rFonts w:ascii="楷体_GB2312" w:eastAsia="楷体_GB2312" w:hint="eastAsia"/>
                <w:b/>
                <w:color w:val="000000"/>
                <w:sz w:val="24"/>
              </w:rPr>
              <w:t>40</w:t>
            </w:r>
          </w:p>
        </w:tc>
        <w:tc>
          <w:tcPr>
            <w:tcW w:w="6604" w:type="dxa"/>
          </w:tcPr>
          <w:p w:rsidR="00273616" w:rsidRDefault="00273616" w:rsidP="005377B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对港股通证券不设置涨跌幅限制</w:t>
            </w:r>
          </w:p>
        </w:tc>
      </w:tr>
    </w:tbl>
    <w:p w:rsidR="00273616" w:rsidRDefault="00273616" w:rsidP="00273616">
      <w:pPr>
        <w:pStyle w:val="22"/>
        <w:spacing w:line="600" w:lineRule="exact"/>
        <w:jc w:val="center"/>
        <w:rPr>
          <w:rFonts w:ascii="黑体" w:eastAsia="黑体"/>
          <w:b/>
          <w:sz w:val="30"/>
          <w:szCs w:val="30"/>
        </w:rPr>
      </w:pPr>
    </w:p>
    <w:p w:rsidR="00273616" w:rsidRPr="00560009" w:rsidRDefault="00273616" w:rsidP="00273616">
      <w:pPr>
        <w:pStyle w:val="22"/>
        <w:spacing w:line="600" w:lineRule="exact"/>
        <w:jc w:val="center"/>
        <w:rPr>
          <w:rFonts w:ascii="黑体" w:eastAsia="黑体"/>
          <w:b/>
          <w:sz w:val="30"/>
          <w:szCs w:val="30"/>
        </w:rPr>
        <w:sectPr w:rsidR="00273616" w:rsidRPr="00560009" w:rsidSect="00343640">
          <w:headerReference w:type="default" r:id="rId7"/>
          <w:footerReference w:type="even" r:id="rId8"/>
          <w:footerReference w:type="default" r:id="rId9"/>
          <w:pgSz w:w="11906" w:h="16838"/>
          <w:pgMar w:top="1440" w:right="1800" w:bottom="1440" w:left="1800" w:header="851" w:footer="992" w:gutter="0"/>
          <w:cols w:space="720"/>
          <w:docGrid w:type="lines" w:linePitch="312"/>
        </w:sectPr>
      </w:pPr>
    </w:p>
    <w:p w:rsidR="00273616" w:rsidRPr="00560009" w:rsidRDefault="00273616" w:rsidP="00273616">
      <w:pPr>
        <w:pStyle w:val="22"/>
        <w:spacing w:line="600" w:lineRule="exact"/>
        <w:jc w:val="center"/>
        <w:rPr>
          <w:rFonts w:ascii="黑体" w:eastAsia="黑体"/>
          <w:b/>
          <w:sz w:val="30"/>
          <w:szCs w:val="30"/>
        </w:rPr>
      </w:pPr>
      <w:r w:rsidRPr="00560009">
        <w:rPr>
          <w:rFonts w:ascii="黑体" w:eastAsia="黑体" w:hint="eastAsia"/>
          <w:b/>
          <w:sz w:val="30"/>
          <w:szCs w:val="30"/>
        </w:rPr>
        <w:t>第二部分</w:t>
      </w:r>
      <w:r>
        <w:rPr>
          <w:rFonts w:ascii="黑体" w:eastAsia="黑体" w:hint="eastAsia"/>
          <w:b/>
          <w:sz w:val="30"/>
          <w:szCs w:val="30"/>
        </w:rPr>
        <w:t xml:space="preserve">  </w:t>
      </w:r>
      <w:r w:rsidRPr="00560009">
        <w:rPr>
          <w:rFonts w:ascii="黑体" w:eastAsia="黑体" w:hint="eastAsia"/>
          <w:b/>
          <w:sz w:val="30"/>
          <w:szCs w:val="30"/>
        </w:rPr>
        <w:t>港股通业务登记结算就绪情况</w:t>
      </w:r>
    </w:p>
    <w:p w:rsidR="00273616" w:rsidRPr="00560009" w:rsidRDefault="00273616" w:rsidP="00273616">
      <w:pPr>
        <w:rPr>
          <w:rFonts w:ascii="仿宋_GB2312" w:eastAsia="仿宋_GB2312" w:hAnsi="宋体"/>
          <w:sz w:val="30"/>
          <w:szCs w:val="30"/>
        </w:rPr>
      </w:pPr>
      <w:r w:rsidRPr="00560009">
        <w:rPr>
          <w:rFonts w:ascii="仿宋_GB2312" w:eastAsia="仿宋_GB2312" w:hAnsi="宋体" w:hint="eastAsia"/>
          <w:sz w:val="30"/>
          <w:szCs w:val="30"/>
        </w:rPr>
        <w:t>一、基本要求</w:t>
      </w:r>
    </w:p>
    <w:tbl>
      <w:tblPr>
        <w:tblW w:w="0" w:type="auto"/>
        <w:jc w:val="center"/>
        <w:tblInd w:w="-2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1041"/>
        <w:gridCol w:w="709"/>
        <w:gridCol w:w="6521"/>
      </w:tblGrid>
      <w:tr w:rsidR="008046B3" w:rsidRPr="00153A6A" w:rsidTr="008046B3">
        <w:trPr>
          <w:cantSplit/>
          <w:trHeight w:val="312"/>
          <w:jc w:val="center"/>
        </w:trPr>
        <w:tc>
          <w:tcPr>
            <w:tcW w:w="1041" w:type="dxa"/>
            <w:vMerge w:val="restart"/>
            <w:vAlign w:val="center"/>
          </w:tcPr>
          <w:p w:rsidR="008046B3" w:rsidRDefault="008046B3"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w:t>
            </w:r>
          </w:p>
          <w:p w:rsidR="008046B3" w:rsidRPr="00114D5C" w:rsidRDefault="008046B3"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项目</w:t>
            </w:r>
          </w:p>
        </w:tc>
        <w:tc>
          <w:tcPr>
            <w:tcW w:w="709" w:type="dxa"/>
            <w:vMerge w:val="restart"/>
            <w:vAlign w:val="center"/>
          </w:tcPr>
          <w:p w:rsidR="008046B3" w:rsidRPr="00114D5C" w:rsidRDefault="008046B3" w:rsidP="005377BA">
            <w:pPr>
              <w:autoSpaceDN w:val="0"/>
              <w:spacing w:line="480" w:lineRule="auto"/>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编号</w:t>
            </w:r>
          </w:p>
        </w:tc>
        <w:tc>
          <w:tcPr>
            <w:tcW w:w="6521" w:type="dxa"/>
            <w:vMerge w:val="restart"/>
            <w:vAlign w:val="center"/>
          </w:tcPr>
          <w:p w:rsidR="008046B3" w:rsidRPr="00114D5C" w:rsidRDefault="008046B3"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检查内容</w:t>
            </w:r>
          </w:p>
        </w:tc>
      </w:tr>
      <w:tr w:rsidR="008046B3" w:rsidRPr="00153A6A" w:rsidTr="008046B3">
        <w:trPr>
          <w:cantSplit/>
          <w:trHeight w:val="312"/>
          <w:jc w:val="center"/>
        </w:trPr>
        <w:tc>
          <w:tcPr>
            <w:tcW w:w="1041" w:type="dxa"/>
            <w:vMerge/>
            <w:vAlign w:val="center"/>
          </w:tcPr>
          <w:p w:rsidR="008046B3" w:rsidRPr="00114D5C" w:rsidRDefault="008046B3" w:rsidP="005377BA">
            <w:pPr>
              <w:autoSpaceDN w:val="0"/>
              <w:jc w:val="center"/>
              <w:textAlignment w:val="center"/>
              <w:rPr>
                <w:rFonts w:ascii="楷体_GB2312" w:eastAsia="楷体_GB2312" w:hAnsi="楷体_GB2312"/>
                <w:b/>
                <w:color w:val="000000"/>
              </w:rPr>
            </w:pPr>
          </w:p>
        </w:tc>
        <w:tc>
          <w:tcPr>
            <w:tcW w:w="709" w:type="dxa"/>
            <w:vMerge/>
            <w:vAlign w:val="center"/>
          </w:tcPr>
          <w:p w:rsidR="008046B3" w:rsidRPr="00114D5C" w:rsidRDefault="008046B3" w:rsidP="005377BA">
            <w:pPr>
              <w:autoSpaceDN w:val="0"/>
              <w:jc w:val="center"/>
              <w:textAlignment w:val="center"/>
              <w:rPr>
                <w:rFonts w:ascii="楷体_GB2312" w:eastAsia="楷体_GB2312" w:hAnsi="楷体_GB2312"/>
                <w:b/>
                <w:color w:val="000000"/>
              </w:rPr>
            </w:pPr>
          </w:p>
        </w:tc>
        <w:tc>
          <w:tcPr>
            <w:tcW w:w="6521" w:type="dxa"/>
            <w:vMerge/>
            <w:vAlign w:val="center"/>
          </w:tcPr>
          <w:p w:rsidR="008046B3" w:rsidRPr="00114D5C" w:rsidRDefault="008046B3" w:rsidP="005377BA">
            <w:pPr>
              <w:autoSpaceDN w:val="0"/>
              <w:jc w:val="center"/>
              <w:textAlignment w:val="center"/>
              <w:rPr>
                <w:rFonts w:ascii="楷体_GB2312" w:eastAsia="楷体_GB2312" w:hAnsi="楷体_GB2312"/>
                <w:b/>
                <w:color w:val="000000"/>
              </w:rPr>
            </w:pPr>
          </w:p>
        </w:tc>
      </w:tr>
      <w:tr w:rsidR="008046B3" w:rsidRPr="00153A6A" w:rsidTr="008046B3">
        <w:trPr>
          <w:cantSplit/>
          <w:trHeight w:val="956"/>
          <w:jc w:val="center"/>
        </w:trPr>
        <w:tc>
          <w:tcPr>
            <w:tcW w:w="1041" w:type="dxa"/>
            <w:vMerge w:val="restart"/>
            <w:vAlign w:val="center"/>
          </w:tcPr>
          <w:p w:rsidR="008046B3" w:rsidRDefault="008046B3" w:rsidP="005377BA">
            <w:pPr>
              <w:autoSpaceDN w:val="0"/>
              <w:jc w:val="center"/>
              <w:textAlignment w:val="center"/>
              <w:rPr>
                <w:rFonts w:ascii="楷体_GB2312" w:eastAsia="楷体_GB2312" w:hAnsi="楷体_GB2312"/>
                <w:b/>
                <w:color w:val="000000"/>
              </w:rPr>
            </w:pPr>
            <w:r w:rsidRPr="00153A6A">
              <w:rPr>
                <w:rFonts w:ascii="楷体_GB2312" w:eastAsia="楷体_GB2312" w:hAnsi="楷体_GB2312" w:hint="eastAsia"/>
                <w:b/>
                <w:color w:val="000000"/>
              </w:rPr>
              <w:t>制度</w:t>
            </w:r>
          </w:p>
          <w:p w:rsidR="008046B3" w:rsidRDefault="008046B3" w:rsidP="005377BA">
            <w:pPr>
              <w:autoSpaceDN w:val="0"/>
              <w:jc w:val="center"/>
              <w:textAlignment w:val="center"/>
              <w:rPr>
                <w:rFonts w:ascii="楷体_GB2312" w:eastAsia="楷体_GB2312" w:hAnsi="楷体_GB2312"/>
                <w:b/>
                <w:color w:val="000000"/>
              </w:rPr>
            </w:pPr>
            <w:r w:rsidRPr="00153A6A">
              <w:rPr>
                <w:rFonts w:ascii="楷体_GB2312" w:eastAsia="楷体_GB2312" w:hAnsi="楷体_GB2312" w:hint="eastAsia"/>
                <w:b/>
                <w:color w:val="000000"/>
              </w:rPr>
              <w:t>与</w:t>
            </w:r>
          </w:p>
          <w:p w:rsidR="008046B3" w:rsidRPr="00153A6A" w:rsidRDefault="008046B3" w:rsidP="005377BA">
            <w:pPr>
              <w:autoSpaceDN w:val="0"/>
              <w:jc w:val="center"/>
              <w:textAlignment w:val="center"/>
              <w:rPr>
                <w:rFonts w:ascii="楷体_GB2312" w:eastAsia="楷体_GB2312" w:hAnsi="楷体_GB2312"/>
                <w:b/>
                <w:color w:val="000000"/>
              </w:rPr>
            </w:pPr>
            <w:r w:rsidRPr="00153A6A">
              <w:rPr>
                <w:rFonts w:ascii="楷体_GB2312" w:eastAsia="楷体_GB2312" w:hAnsi="楷体_GB2312" w:hint="eastAsia"/>
                <w:b/>
                <w:color w:val="000000"/>
              </w:rPr>
              <w:t>规则</w:t>
            </w: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b/>
                <w:color w:val="000000"/>
                <w:sz w:val="24"/>
              </w:rPr>
              <w:t>1</w:t>
            </w:r>
          </w:p>
        </w:tc>
        <w:tc>
          <w:tcPr>
            <w:tcW w:w="6521"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港股通业务账户管理相关规定</w:t>
            </w:r>
          </w:p>
        </w:tc>
      </w:tr>
      <w:tr w:rsidR="008046B3" w:rsidRPr="00153A6A" w:rsidTr="008046B3">
        <w:trPr>
          <w:cantSplit/>
          <w:jc w:val="center"/>
        </w:trPr>
        <w:tc>
          <w:tcPr>
            <w:tcW w:w="1041" w:type="dxa"/>
            <w:vMerge/>
            <w:vAlign w:val="center"/>
          </w:tcPr>
          <w:p w:rsidR="008046B3" w:rsidRPr="00153A6A" w:rsidRDefault="008046B3" w:rsidP="005377BA">
            <w:pPr>
              <w:jc w:val="center"/>
              <w:rPr>
                <w:rFonts w:ascii="宋体"/>
                <w:sz w:val="24"/>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b/>
                <w:color w:val="000000"/>
                <w:sz w:val="24"/>
              </w:rPr>
              <w:t>2</w:t>
            </w:r>
          </w:p>
        </w:tc>
        <w:tc>
          <w:tcPr>
            <w:tcW w:w="6521"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港股通业务交易结算相关规定</w:t>
            </w:r>
          </w:p>
        </w:tc>
      </w:tr>
      <w:tr w:rsidR="008046B3" w:rsidRPr="00153A6A" w:rsidTr="008046B3">
        <w:trPr>
          <w:cantSplit/>
          <w:jc w:val="center"/>
        </w:trPr>
        <w:tc>
          <w:tcPr>
            <w:tcW w:w="1041" w:type="dxa"/>
            <w:vMerge/>
            <w:vAlign w:val="center"/>
          </w:tcPr>
          <w:p w:rsidR="008046B3" w:rsidRPr="00153A6A" w:rsidRDefault="008046B3" w:rsidP="005377BA">
            <w:pPr>
              <w:jc w:val="center"/>
              <w:rPr>
                <w:rFonts w:ascii="宋体"/>
                <w:sz w:val="24"/>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b/>
                <w:color w:val="000000"/>
                <w:sz w:val="24"/>
              </w:rPr>
              <w:t>3</w:t>
            </w:r>
          </w:p>
        </w:tc>
        <w:tc>
          <w:tcPr>
            <w:tcW w:w="6521"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港股通业务资金划付相关规定</w:t>
            </w:r>
          </w:p>
        </w:tc>
      </w:tr>
      <w:tr w:rsidR="008046B3" w:rsidRPr="00153A6A" w:rsidTr="008046B3">
        <w:trPr>
          <w:cantSplit/>
          <w:trHeight w:val="716"/>
          <w:jc w:val="center"/>
        </w:trPr>
        <w:tc>
          <w:tcPr>
            <w:tcW w:w="1041" w:type="dxa"/>
            <w:vMerge/>
            <w:vAlign w:val="center"/>
          </w:tcPr>
          <w:p w:rsidR="008046B3" w:rsidRPr="00153A6A" w:rsidRDefault="008046B3" w:rsidP="005377BA">
            <w:pPr>
              <w:jc w:val="center"/>
              <w:rPr>
                <w:rFonts w:ascii="宋体"/>
                <w:sz w:val="24"/>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b/>
                <w:color w:val="000000"/>
                <w:sz w:val="24"/>
              </w:rPr>
              <w:t>4</w:t>
            </w:r>
          </w:p>
        </w:tc>
        <w:tc>
          <w:tcPr>
            <w:tcW w:w="6521"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港股通业务公司行为处理相关规定</w:t>
            </w:r>
          </w:p>
        </w:tc>
      </w:tr>
      <w:tr w:rsidR="008046B3" w:rsidRPr="00153A6A" w:rsidTr="008046B3">
        <w:trPr>
          <w:cantSplit/>
          <w:trHeight w:val="543"/>
          <w:jc w:val="center"/>
        </w:trPr>
        <w:tc>
          <w:tcPr>
            <w:tcW w:w="1041"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b/>
                <w:color w:val="000000"/>
                <w:sz w:val="24"/>
              </w:rPr>
              <w:t>5</w:t>
            </w:r>
          </w:p>
        </w:tc>
        <w:tc>
          <w:tcPr>
            <w:tcW w:w="6521"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港股通业务结算风险管理相关规定</w:t>
            </w:r>
          </w:p>
        </w:tc>
      </w:tr>
      <w:tr w:rsidR="008046B3" w:rsidRPr="00153A6A" w:rsidTr="008046B3">
        <w:trPr>
          <w:cantSplit/>
          <w:jc w:val="center"/>
        </w:trPr>
        <w:tc>
          <w:tcPr>
            <w:tcW w:w="1041"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hint="eastAsia"/>
                <w:b/>
                <w:color w:val="000000"/>
                <w:sz w:val="24"/>
              </w:rPr>
              <w:t>6</w:t>
            </w:r>
          </w:p>
        </w:tc>
        <w:tc>
          <w:tcPr>
            <w:tcW w:w="6521"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港股通业务投资者资金交收违约处置流程相关规定</w:t>
            </w:r>
          </w:p>
        </w:tc>
      </w:tr>
      <w:tr w:rsidR="008046B3" w:rsidRPr="00153A6A" w:rsidTr="008046B3">
        <w:trPr>
          <w:cantSplit/>
          <w:jc w:val="center"/>
        </w:trPr>
        <w:tc>
          <w:tcPr>
            <w:tcW w:w="1041"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RDefault="008046B3" w:rsidP="005377BA">
            <w:pPr>
              <w:jc w:val="center"/>
              <w:rPr>
                <w:rFonts w:ascii="楷体_GB2312" w:eastAsia="楷体_GB2312"/>
                <w:b/>
                <w:color w:val="000000"/>
                <w:sz w:val="24"/>
              </w:rPr>
            </w:pPr>
            <w:r>
              <w:rPr>
                <w:rFonts w:ascii="楷体_GB2312" w:eastAsia="楷体_GB2312" w:hint="eastAsia"/>
                <w:b/>
                <w:color w:val="000000"/>
                <w:sz w:val="24"/>
              </w:rPr>
              <w:t>7</w:t>
            </w:r>
          </w:p>
        </w:tc>
        <w:tc>
          <w:tcPr>
            <w:tcW w:w="6521" w:type="dxa"/>
            <w:vAlign w:val="center"/>
          </w:tcPr>
          <w:p w:rsidR="008046B3" w:rsidRPr="00153A6A" w:rsidRDefault="008046B3" w:rsidP="005377BA">
            <w:pPr>
              <w:autoSpaceDN w:val="0"/>
              <w:textAlignment w:val="center"/>
              <w:rPr>
                <w:rFonts w:ascii="楷体_GB2312" w:eastAsia="楷体_GB2312" w:hAnsi="楷体_GB2312"/>
                <w:color w:val="000000"/>
              </w:rPr>
            </w:pPr>
            <w:r>
              <w:rPr>
                <w:rFonts w:ascii="楷体_GB2312" w:eastAsia="楷体_GB2312" w:hAnsi="楷体_GB2312" w:hint="eastAsia"/>
                <w:color w:val="000000"/>
              </w:rPr>
              <w:t>异常情况处理流程相关规定</w:t>
            </w:r>
          </w:p>
        </w:tc>
      </w:tr>
    </w:tbl>
    <w:p w:rsidR="00273616" w:rsidRPr="00560009" w:rsidRDefault="00273616" w:rsidP="00273616">
      <w:pPr>
        <w:rPr>
          <w:rFonts w:ascii="仿宋_GB2312" w:eastAsia="仿宋_GB2312"/>
          <w:sz w:val="30"/>
          <w:szCs w:val="30"/>
        </w:rPr>
      </w:pPr>
      <w:r w:rsidRPr="00560009">
        <w:rPr>
          <w:rFonts w:ascii="仿宋_GB2312" w:eastAsia="仿宋_GB2312" w:hint="eastAsia"/>
          <w:sz w:val="30"/>
          <w:szCs w:val="30"/>
        </w:rPr>
        <w:t>二、功能要求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149"/>
        <w:gridCol w:w="709"/>
        <w:gridCol w:w="6379"/>
      </w:tblGrid>
      <w:tr w:rsidR="008046B3" w:rsidRPr="00153A6A" w:rsidTr="008046B3">
        <w:trPr>
          <w:cantSplit/>
          <w:trHeight w:val="312"/>
          <w:jc w:val="center"/>
        </w:trPr>
        <w:tc>
          <w:tcPr>
            <w:tcW w:w="1149" w:type="dxa"/>
            <w:vMerge w:val="restart"/>
            <w:vAlign w:val="center"/>
          </w:tcPr>
          <w:p w:rsidR="008046B3" w:rsidRPr="00114D5C" w:rsidRDefault="008046B3"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检查项目</w:t>
            </w:r>
          </w:p>
        </w:tc>
        <w:tc>
          <w:tcPr>
            <w:tcW w:w="709" w:type="dxa"/>
            <w:vMerge w:val="restart"/>
          </w:tcPr>
          <w:p w:rsidR="008046B3" w:rsidRPr="00114D5C" w:rsidRDefault="008046B3" w:rsidP="005377BA">
            <w:pPr>
              <w:autoSpaceDN w:val="0"/>
              <w:spacing w:line="480" w:lineRule="auto"/>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编号</w:t>
            </w:r>
          </w:p>
        </w:tc>
        <w:tc>
          <w:tcPr>
            <w:tcW w:w="6379" w:type="dxa"/>
            <w:vMerge w:val="restart"/>
            <w:vAlign w:val="center"/>
          </w:tcPr>
          <w:p w:rsidR="008046B3" w:rsidRPr="00114D5C" w:rsidRDefault="008046B3" w:rsidP="005377BA">
            <w:pPr>
              <w:autoSpaceDN w:val="0"/>
              <w:jc w:val="center"/>
              <w:textAlignment w:val="center"/>
              <w:rPr>
                <w:rFonts w:ascii="楷体_GB2312" w:eastAsia="楷体_GB2312" w:hAnsi="楷体_GB2312"/>
                <w:b/>
                <w:color w:val="000000"/>
              </w:rPr>
            </w:pPr>
            <w:r w:rsidRPr="00114D5C">
              <w:rPr>
                <w:rFonts w:ascii="楷体_GB2312" w:eastAsia="楷体_GB2312" w:hAnsi="楷体_GB2312" w:hint="eastAsia"/>
                <w:b/>
                <w:color w:val="000000"/>
              </w:rPr>
              <w:t>检查内容</w:t>
            </w:r>
          </w:p>
        </w:tc>
      </w:tr>
      <w:tr w:rsidR="008046B3" w:rsidRPr="00153A6A" w:rsidTr="008046B3">
        <w:trPr>
          <w:cantSplit/>
          <w:trHeight w:val="312"/>
          <w:jc w:val="center"/>
        </w:trPr>
        <w:tc>
          <w:tcPr>
            <w:tcW w:w="1149" w:type="dxa"/>
            <w:vMerge/>
            <w:vAlign w:val="center"/>
          </w:tcPr>
          <w:p w:rsidR="008046B3" w:rsidRPr="00114D5C" w:rsidRDefault="008046B3" w:rsidP="005377BA">
            <w:pPr>
              <w:autoSpaceDN w:val="0"/>
              <w:jc w:val="center"/>
              <w:textAlignment w:val="center"/>
              <w:rPr>
                <w:rFonts w:ascii="楷体_GB2312" w:eastAsia="楷体_GB2312" w:hAnsi="楷体_GB2312"/>
                <w:b/>
                <w:color w:val="000000"/>
              </w:rPr>
            </w:pPr>
          </w:p>
        </w:tc>
        <w:tc>
          <w:tcPr>
            <w:tcW w:w="709" w:type="dxa"/>
            <w:vMerge/>
          </w:tcPr>
          <w:p w:rsidR="008046B3" w:rsidRPr="00114D5C" w:rsidRDefault="008046B3" w:rsidP="005377BA">
            <w:pPr>
              <w:autoSpaceDN w:val="0"/>
              <w:jc w:val="center"/>
              <w:textAlignment w:val="center"/>
              <w:rPr>
                <w:rFonts w:ascii="楷体_GB2312" w:eastAsia="楷体_GB2312" w:hAnsi="楷体_GB2312"/>
                <w:b/>
                <w:color w:val="000000"/>
              </w:rPr>
            </w:pPr>
          </w:p>
        </w:tc>
        <w:tc>
          <w:tcPr>
            <w:tcW w:w="6379" w:type="dxa"/>
            <w:vMerge/>
            <w:vAlign w:val="center"/>
          </w:tcPr>
          <w:p w:rsidR="008046B3" w:rsidRPr="00114D5C" w:rsidRDefault="008046B3" w:rsidP="005377BA">
            <w:pPr>
              <w:autoSpaceDN w:val="0"/>
              <w:textAlignment w:val="center"/>
              <w:rPr>
                <w:rFonts w:ascii="楷体_GB2312" w:eastAsia="楷体_GB2312" w:hAnsi="楷体_GB2312"/>
                <w:b/>
                <w:color w:val="000000"/>
              </w:rPr>
            </w:pPr>
          </w:p>
        </w:tc>
      </w:tr>
      <w:tr w:rsidR="008046B3" w:rsidRPr="00153A6A" w:rsidTr="008046B3">
        <w:trPr>
          <w:cantSplit/>
          <w:trHeight w:val="628"/>
          <w:jc w:val="center"/>
        </w:trPr>
        <w:tc>
          <w:tcPr>
            <w:tcW w:w="1149" w:type="dxa"/>
            <w:vAlign w:val="center"/>
          </w:tcPr>
          <w:p w:rsidR="008046B3" w:rsidRPr="00153A6A" w:rsidRDefault="008046B3" w:rsidP="005377BA">
            <w:pPr>
              <w:autoSpaceDN w:val="0"/>
              <w:jc w:val="center"/>
              <w:textAlignment w:val="center"/>
              <w:rPr>
                <w:rFonts w:ascii="楷体_GB2312" w:eastAsia="楷体_GB2312" w:hAnsi="楷体_GB2312"/>
                <w:b/>
                <w:color w:val="000000"/>
              </w:rPr>
            </w:pPr>
            <w:r w:rsidRPr="00153A6A">
              <w:rPr>
                <w:rFonts w:ascii="楷体_GB2312" w:eastAsia="楷体_GB2312" w:hAnsi="楷体_GB2312" w:hint="eastAsia"/>
                <w:b/>
                <w:color w:val="000000"/>
              </w:rPr>
              <w:t>账户管理业务</w:t>
            </w: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Pr>
                <w:rFonts w:ascii="楷体_GB2312" w:eastAsia="楷体_GB2312" w:hAnsi="宋体" w:cs="宋体" w:hint="eastAsia"/>
                <w:b/>
                <w:color w:val="000000"/>
                <w:sz w:val="24"/>
              </w:rPr>
              <w:t>8</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支持投资者开通/关闭港股通交易权限</w:t>
            </w:r>
          </w:p>
        </w:tc>
      </w:tr>
      <w:tr w:rsidR="008046B3" w:rsidRPr="00153A6A" w:rsidTr="008046B3">
        <w:trPr>
          <w:cantSplit/>
          <w:jc w:val="center"/>
        </w:trPr>
        <w:tc>
          <w:tcPr>
            <w:tcW w:w="1149" w:type="dxa"/>
            <w:vMerge w:val="restart"/>
            <w:vAlign w:val="center"/>
          </w:tcPr>
          <w:p w:rsidR="008046B3" w:rsidRPr="00153A6A" w:rsidRDefault="008046B3" w:rsidP="005377BA">
            <w:pPr>
              <w:autoSpaceDN w:val="0"/>
              <w:jc w:val="center"/>
              <w:textAlignment w:val="center"/>
              <w:rPr>
                <w:rFonts w:ascii="楷体_GB2312" w:eastAsia="楷体_GB2312" w:hAnsi="楷体_GB2312"/>
                <w:b/>
                <w:color w:val="000000"/>
              </w:rPr>
            </w:pPr>
            <w:r w:rsidRPr="00153A6A">
              <w:rPr>
                <w:rFonts w:ascii="楷体_GB2312" w:eastAsia="楷体_GB2312" w:hAnsi="楷体_GB2312" w:hint="eastAsia"/>
                <w:b/>
                <w:color w:val="000000"/>
              </w:rPr>
              <w:t>结算日常业务</w:t>
            </w: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Pr>
                <w:rFonts w:ascii="楷体_GB2312" w:eastAsia="楷体_GB2312" w:hint="eastAsia"/>
                <w:b/>
                <w:color w:val="000000"/>
                <w:sz w:val="24"/>
              </w:rPr>
              <w:t>9</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支持港股通业务清算：包括日常交易、风控资金、公司行为、证券组合费、非交易过户费用、其他特殊情形等</w:t>
            </w:r>
          </w:p>
        </w:tc>
      </w:tr>
      <w:tr w:rsidR="008046B3" w:rsidRPr="00153A6A" w:rsidTr="008046B3">
        <w:trPr>
          <w:cantSplit/>
          <w:trHeight w:val="754"/>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Pr>
                <w:rFonts w:ascii="楷体_GB2312" w:eastAsia="楷体_GB2312" w:hint="eastAsia"/>
                <w:b/>
                <w:color w:val="000000"/>
                <w:sz w:val="24"/>
              </w:rPr>
              <w:t>10</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支持清算结果（资金和股份）数据核对</w:t>
            </w:r>
          </w:p>
        </w:tc>
      </w:tr>
      <w:tr w:rsidR="008046B3" w:rsidRPr="00153A6A" w:rsidTr="008046B3">
        <w:trPr>
          <w:cantSplit/>
          <w:jc w:val="center"/>
        </w:trPr>
        <w:tc>
          <w:tcPr>
            <w:tcW w:w="1149" w:type="dxa"/>
            <w:vMerge/>
            <w:vAlign w:val="center"/>
          </w:tcPr>
          <w:p w:rsidR="008046B3" w:rsidRPr="00153A6A" w:rsidRDefault="008046B3" w:rsidP="005377BA">
            <w:pPr>
              <w:jc w:val="center"/>
              <w:rPr>
                <w:rFonts w:ascii="宋体"/>
                <w:sz w:val="24"/>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b/>
                <w:color w:val="000000"/>
                <w:sz w:val="24"/>
              </w:rPr>
              <w:t>1</w:t>
            </w:r>
            <w:r>
              <w:rPr>
                <w:rFonts w:ascii="楷体_GB2312" w:eastAsia="楷体_GB2312" w:hint="eastAsia"/>
                <w:b/>
                <w:color w:val="000000"/>
                <w:sz w:val="24"/>
              </w:rPr>
              <w:t>1</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支持不同交收批次资金划付功能</w:t>
            </w:r>
            <w:r>
              <w:rPr>
                <w:rFonts w:ascii="楷体_GB2312" w:eastAsia="楷体_GB2312" w:hAnsi="楷体_GB2312" w:hint="eastAsia"/>
                <w:color w:val="000000"/>
              </w:rPr>
              <w:t>（包括风控资金划付安排）</w:t>
            </w:r>
          </w:p>
        </w:tc>
      </w:tr>
      <w:tr w:rsidR="008046B3" w:rsidRPr="00153A6A" w:rsidTr="008046B3">
        <w:trPr>
          <w:cantSplit/>
          <w:trHeight w:val="896"/>
          <w:jc w:val="center"/>
        </w:trPr>
        <w:tc>
          <w:tcPr>
            <w:tcW w:w="1149" w:type="dxa"/>
            <w:vMerge/>
            <w:vAlign w:val="center"/>
          </w:tcPr>
          <w:p w:rsidR="008046B3" w:rsidRPr="00153A6A" w:rsidRDefault="008046B3" w:rsidP="005377BA">
            <w:pPr>
              <w:jc w:val="center"/>
              <w:rPr>
                <w:rFonts w:ascii="宋体"/>
                <w:sz w:val="24"/>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sidRPr="00153A6A">
              <w:rPr>
                <w:rFonts w:ascii="楷体_GB2312" w:eastAsia="楷体_GB2312"/>
                <w:b/>
                <w:color w:val="000000"/>
                <w:sz w:val="24"/>
              </w:rPr>
              <w:t>1</w:t>
            </w:r>
            <w:r>
              <w:rPr>
                <w:rFonts w:ascii="楷体_GB2312" w:eastAsia="楷体_GB2312" w:hint="eastAsia"/>
                <w:b/>
                <w:color w:val="000000"/>
                <w:sz w:val="24"/>
              </w:rPr>
              <w:t>2</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支持公司行为处理</w:t>
            </w:r>
            <w:r>
              <w:rPr>
                <w:rFonts w:ascii="楷体_GB2312" w:eastAsia="楷体_GB2312" w:hAnsi="楷体_GB2312" w:hint="eastAsia"/>
                <w:color w:val="000000"/>
              </w:rPr>
              <w:t>（包括客户意愿的征集和发送）</w:t>
            </w:r>
          </w:p>
        </w:tc>
      </w:tr>
      <w:tr w:rsidR="008046B3" w:rsidRPr="00153A6A" w:rsidTr="008046B3">
        <w:trPr>
          <w:cantSplit/>
          <w:jc w:val="center"/>
        </w:trPr>
        <w:tc>
          <w:tcPr>
            <w:tcW w:w="1149" w:type="dxa"/>
            <w:vMerge w:val="restart"/>
            <w:vAlign w:val="center"/>
          </w:tcPr>
          <w:p w:rsidR="008046B3" w:rsidRPr="00153A6A" w:rsidRDefault="008046B3" w:rsidP="005377BA">
            <w:pPr>
              <w:autoSpaceDN w:val="0"/>
              <w:jc w:val="center"/>
              <w:textAlignment w:val="center"/>
              <w:rPr>
                <w:rFonts w:ascii="宋体"/>
                <w:sz w:val="24"/>
              </w:rPr>
            </w:pPr>
            <w:r w:rsidRPr="00153A6A">
              <w:rPr>
                <w:rFonts w:ascii="楷体_GB2312" w:eastAsia="楷体_GB2312" w:hAnsi="楷体_GB2312" w:hint="eastAsia"/>
                <w:b/>
                <w:color w:val="000000"/>
              </w:rPr>
              <w:t>结算风险控制</w:t>
            </w:r>
          </w:p>
        </w:tc>
        <w:tc>
          <w:tcPr>
            <w:tcW w:w="709" w:type="dxa"/>
            <w:vAlign w:val="center"/>
          </w:tcPr>
          <w:p w:rsidR="008046B3" w:rsidRPr="00153A6A" w:rsidDel="00607360" w:rsidRDefault="008046B3" w:rsidP="005377BA">
            <w:pPr>
              <w:jc w:val="center"/>
              <w:rPr>
                <w:rFonts w:ascii="楷体_GB2312" w:eastAsia="楷体_GB2312"/>
                <w:b/>
                <w:color w:val="000000"/>
                <w:sz w:val="24"/>
              </w:rPr>
            </w:pPr>
            <w:r w:rsidRPr="00153A6A">
              <w:rPr>
                <w:rFonts w:ascii="楷体_GB2312" w:eastAsia="楷体_GB2312"/>
                <w:b/>
                <w:color w:val="000000"/>
                <w:sz w:val="24"/>
              </w:rPr>
              <w:t>1</w:t>
            </w:r>
            <w:r>
              <w:rPr>
                <w:rFonts w:ascii="楷体_GB2312" w:eastAsia="楷体_GB2312" w:hint="eastAsia"/>
                <w:b/>
                <w:color w:val="000000"/>
                <w:sz w:val="24"/>
              </w:rPr>
              <w:t>3</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支持延迟交收处理</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Del="00607360" w:rsidRDefault="008046B3" w:rsidP="005377BA">
            <w:pPr>
              <w:jc w:val="center"/>
              <w:rPr>
                <w:rFonts w:ascii="楷体_GB2312" w:eastAsia="楷体_GB2312"/>
                <w:b/>
                <w:color w:val="000000"/>
                <w:sz w:val="24"/>
              </w:rPr>
            </w:pPr>
            <w:r w:rsidRPr="00153A6A">
              <w:rPr>
                <w:rFonts w:ascii="楷体_GB2312" w:eastAsia="楷体_GB2312"/>
                <w:b/>
                <w:color w:val="000000"/>
                <w:sz w:val="24"/>
              </w:rPr>
              <w:t>1</w:t>
            </w:r>
            <w:r>
              <w:rPr>
                <w:rFonts w:ascii="楷体_GB2312" w:eastAsia="楷体_GB2312" w:hint="eastAsia"/>
                <w:b/>
                <w:color w:val="000000"/>
                <w:sz w:val="24"/>
              </w:rPr>
              <w:t>4</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支持汇率风险管理</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Del="00607360" w:rsidRDefault="008046B3" w:rsidP="005377BA">
            <w:pPr>
              <w:jc w:val="center"/>
              <w:rPr>
                <w:rFonts w:ascii="楷体_GB2312" w:eastAsia="楷体_GB2312"/>
                <w:b/>
                <w:color w:val="000000"/>
                <w:sz w:val="24"/>
              </w:rPr>
            </w:pPr>
            <w:r w:rsidRPr="00153A6A">
              <w:rPr>
                <w:rFonts w:ascii="楷体_GB2312" w:eastAsia="楷体_GB2312"/>
                <w:b/>
                <w:color w:val="000000"/>
                <w:sz w:val="24"/>
              </w:rPr>
              <w:t>1</w:t>
            </w:r>
            <w:r>
              <w:rPr>
                <w:rFonts w:ascii="楷体_GB2312" w:eastAsia="楷体_GB2312" w:hint="eastAsia"/>
                <w:b/>
                <w:color w:val="000000"/>
                <w:sz w:val="24"/>
              </w:rPr>
              <w:t>5</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支持客户资金透支的管理</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Del="00607360" w:rsidRDefault="008046B3" w:rsidP="005377BA">
            <w:pPr>
              <w:jc w:val="center"/>
              <w:rPr>
                <w:rFonts w:ascii="楷体_GB2312" w:eastAsia="楷体_GB2312"/>
                <w:b/>
                <w:color w:val="000000"/>
                <w:sz w:val="24"/>
              </w:rPr>
            </w:pPr>
            <w:r w:rsidRPr="00153A6A">
              <w:rPr>
                <w:rFonts w:ascii="楷体_GB2312" w:eastAsia="楷体_GB2312"/>
                <w:b/>
                <w:color w:val="000000"/>
                <w:sz w:val="24"/>
              </w:rPr>
              <w:t>1</w:t>
            </w:r>
            <w:r>
              <w:rPr>
                <w:rFonts w:ascii="楷体_GB2312" w:eastAsia="楷体_GB2312" w:hint="eastAsia"/>
                <w:b/>
                <w:color w:val="000000"/>
                <w:sz w:val="24"/>
              </w:rPr>
              <w:t>6</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支持港股通卖出证券资金的可用控制</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3C13C2" w:rsidDel="00607360" w:rsidRDefault="008046B3" w:rsidP="005377BA">
            <w:pPr>
              <w:jc w:val="center"/>
              <w:rPr>
                <w:rFonts w:ascii="楷体_GB2312" w:eastAsia="楷体_GB2312"/>
                <w:b/>
                <w:color w:val="000000"/>
                <w:sz w:val="24"/>
              </w:rPr>
            </w:pPr>
            <w:r>
              <w:rPr>
                <w:rFonts w:ascii="楷体_GB2312" w:eastAsia="楷体_GB2312" w:hint="eastAsia"/>
                <w:b/>
                <w:color w:val="000000"/>
                <w:sz w:val="24"/>
              </w:rPr>
              <w:t>17</w:t>
            </w:r>
          </w:p>
        </w:tc>
        <w:tc>
          <w:tcPr>
            <w:tcW w:w="6379" w:type="dxa"/>
            <w:vAlign w:val="center"/>
          </w:tcPr>
          <w:p w:rsidR="008046B3" w:rsidRPr="003C13C2" w:rsidRDefault="008046B3" w:rsidP="005377BA">
            <w:pPr>
              <w:autoSpaceDN w:val="0"/>
              <w:textAlignment w:val="center"/>
              <w:rPr>
                <w:rFonts w:ascii="楷体_GB2312" w:eastAsia="楷体_GB2312" w:hAnsi="楷体_GB2312"/>
                <w:color w:val="000000"/>
              </w:rPr>
            </w:pPr>
            <w:r w:rsidRPr="003C13C2">
              <w:rPr>
                <w:rFonts w:ascii="楷体_GB2312" w:eastAsia="楷体_GB2312" w:hAnsi="楷体_GB2312" w:hint="eastAsia"/>
                <w:color w:val="000000"/>
              </w:rPr>
              <w:t>汇率波动导致客户交收资金违约处理</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3C13C2" w:rsidDel="00607360" w:rsidRDefault="008046B3" w:rsidP="005377BA">
            <w:pPr>
              <w:jc w:val="center"/>
              <w:rPr>
                <w:rFonts w:ascii="楷体_GB2312" w:eastAsia="楷体_GB2312"/>
                <w:b/>
                <w:color w:val="000000"/>
                <w:sz w:val="24"/>
              </w:rPr>
            </w:pPr>
            <w:r>
              <w:rPr>
                <w:rFonts w:ascii="楷体_GB2312" w:eastAsia="楷体_GB2312" w:hint="eastAsia"/>
                <w:b/>
                <w:color w:val="000000"/>
                <w:sz w:val="24"/>
              </w:rPr>
              <w:t>18</w:t>
            </w:r>
          </w:p>
        </w:tc>
        <w:tc>
          <w:tcPr>
            <w:tcW w:w="6379" w:type="dxa"/>
            <w:vAlign w:val="center"/>
          </w:tcPr>
          <w:p w:rsidR="008046B3" w:rsidRPr="003C13C2" w:rsidRDefault="008046B3" w:rsidP="005377BA">
            <w:pPr>
              <w:autoSpaceDN w:val="0"/>
              <w:textAlignment w:val="center"/>
              <w:rPr>
                <w:rFonts w:ascii="楷体_GB2312" w:eastAsia="楷体_GB2312" w:hAnsi="楷体_GB2312"/>
                <w:color w:val="000000"/>
              </w:rPr>
            </w:pPr>
            <w:r w:rsidRPr="003C13C2">
              <w:rPr>
                <w:rFonts w:ascii="楷体_GB2312" w:eastAsia="楷体_GB2312" w:hAnsi="楷体_GB2312" w:hint="eastAsia"/>
                <w:color w:val="000000"/>
              </w:rPr>
              <w:t>港股延迟交收导致客户交收资金违约处理</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3C13C2" w:rsidDel="00607360" w:rsidRDefault="008046B3" w:rsidP="005377BA">
            <w:pPr>
              <w:jc w:val="center"/>
              <w:rPr>
                <w:rFonts w:ascii="楷体_GB2312" w:eastAsia="楷体_GB2312"/>
                <w:b/>
                <w:color w:val="000000"/>
                <w:sz w:val="24"/>
              </w:rPr>
            </w:pPr>
            <w:r>
              <w:rPr>
                <w:rFonts w:ascii="楷体_GB2312" w:eastAsia="楷体_GB2312" w:hint="eastAsia"/>
                <w:b/>
                <w:color w:val="000000"/>
                <w:sz w:val="24"/>
              </w:rPr>
              <w:t>19</w:t>
            </w:r>
          </w:p>
        </w:tc>
        <w:tc>
          <w:tcPr>
            <w:tcW w:w="6379" w:type="dxa"/>
            <w:vAlign w:val="center"/>
          </w:tcPr>
          <w:p w:rsidR="008046B3" w:rsidRPr="003C13C2" w:rsidRDefault="008046B3" w:rsidP="005377BA">
            <w:pPr>
              <w:autoSpaceDN w:val="0"/>
              <w:textAlignment w:val="center"/>
              <w:rPr>
                <w:rFonts w:ascii="楷体_GB2312" w:eastAsia="楷体_GB2312" w:hAnsi="楷体_GB2312"/>
                <w:color w:val="000000"/>
              </w:rPr>
            </w:pPr>
            <w:r w:rsidRPr="003C13C2">
              <w:rPr>
                <w:rFonts w:ascii="楷体_GB2312" w:eastAsia="楷体_GB2312" w:hAnsi="楷体_GB2312" w:hint="eastAsia"/>
                <w:color w:val="000000"/>
              </w:rPr>
              <w:t>证券组合费收取导致客户交收资金违约处理</w:t>
            </w:r>
          </w:p>
        </w:tc>
      </w:tr>
      <w:tr w:rsidR="008046B3" w:rsidRPr="00153A6A" w:rsidTr="008046B3">
        <w:trPr>
          <w:cantSplit/>
          <w:jc w:val="center"/>
        </w:trPr>
        <w:tc>
          <w:tcPr>
            <w:tcW w:w="1149" w:type="dxa"/>
            <w:vMerge w:val="restart"/>
            <w:vAlign w:val="center"/>
          </w:tcPr>
          <w:p w:rsidR="008046B3" w:rsidRPr="00153A6A" w:rsidRDefault="008046B3" w:rsidP="005377BA">
            <w:pPr>
              <w:autoSpaceDN w:val="0"/>
              <w:jc w:val="center"/>
              <w:textAlignment w:val="center"/>
              <w:rPr>
                <w:rFonts w:ascii="楷体_GB2312" w:eastAsia="楷体_GB2312" w:hAnsi="楷体_GB2312"/>
                <w:b/>
                <w:color w:val="000000"/>
              </w:rPr>
            </w:pPr>
            <w:r w:rsidRPr="00153A6A">
              <w:rPr>
                <w:rFonts w:ascii="楷体_GB2312" w:eastAsia="楷体_GB2312" w:hAnsi="楷体_GB2312" w:hint="eastAsia"/>
                <w:b/>
                <w:color w:val="000000"/>
              </w:rPr>
              <w:t>结算技术系统</w:t>
            </w:r>
          </w:p>
        </w:tc>
        <w:tc>
          <w:tcPr>
            <w:tcW w:w="709" w:type="dxa"/>
            <w:vAlign w:val="center"/>
          </w:tcPr>
          <w:p w:rsidR="008046B3" w:rsidRPr="002C23FB" w:rsidRDefault="008046B3" w:rsidP="005377BA">
            <w:pPr>
              <w:jc w:val="center"/>
              <w:rPr>
                <w:rFonts w:ascii="楷体_GB2312" w:eastAsia="楷体_GB2312" w:hAnsi="楷体_GB2312"/>
                <w:b/>
                <w:color w:val="000000"/>
              </w:rPr>
            </w:pPr>
            <w:r>
              <w:rPr>
                <w:rFonts w:ascii="楷体_GB2312" w:eastAsia="楷体_GB2312" w:hAnsi="楷体_GB2312" w:hint="eastAsia"/>
                <w:b/>
                <w:color w:val="000000"/>
              </w:rPr>
              <w:t>20</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2C23FB">
              <w:rPr>
                <w:rFonts w:ascii="楷体_GB2312" w:eastAsia="楷体_GB2312" w:hAnsi="楷体_GB2312" w:hint="eastAsia"/>
                <w:color w:val="000000"/>
              </w:rPr>
              <w:t>支持柜台系统或网上交易系统与中国结算CCNET系统实时对接，能够实现公司行为业务的实时申报及实时查询功能。</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RDefault="008046B3" w:rsidP="005377BA">
            <w:pPr>
              <w:jc w:val="center"/>
              <w:rPr>
                <w:rFonts w:ascii="楷体_GB2312" w:eastAsia="楷体_GB2312" w:hAnsi="宋体" w:cs="宋体"/>
                <w:b/>
                <w:color w:val="000000"/>
                <w:sz w:val="24"/>
              </w:rPr>
            </w:pPr>
            <w:r>
              <w:rPr>
                <w:rFonts w:ascii="楷体_GB2312" w:eastAsia="楷体_GB2312" w:hint="eastAsia"/>
                <w:b/>
                <w:color w:val="000000"/>
                <w:sz w:val="24"/>
              </w:rPr>
              <w:t>21</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系统能够根据文件发送结束标志接收中国结算信箱相关文件；系统能够对日终文件自动、准确的进行清算交收处理。</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RDefault="008046B3" w:rsidP="005377BA">
            <w:pPr>
              <w:jc w:val="center"/>
              <w:rPr>
                <w:rFonts w:ascii="楷体_GB2312" w:eastAsia="楷体_GB2312"/>
                <w:b/>
                <w:color w:val="000000"/>
                <w:sz w:val="24"/>
              </w:rPr>
            </w:pPr>
            <w:r>
              <w:rPr>
                <w:rFonts w:ascii="楷体_GB2312" w:eastAsia="楷体_GB2312" w:hint="eastAsia"/>
                <w:b/>
                <w:color w:val="000000"/>
                <w:sz w:val="24"/>
              </w:rPr>
              <w:t>22</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清算系统存在冗余灾备系统，能够在发生宕机、掉电或其他不可抗力时及时恢复</w:t>
            </w:r>
          </w:p>
        </w:tc>
      </w:tr>
      <w:tr w:rsidR="008046B3" w:rsidRPr="00153A6A" w:rsidTr="008046B3">
        <w:trPr>
          <w:cantSplit/>
          <w:jc w:val="center"/>
        </w:trPr>
        <w:tc>
          <w:tcPr>
            <w:tcW w:w="1149" w:type="dxa"/>
            <w:vMerge/>
            <w:vAlign w:val="center"/>
          </w:tcPr>
          <w:p w:rsidR="008046B3" w:rsidRPr="00153A6A" w:rsidRDefault="008046B3" w:rsidP="005377BA">
            <w:pPr>
              <w:autoSpaceDN w:val="0"/>
              <w:jc w:val="center"/>
              <w:textAlignment w:val="center"/>
              <w:rPr>
                <w:rFonts w:ascii="楷体_GB2312" w:eastAsia="楷体_GB2312" w:hAnsi="楷体_GB2312"/>
                <w:b/>
                <w:color w:val="000000"/>
              </w:rPr>
            </w:pPr>
          </w:p>
        </w:tc>
        <w:tc>
          <w:tcPr>
            <w:tcW w:w="709" w:type="dxa"/>
            <w:vAlign w:val="center"/>
          </w:tcPr>
          <w:p w:rsidR="008046B3" w:rsidRPr="00153A6A" w:rsidRDefault="008046B3" w:rsidP="005377BA">
            <w:pPr>
              <w:jc w:val="center"/>
              <w:rPr>
                <w:rFonts w:ascii="楷体_GB2312" w:eastAsia="楷体_GB2312"/>
                <w:b/>
                <w:color w:val="000000"/>
                <w:sz w:val="24"/>
              </w:rPr>
            </w:pPr>
            <w:r>
              <w:rPr>
                <w:rFonts w:ascii="楷体_GB2312" w:eastAsia="楷体_GB2312" w:hint="eastAsia"/>
                <w:b/>
                <w:color w:val="000000"/>
                <w:sz w:val="24"/>
              </w:rPr>
              <w:t>23</w:t>
            </w:r>
          </w:p>
        </w:tc>
        <w:tc>
          <w:tcPr>
            <w:tcW w:w="6379" w:type="dxa"/>
            <w:vAlign w:val="center"/>
          </w:tcPr>
          <w:p w:rsidR="008046B3" w:rsidRPr="00153A6A" w:rsidRDefault="008046B3" w:rsidP="005377BA">
            <w:pPr>
              <w:autoSpaceDN w:val="0"/>
              <w:textAlignment w:val="center"/>
              <w:rPr>
                <w:rFonts w:ascii="楷体_GB2312" w:eastAsia="楷体_GB2312" w:hAnsi="楷体_GB2312"/>
                <w:color w:val="000000"/>
              </w:rPr>
            </w:pPr>
            <w:r w:rsidRPr="00153A6A">
              <w:rPr>
                <w:rFonts w:ascii="楷体_GB2312" w:eastAsia="楷体_GB2312" w:hAnsi="楷体_GB2312" w:hint="eastAsia"/>
                <w:color w:val="000000"/>
              </w:rPr>
              <w:t>系统对中国结算的日终文件留有备份；并应支持在系统出错或意外中断等情况下根据备份日终文件重新进行清算。</w:t>
            </w:r>
          </w:p>
        </w:tc>
      </w:tr>
    </w:tbl>
    <w:p w:rsidR="00B379C5" w:rsidRDefault="00B379C5" w:rsidP="00273616">
      <w:pPr>
        <w:pStyle w:val="22"/>
        <w:spacing w:line="600" w:lineRule="exact"/>
        <w:jc w:val="center"/>
        <w:rPr>
          <w:rFonts w:ascii="黑体" w:eastAsia="黑体"/>
          <w:b/>
          <w:sz w:val="30"/>
          <w:szCs w:val="30"/>
        </w:rPr>
      </w:pPr>
    </w:p>
    <w:p w:rsidR="00B379C5" w:rsidRDefault="00B379C5">
      <w:pPr>
        <w:widowControl/>
        <w:jc w:val="left"/>
        <w:rPr>
          <w:rFonts w:ascii="黑体" w:eastAsia="黑体"/>
          <w:b/>
          <w:sz w:val="30"/>
          <w:szCs w:val="30"/>
        </w:rPr>
      </w:pPr>
      <w:r>
        <w:rPr>
          <w:rFonts w:ascii="黑体" w:eastAsia="黑体"/>
          <w:b/>
          <w:sz w:val="30"/>
          <w:szCs w:val="30"/>
        </w:rPr>
        <w:br w:type="page"/>
      </w:r>
    </w:p>
    <w:p w:rsidR="00273616" w:rsidRPr="00560009" w:rsidRDefault="00273616" w:rsidP="00273616">
      <w:pPr>
        <w:pStyle w:val="22"/>
        <w:spacing w:line="600" w:lineRule="exact"/>
        <w:jc w:val="center"/>
        <w:rPr>
          <w:rFonts w:ascii="黑体" w:eastAsia="黑体"/>
          <w:b/>
          <w:sz w:val="30"/>
          <w:szCs w:val="30"/>
        </w:rPr>
      </w:pPr>
      <w:r w:rsidRPr="00560009">
        <w:rPr>
          <w:rFonts w:ascii="黑体" w:eastAsia="黑体" w:hint="eastAsia"/>
          <w:b/>
          <w:sz w:val="30"/>
          <w:szCs w:val="30"/>
        </w:rPr>
        <w:t>第三部分  港股通信息系统技术就绪</w:t>
      </w:r>
      <w:r w:rsidR="008046B3">
        <w:rPr>
          <w:rFonts w:ascii="黑体" w:eastAsia="黑体" w:hint="eastAsia"/>
          <w:b/>
          <w:sz w:val="30"/>
          <w:szCs w:val="30"/>
        </w:rPr>
        <w:t>情况</w:t>
      </w:r>
    </w:p>
    <w:tbl>
      <w:tblPr>
        <w:tblW w:w="0" w:type="auto"/>
        <w:jc w:val="center"/>
        <w:tblInd w:w="-80" w:type="dxa"/>
        <w:tblLayout w:type="fixed"/>
        <w:tblCellMar>
          <w:left w:w="15" w:type="dxa"/>
          <w:right w:w="15" w:type="dxa"/>
        </w:tblCellMar>
        <w:tblLook w:val="0000"/>
      </w:tblPr>
      <w:tblGrid>
        <w:gridCol w:w="1046"/>
        <w:gridCol w:w="709"/>
        <w:gridCol w:w="6521"/>
      </w:tblGrid>
      <w:tr w:rsidR="008046B3" w:rsidRPr="00560009" w:rsidTr="008046B3">
        <w:trPr>
          <w:cantSplit/>
          <w:trHeight w:val="312"/>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rsidR="008046B3"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检查</w:t>
            </w:r>
          </w:p>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项目</w:t>
            </w:r>
          </w:p>
        </w:tc>
        <w:tc>
          <w:tcPr>
            <w:tcW w:w="709" w:type="dxa"/>
            <w:vMerge w:val="restart"/>
            <w:tcBorders>
              <w:top w:val="single" w:sz="4" w:space="0" w:color="auto"/>
              <w:left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序号</w:t>
            </w:r>
          </w:p>
        </w:tc>
        <w:tc>
          <w:tcPr>
            <w:tcW w:w="6521" w:type="dxa"/>
            <w:vMerge w:val="restart"/>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检查内容</w:t>
            </w:r>
          </w:p>
        </w:tc>
      </w:tr>
      <w:tr w:rsidR="008046B3" w:rsidRPr="00560009" w:rsidTr="008046B3">
        <w:trPr>
          <w:cantSplit/>
          <w:trHeight w:val="312"/>
          <w:jc w:val="center"/>
        </w:trPr>
        <w:tc>
          <w:tcPr>
            <w:tcW w:w="1046" w:type="dxa"/>
            <w:vMerge/>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rPr>
                <w:rFonts w:ascii="仿宋_GB2312" w:eastAsia="仿宋_GB2312" w:hAnsi="楷体"/>
                <w:szCs w:val="21"/>
              </w:rPr>
            </w:pPr>
          </w:p>
        </w:tc>
        <w:tc>
          <w:tcPr>
            <w:tcW w:w="709" w:type="dxa"/>
            <w:vMerge/>
            <w:tcBorders>
              <w:left w:val="single" w:sz="4" w:space="0" w:color="auto"/>
              <w:bottom w:val="single" w:sz="4" w:space="0" w:color="auto"/>
              <w:right w:val="single" w:sz="4" w:space="0" w:color="auto"/>
            </w:tcBorders>
          </w:tcPr>
          <w:p w:rsidR="008046B3" w:rsidRPr="00560009" w:rsidRDefault="008046B3" w:rsidP="005377BA">
            <w:pPr>
              <w:autoSpaceDN w:val="0"/>
              <w:rPr>
                <w:rFonts w:ascii="仿宋_GB2312" w:eastAsia="仿宋_GB2312" w:hAnsi="楷体"/>
                <w:szCs w:val="21"/>
              </w:rPr>
            </w:pPr>
          </w:p>
        </w:tc>
        <w:tc>
          <w:tcPr>
            <w:tcW w:w="6521" w:type="dxa"/>
            <w:vMerge/>
            <w:tcBorders>
              <w:top w:val="single" w:sz="4" w:space="0" w:color="auto"/>
              <w:left w:val="single" w:sz="4" w:space="0" w:color="auto"/>
              <w:bottom w:val="single" w:sz="4" w:space="0" w:color="auto"/>
              <w:right w:val="single" w:sz="4" w:space="0" w:color="auto"/>
            </w:tcBorders>
          </w:tcPr>
          <w:p w:rsidR="008046B3" w:rsidRPr="00560009" w:rsidRDefault="008046B3" w:rsidP="005377BA">
            <w:pPr>
              <w:autoSpaceDN w:val="0"/>
              <w:rPr>
                <w:rFonts w:ascii="仿宋_GB2312" w:eastAsia="仿宋_GB2312" w:hAnsi="楷体"/>
                <w:szCs w:val="21"/>
              </w:rPr>
            </w:pPr>
          </w:p>
        </w:tc>
      </w:tr>
      <w:tr w:rsidR="008046B3" w:rsidRPr="00560009" w:rsidTr="008046B3">
        <w:trPr>
          <w:cantSplit/>
          <w:jc w:val="center"/>
        </w:trPr>
        <w:tc>
          <w:tcPr>
            <w:tcW w:w="1046" w:type="dxa"/>
            <w:vMerge w:val="restart"/>
            <w:tcBorders>
              <w:top w:val="single" w:sz="4" w:space="0" w:color="auto"/>
              <w:left w:val="single" w:sz="4" w:space="0" w:color="auto"/>
              <w:right w:val="single" w:sz="4" w:space="0" w:color="auto"/>
            </w:tcBorders>
            <w:vAlign w:val="center"/>
          </w:tcPr>
          <w:p w:rsidR="008046B3"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建设</w:t>
            </w:r>
          </w:p>
          <w:p w:rsidR="008046B3"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与</w:t>
            </w:r>
          </w:p>
          <w:p w:rsidR="008046B3" w:rsidRPr="00560009" w:rsidRDefault="008046B3" w:rsidP="005377BA">
            <w:pPr>
              <w:autoSpaceDN w:val="0"/>
              <w:jc w:val="center"/>
              <w:textAlignment w:val="center"/>
              <w:rPr>
                <w:rFonts w:ascii="仿宋_GB2312" w:eastAsia="仿宋_GB2312" w:hAnsi="楷体"/>
                <w:szCs w:val="21"/>
              </w:rPr>
            </w:pPr>
            <w:r w:rsidRPr="00560009">
              <w:rPr>
                <w:rFonts w:ascii="仿宋_GB2312" w:eastAsia="仿宋_GB2312" w:hAnsi="楷体_GB2312" w:hint="eastAsia"/>
                <w:b/>
                <w:color w:val="000000"/>
                <w:szCs w:val="21"/>
              </w:rPr>
              <w:t>部署</w:t>
            </w:r>
          </w:p>
        </w:tc>
        <w:tc>
          <w:tcPr>
            <w:tcW w:w="709" w:type="dxa"/>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
                <w:szCs w:val="21"/>
              </w:rPr>
            </w:pPr>
            <w:r w:rsidRPr="00560009">
              <w:rPr>
                <w:rFonts w:ascii="仿宋_GB2312" w:eastAsia="仿宋_GB2312" w:hAnsi="楷体_GB2312" w:hint="eastAsia"/>
                <w:b/>
                <w:color w:val="000000"/>
                <w:szCs w:val="21"/>
              </w:rPr>
              <w:t>1</w:t>
            </w:r>
          </w:p>
        </w:tc>
        <w:tc>
          <w:tcPr>
            <w:tcW w:w="6521" w:type="dxa"/>
            <w:tcBorders>
              <w:top w:val="single" w:sz="4" w:space="0" w:color="auto"/>
              <w:left w:val="single" w:sz="4" w:space="0" w:color="auto"/>
              <w:bottom w:val="single" w:sz="4" w:space="0" w:color="auto"/>
              <w:right w:val="single" w:sz="4" w:space="0" w:color="auto"/>
            </w:tcBorders>
          </w:tcPr>
          <w:p w:rsidR="008046B3" w:rsidRPr="00560009" w:rsidRDefault="008046B3" w:rsidP="005377BA">
            <w:pPr>
              <w:autoSpaceDN w:val="0"/>
              <w:textAlignment w:val="center"/>
              <w:rPr>
                <w:rFonts w:ascii="仿宋_GB2312" w:eastAsia="仿宋_GB2312" w:hAnsi="楷体"/>
                <w:szCs w:val="21"/>
              </w:rPr>
            </w:pPr>
            <w:r w:rsidRPr="00560009">
              <w:rPr>
                <w:rFonts w:ascii="仿宋_GB2312" w:eastAsia="仿宋_GB2312" w:hAnsi="楷体_GB2312" w:hint="eastAsia"/>
                <w:color w:val="000000"/>
                <w:szCs w:val="21"/>
              </w:rPr>
              <w:t>是否完成系统建设方案的制定，建设方案应包括建设目标、原则；整体架构、功能、各系统间的逻辑关系；各相关系统（包含网上交易终端、清算系统、港股通交易系统、风控系统等）的技术架构、业务逻辑、数据流转；系统建设计划</w:t>
            </w:r>
          </w:p>
        </w:tc>
      </w:tr>
      <w:tr w:rsidR="008046B3" w:rsidRPr="00560009" w:rsidTr="008046B3">
        <w:trPr>
          <w:cantSplit/>
          <w:jc w:val="center"/>
        </w:trPr>
        <w:tc>
          <w:tcPr>
            <w:tcW w:w="1046" w:type="dxa"/>
            <w:vMerge/>
            <w:tcBorders>
              <w:left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2</w:t>
            </w:r>
          </w:p>
        </w:tc>
        <w:tc>
          <w:tcPr>
            <w:tcW w:w="6521" w:type="dxa"/>
            <w:tcBorders>
              <w:top w:val="single" w:sz="4" w:space="0" w:color="auto"/>
              <w:left w:val="single" w:sz="4" w:space="0" w:color="auto"/>
              <w:bottom w:val="single" w:sz="4" w:space="0" w:color="auto"/>
              <w:right w:val="single" w:sz="4" w:space="0" w:color="auto"/>
            </w:tcBorders>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各交付物所涉系统是否已覆盖港股通业务平台前、中、后台各业务系统（如网上交易终端、清算系统、港股通交易系统、风控系统等）</w:t>
            </w:r>
          </w:p>
        </w:tc>
      </w:tr>
      <w:tr w:rsidR="008046B3" w:rsidRPr="00560009" w:rsidTr="008046B3">
        <w:trPr>
          <w:cantSplit/>
          <w:jc w:val="center"/>
        </w:trPr>
        <w:tc>
          <w:tcPr>
            <w:tcW w:w="1046" w:type="dxa"/>
            <w:vMerge/>
            <w:tcBorders>
              <w:left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3</w:t>
            </w:r>
          </w:p>
        </w:tc>
        <w:tc>
          <w:tcPr>
            <w:tcW w:w="6521" w:type="dxa"/>
            <w:tcBorders>
              <w:top w:val="single" w:sz="4" w:space="0" w:color="auto"/>
              <w:left w:val="single" w:sz="4" w:space="0" w:color="auto"/>
              <w:bottom w:val="single" w:sz="4" w:space="0" w:color="auto"/>
              <w:right w:val="single" w:sz="4" w:space="0" w:color="auto"/>
            </w:tcBorders>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是否有各系统部署图及网络拓扑图，包括硬件配置清单、软件配置清单、网络配置清单</w:t>
            </w:r>
          </w:p>
        </w:tc>
      </w:tr>
      <w:tr w:rsidR="008046B3" w:rsidRPr="00560009" w:rsidTr="008046B3">
        <w:trPr>
          <w:cantSplit/>
          <w:jc w:val="center"/>
        </w:trPr>
        <w:tc>
          <w:tcPr>
            <w:tcW w:w="1046" w:type="dxa"/>
            <w:vMerge/>
            <w:tcBorders>
              <w:left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4</w:t>
            </w:r>
          </w:p>
        </w:tc>
        <w:tc>
          <w:tcPr>
            <w:tcW w:w="6521" w:type="dxa"/>
            <w:tcBorders>
              <w:top w:val="single" w:sz="4" w:space="0" w:color="auto"/>
              <w:left w:val="single" w:sz="4" w:space="0" w:color="auto"/>
              <w:bottom w:val="single" w:sz="4" w:space="0" w:color="auto"/>
              <w:right w:val="single" w:sz="4" w:space="0" w:color="auto"/>
            </w:tcBorders>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是否有测试文档，至少有测试用例和测试报告</w:t>
            </w:r>
          </w:p>
        </w:tc>
      </w:tr>
      <w:tr w:rsidR="008046B3" w:rsidRPr="00560009" w:rsidTr="008046B3">
        <w:trPr>
          <w:cantSplit/>
          <w:trHeight w:val="1260"/>
          <w:jc w:val="center"/>
        </w:trPr>
        <w:tc>
          <w:tcPr>
            <w:tcW w:w="1046" w:type="dxa"/>
            <w:vMerge/>
            <w:tcBorders>
              <w:left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5</w:t>
            </w:r>
          </w:p>
        </w:tc>
        <w:tc>
          <w:tcPr>
            <w:tcW w:w="6521" w:type="dxa"/>
            <w:tcBorders>
              <w:top w:val="single" w:sz="4" w:space="0" w:color="auto"/>
              <w:left w:val="single" w:sz="4" w:space="0" w:color="auto"/>
              <w:bottom w:val="single" w:sz="4" w:space="0" w:color="auto"/>
              <w:right w:val="single" w:sz="4" w:space="0" w:color="auto"/>
            </w:tcBorders>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是否制定培训计划，系统上线前是否对系统管理人员、系统运维操作人员进行必要的培训，培训内容涵盖港股通业务知识、系统架构与功能、运维安全保障、应急备份措施等，并对培训内容、培训人员情况进行记录</w:t>
            </w:r>
          </w:p>
        </w:tc>
      </w:tr>
      <w:tr w:rsidR="008046B3" w:rsidRPr="00560009" w:rsidTr="008046B3">
        <w:trPr>
          <w:cantSplit/>
          <w:jc w:val="center"/>
        </w:trPr>
        <w:tc>
          <w:tcPr>
            <w:tcW w:w="1046" w:type="dxa"/>
            <w:vMerge/>
            <w:tcBorders>
              <w:left w:val="single" w:sz="4" w:space="0" w:color="auto"/>
              <w:bottom w:val="single" w:sz="4" w:space="0" w:color="auto"/>
              <w:right w:val="single" w:sz="4" w:space="0" w:color="auto"/>
            </w:tcBorders>
            <w:vAlign w:val="center"/>
          </w:tcPr>
          <w:p w:rsidR="008046B3" w:rsidRPr="00560009" w:rsidRDefault="008046B3" w:rsidP="005377BA">
            <w:pPr>
              <w:rPr>
                <w:rFonts w:ascii="仿宋_GB2312" w:eastAsia="仿宋_GB2312" w:hAnsi="楷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6</w:t>
            </w:r>
          </w:p>
        </w:tc>
        <w:tc>
          <w:tcPr>
            <w:tcW w:w="6521" w:type="dxa"/>
            <w:tcBorders>
              <w:top w:val="single" w:sz="4" w:space="0" w:color="auto"/>
              <w:left w:val="single" w:sz="4" w:space="0" w:color="auto"/>
              <w:bottom w:val="single" w:sz="4" w:space="0" w:color="auto"/>
              <w:right w:val="single" w:sz="4" w:space="0" w:color="auto"/>
            </w:tcBorders>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是否交付系统安装配置说明、用户使用手册、运维操作手册、备份方案、故障处理与应急手册等</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restart"/>
            <w:vAlign w:val="center"/>
          </w:tcPr>
          <w:p w:rsidR="008046B3" w:rsidRPr="00560009" w:rsidRDefault="008046B3" w:rsidP="005377BA">
            <w:pPr>
              <w:autoSpaceDN w:val="0"/>
              <w:jc w:val="center"/>
              <w:textAlignment w:val="center"/>
              <w:rPr>
                <w:rFonts w:ascii="仿宋_GB2312" w:eastAsia="仿宋_GB2312" w:hAnsi="楷体"/>
                <w:b/>
                <w:color w:val="000000"/>
                <w:szCs w:val="21"/>
              </w:rPr>
            </w:pPr>
            <w:r w:rsidRPr="00560009">
              <w:rPr>
                <w:rFonts w:ascii="仿宋_GB2312" w:eastAsia="仿宋_GB2312" w:hAnsi="楷体_GB2312" w:hint="eastAsia"/>
                <w:b/>
                <w:color w:val="000000"/>
                <w:szCs w:val="21"/>
              </w:rPr>
              <w:t>运维管理</w:t>
            </w: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7</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为港股通业务已配备足够运维人员（包括灾难备份中心），关键事务岗位已配备多人共同管理，运维岗位应建立重要岗位的双人、双职、双责制，并加强对单人单岗的监控</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
                <w:szCs w:val="21"/>
              </w:rPr>
            </w:pP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8</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定期对各个岗位的人员进行安全技能及安全认知的考核，考核应至少每年一次</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
                <w:szCs w:val="21"/>
              </w:rPr>
            </w:pP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9</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有规范的系统上线、软件升级和变更、系统设置变更流程，并留存相应的升级或变更记录</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
                <w:szCs w:val="21"/>
              </w:rPr>
            </w:pP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10</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有规范化的日常操作流程，关键操作应建立复核机制，建立详细的操作日志（包括重要的日常操作、运行维护记录、参数的设置和修改等内容），并及时备份参数文件</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
                <w:szCs w:val="21"/>
              </w:rPr>
            </w:pP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11</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有规范化的故障处理流程，建立详细的故障日志（包括故障发生的时间、范围、现象、处理结果和处理人员等内容）</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12</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已制定应急预案，并定期组织运维人员应急演练，留存演练记录</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
                <w:szCs w:val="21"/>
              </w:rPr>
            </w:pP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13</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建立完善的运行监控系统，对港股通系统的运行环境、运行状况进行实时监控，并提供多种报警功能</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
                <w:szCs w:val="21"/>
              </w:rPr>
            </w:pPr>
          </w:p>
        </w:tc>
        <w:tc>
          <w:tcPr>
            <w:tcW w:w="709" w:type="dxa"/>
            <w:vAlign w:val="center"/>
          </w:tcPr>
          <w:p w:rsidR="008046B3" w:rsidRPr="00560009"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14</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已建立备份与恢复管理相关的管理制度，对备份信息的备份方式、备份频度、存储介质和保存期等进行规范</w:t>
            </w:r>
          </w:p>
        </w:tc>
      </w:tr>
      <w:tr w:rsidR="008046B3" w:rsidRPr="00560009" w:rsidTr="0080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 w:type="dxa"/>
            <w:vMerge/>
            <w:vAlign w:val="center"/>
          </w:tcPr>
          <w:p w:rsidR="008046B3" w:rsidRPr="00560009" w:rsidRDefault="008046B3" w:rsidP="005377BA">
            <w:pPr>
              <w:autoSpaceDN w:val="0"/>
              <w:jc w:val="center"/>
              <w:textAlignment w:val="center"/>
              <w:rPr>
                <w:rFonts w:ascii="仿宋_GB2312" w:eastAsia="仿宋_GB2312" w:hAnsi="楷体"/>
                <w:szCs w:val="21"/>
              </w:rPr>
            </w:pPr>
          </w:p>
        </w:tc>
        <w:tc>
          <w:tcPr>
            <w:tcW w:w="709" w:type="dxa"/>
            <w:vAlign w:val="center"/>
          </w:tcPr>
          <w:p w:rsidR="008046B3" w:rsidRPr="00560009" w:rsidDel="0011389F" w:rsidRDefault="008046B3" w:rsidP="005377BA">
            <w:pPr>
              <w:autoSpaceDN w:val="0"/>
              <w:jc w:val="center"/>
              <w:textAlignment w:val="center"/>
              <w:rPr>
                <w:rFonts w:ascii="仿宋_GB2312" w:eastAsia="仿宋_GB2312" w:hAnsi="楷体_GB2312"/>
                <w:b/>
                <w:color w:val="000000"/>
                <w:szCs w:val="21"/>
              </w:rPr>
            </w:pPr>
            <w:r w:rsidRPr="00560009">
              <w:rPr>
                <w:rFonts w:ascii="仿宋_GB2312" w:eastAsia="仿宋_GB2312" w:hAnsi="楷体_GB2312" w:hint="eastAsia"/>
                <w:b/>
                <w:color w:val="000000"/>
                <w:szCs w:val="21"/>
              </w:rPr>
              <w:t>15</w:t>
            </w:r>
          </w:p>
        </w:tc>
        <w:tc>
          <w:tcPr>
            <w:tcW w:w="6521" w:type="dxa"/>
          </w:tcPr>
          <w:p w:rsidR="008046B3" w:rsidRPr="00560009" w:rsidRDefault="008046B3" w:rsidP="005377BA">
            <w:pPr>
              <w:autoSpaceDN w:val="0"/>
              <w:textAlignment w:val="center"/>
              <w:rPr>
                <w:rFonts w:ascii="仿宋_GB2312" w:eastAsia="仿宋_GB2312" w:hAnsi="楷体_GB2312"/>
                <w:color w:val="000000"/>
                <w:szCs w:val="21"/>
              </w:rPr>
            </w:pPr>
            <w:r w:rsidRPr="00560009">
              <w:rPr>
                <w:rFonts w:ascii="仿宋_GB2312" w:eastAsia="仿宋_GB2312" w:hAnsi="楷体_GB2312" w:hint="eastAsia"/>
                <w:color w:val="000000"/>
                <w:szCs w:val="21"/>
              </w:rPr>
              <w:t>灾难备份系统需满足证监会发布核心关键系统的业务连续性要求，灾备系统具有满足业务需求的处理能力，有详细的切换演练记录</w:t>
            </w:r>
          </w:p>
        </w:tc>
      </w:tr>
    </w:tbl>
    <w:p w:rsidR="00B379C5" w:rsidRDefault="00B379C5" w:rsidP="00273616">
      <w:pPr>
        <w:pStyle w:val="22"/>
        <w:spacing w:line="600" w:lineRule="exact"/>
        <w:jc w:val="center"/>
        <w:rPr>
          <w:rFonts w:ascii="黑体" w:eastAsia="黑体"/>
          <w:b/>
          <w:sz w:val="30"/>
          <w:szCs w:val="30"/>
        </w:rPr>
      </w:pPr>
    </w:p>
    <w:p w:rsidR="00B379C5" w:rsidRDefault="00B379C5">
      <w:pPr>
        <w:widowControl/>
        <w:jc w:val="left"/>
        <w:rPr>
          <w:rFonts w:ascii="黑体" w:eastAsia="黑体"/>
          <w:b/>
          <w:sz w:val="30"/>
          <w:szCs w:val="30"/>
        </w:rPr>
      </w:pPr>
      <w:r>
        <w:rPr>
          <w:rFonts w:ascii="黑体" w:eastAsia="黑体"/>
          <w:b/>
          <w:sz w:val="30"/>
          <w:szCs w:val="30"/>
        </w:rPr>
        <w:br w:type="page"/>
      </w:r>
    </w:p>
    <w:p w:rsidR="00273616" w:rsidRPr="00560009" w:rsidRDefault="00273616" w:rsidP="00273616">
      <w:pPr>
        <w:pStyle w:val="22"/>
        <w:spacing w:line="600" w:lineRule="exact"/>
        <w:jc w:val="center"/>
        <w:rPr>
          <w:rFonts w:ascii="黑体" w:eastAsia="黑体"/>
          <w:b/>
          <w:sz w:val="30"/>
          <w:szCs w:val="30"/>
        </w:rPr>
      </w:pPr>
      <w:r w:rsidRPr="00560009">
        <w:rPr>
          <w:rFonts w:ascii="黑体" w:eastAsia="黑体" w:hint="eastAsia"/>
          <w:b/>
          <w:sz w:val="30"/>
          <w:szCs w:val="30"/>
        </w:rPr>
        <w:t>第四部分  港股通投资者教育</w:t>
      </w:r>
      <w:r w:rsidR="008046B3">
        <w:rPr>
          <w:rFonts w:ascii="黑体" w:eastAsia="黑体" w:hint="eastAsia"/>
          <w:b/>
          <w:sz w:val="30"/>
          <w:szCs w:val="30"/>
        </w:rPr>
        <w:t>就绪情况</w:t>
      </w:r>
    </w:p>
    <w:tbl>
      <w:tblPr>
        <w:tblW w:w="0" w:type="auto"/>
        <w:jc w:val="center"/>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3"/>
        <w:gridCol w:w="708"/>
        <w:gridCol w:w="6521"/>
      </w:tblGrid>
      <w:tr w:rsidR="008046B3" w:rsidRPr="00560009" w:rsidTr="008046B3">
        <w:trPr>
          <w:cantSplit/>
          <w:trHeight w:val="312"/>
          <w:jc w:val="center"/>
        </w:trPr>
        <w:tc>
          <w:tcPr>
            <w:tcW w:w="1103" w:type="dxa"/>
            <w:vMerge w:val="restart"/>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检查项目</w:t>
            </w:r>
          </w:p>
        </w:tc>
        <w:tc>
          <w:tcPr>
            <w:tcW w:w="708" w:type="dxa"/>
            <w:vMerge w:val="restart"/>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编号</w:t>
            </w:r>
          </w:p>
        </w:tc>
        <w:tc>
          <w:tcPr>
            <w:tcW w:w="6521" w:type="dxa"/>
            <w:vMerge w:val="restart"/>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检查内容</w:t>
            </w:r>
          </w:p>
        </w:tc>
      </w:tr>
      <w:tr w:rsidR="008046B3" w:rsidRPr="00560009" w:rsidTr="008046B3">
        <w:trPr>
          <w:cantSplit/>
          <w:trHeight w:val="312"/>
          <w:jc w:val="center"/>
        </w:trPr>
        <w:tc>
          <w:tcPr>
            <w:tcW w:w="1103" w:type="dxa"/>
            <w:vMerge/>
            <w:tcBorders>
              <w:top w:val="single" w:sz="4" w:space="0" w:color="000000"/>
              <w:left w:val="single" w:sz="4" w:space="0" w:color="000000"/>
              <w:bottom w:val="single" w:sz="4" w:space="0" w:color="auto"/>
              <w:right w:val="single" w:sz="4" w:space="0" w:color="000000"/>
            </w:tcBorders>
            <w:vAlign w:val="center"/>
          </w:tcPr>
          <w:p w:rsidR="008046B3" w:rsidRPr="00560009" w:rsidRDefault="008046B3" w:rsidP="005377BA">
            <w:pPr>
              <w:widowControl/>
              <w:jc w:val="left"/>
              <w:rPr>
                <w:rFonts w:ascii="楷体_GB2312" w:eastAsia="楷体_GB2312" w:hAnsi="楷体_GB2312"/>
                <w:b/>
                <w:color w:val="000000"/>
                <w:szCs w:val="21"/>
              </w:rPr>
            </w:pPr>
          </w:p>
        </w:tc>
        <w:tc>
          <w:tcPr>
            <w:tcW w:w="708" w:type="dxa"/>
            <w:vMerge/>
            <w:tcBorders>
              <w:top w:val="single" w:sz="4" w:space="0" w:color="000000"/>
              <w:left w:val="single" w:sz="4" w:space="0" w:color="000000"/>
              <w:bottom w:val="single" w:sz="4" w:space="0" w:color="auto"/>
              <w:right w:val="single" w:sz="4" w:space="0" w:color="000000"/>
            </w:tcBorders>
            <w:vAlign w:val="center"/>
          </w:tcPr>
          <w:p w:rsidR="008046B3" w:rsidRPr="00560009" w:rsidRDefault="008046B3" w:rsidP="005377BA">
            <w:pPr>
              <w:widowControl/>
              <w:jc w:val="left"/>
              <w:rPr>
                <w:rFonts w:ascii="楷体_GB2312" w:eastAsia="楷体_GB2312" w:hAnsi="楷体_GB2312"/>
                <w:b/>
                <w:color w:val="000000"/>
                <w:szCs w:val="21"/>
              </w:rPr>
            </w:pPr>
          </w:p>
        </w:tc>
        <w:tc>
          <w:tcPr>
            <w:tcW w:w="6521" w:type="dxa"/>
            <w:vMerge/>
            <w:tcBorders>
              <w:top w:val="single" w:sz="4" w:space="0" w:color="000000"/>
              <w:left w:val="single" w:sz="4" w:space="0" w:color="000000"/>
              <w:bottom w:val="single" w:sz="4" w:space="0" w:color="auto"/>
              <w:right w:val="single" w:sz="4" w:space="0" w:color="000000"/>
            </w:tcBorders>
            <w:vAlign w:val="center"/>
          </w:tcPr>
          <w:p w:rsidR="008046B3" w:rsidRPr="00560009" w:rsidRDefault="008046B3" w:rsidP="005377BA">
            <w:pPr>
              <w:widowControl/>
              <w:jc w:val="left"/>
              <w:rPr>
                <w:rFonts w:ascii="楷体_GB2312" w:eastAsia="楷体_GB2312" w:hAnsi="楷体_GB2312"/>
                <w:b/>
                <w:color w:val="000000"/>
                <w:szCs w:val="21"/>
              </w:rPr>
            </w:pPr>
          </w:p>
        </w:tc>
      </w:tr>
      <w:tr w:rsidR="008046B3" w:rsidRPr="00560009" w:rsidTr="008046B3">
        <w:trPr>
          <w:cantSplit/>
          <w:jc w:val="center"/>
        </w:trPr>
        <w:tc>
          <w:tcPr>
            <w:tcW w:w="1103"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left"/>
              <w:textAlignment w:val="center"/>
              <w:rPr>
                <w:rFonts w:ascii="楷体_GB2312" w:eastAsia="楷体_GB2312" w:hAnsi="楷体_GB2312"/>
                <w:szCs w:val="21"/>
              </w:rPr>
            </w:pPr>
            <w:r w:rsidRPr="00560009">
              <w:rPr>
                <w:rFonts w:ascii="楷体_GB2312" w:eastAsia="楷体_GB2312" w:hAnsi="楷体_GB2312" w:hint="eastAsia"/>
                <w:b/>
                <w:color w:val="000000"/>
                <w:szCs w:val="21"/>
              </w:rPr>
              <w:t>投资者适当性管理制度、流程</w:t>
            </w: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1</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szCs w:val="21"/>
              </w:rPr>
            </w:pPr>
            <w:r w:rsidRPr="00560009">
              <w:rPr>
                <w:rFonts w:ascii="楷体_GB2312" w:eastAsia="楷体_GB2312" w:hAnsi="楷体_GB2312" w:hint="eastAsia"/>
                <w:szCs w:val="21"/>
              </w:rPr>
              <w:t>建立港股通业务投资者适当性管理的操作指引和相关工作制度</w:t>
            </w:r>
          </w:p>
        </w:tc>
      </w:tr>
      <w:tr w:rsidR="008046B3" w:rsidRPr="00560009" w:rsidTr="008046B3">
        <w:trPr>
          <w:cantSplit/>
          <w:jc w:val="center"/>
        </w:trPr>
        <w:tc>
          <w:tcPr>
            <w:tcW w:w="1103" w:type="dxa"/>
            <w:vMerge/>
            <w:tcBorders>
              <w:left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left"/>
              <w:textAlignment w:val="center"/>
              <w:rPr>
                <w:rFonts w:ascii="楷体_GB2312" w:eastAsia="楷体_GB2312" w:hAnsi="楷体_GB2312"/>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2</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szCs w:val="21"/>
              </w:rPr>
            </w:pPr>
            <w:r w:rsidRPr="00560009">
              <w:rPr>
                <w:rFonts w:ascii="楷体_GB2312" w:eastAsia="楷体_GB2312" w:hAnsi="楷体_GB2312" w:hint="eastAsia"/>
                <w:szCs w:val="21"/>
              </w:rPr>
              <w:t>建立港股通投资者适当性评估的实施办法和流程</w:t>
            </w:r>
          </w:p>
        </w:tc>
      </w:tr>
      <w:tr w:rsidR="008046B3" w:rsidRPr="00560009" w:rsidTr="008046B3">
        <w:trPr>
          <w:cantSplit/>
          <w:jc w:val="center"/>
        </w:trPr>
        <w:tc>
          <w:tcPr>
            <w:tcW w:w="1103" w:type="dxa"/>
            <w:vMerge/>
            <w:tcBorders>
              <w:left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left"/>
              <w:textAlignment w:val="center"/>
              <w:rPr>
                <w:rFonts w:ascii="楷体_GB2312" w:eastAsia="楷体_GB2312" w:hAnsi="楷体_GB2312"/>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3</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szCs w:val="21"/>
              </w:rPr>
            </w:pPr>
            <w:r w:rsidRPr="00560009">
              <w:rPr>
                <w:rFonts w:ascii="楷体_GB2312" w:eastAsia="楷体_GB2312" w:hAnsi="楷体_GB2312" w:hint="eastAsia"/>
                <w:szCs w:val="21"/>
              </w:rPr>
              <w:t>建立评估投资者对港股投资规则熟悉程度的操作流程和方案</w:t>
            </w:r>
          </w:p>
        </w:tc>
      </w:tr>
      <w:tr w:rsidR="008046B3" w:rsidRPr="00560009" w:rsidTr="008046B3">
        <w:trPr>
          <w:cantSplit/>
          <w:jc w:val="center"/>
        </w:trPr>
        <w:tc>
          <w:tcPr>
            <w:tcW w:w="1103" w:type="dxa"/>
            <w:vMerge/>
            <w:tcBorders>
              <w:left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left"/>
              <w:textAlignment w:val="center"/>
              <w:rPr>
                <w:rFonts w:ascii="楷体_GB2312" w:eastAsia="楷体_GB2312" w:hAnsi="楷体_GB2312"/>
                <w:b/>
                <w:color w:val="000000"/>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4</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建立对投资者后续评估等持续管理制度</w:t>
            </w:r>
          </w:p>
        </w:tc>
      </w:tr>
      <w:tr w:rsidR="008046B3" w:rsidRPr="00560009" w:rsidTr="008046B3">
        <w:trPr>
          <w:cantSplit/>
          <w:jc w:val="center"/>
        </w:trPr>
        <w:tc>
          <w:tcPr>
            <w:tcW w:w="1103" w:type="dxa"/>
            <w:vMerge w:val="restart"/>
            <w:tcBorders>
              <w:top w:val="single" w:sz="4" w:space="0" w:color="auto"/>
              <w:left w:val="single" w:sz="4" w:space="0" w:color="auto"/>
              <w:right w:val="single" w:sz="4" w:space="0" w:color="auto"/>
            </w:tcBorders>
            <w:vAlign w:val="center"/>
          </w:tcPr>
          <w:p w:rsidR="008046B3" w:rsidRPr="00560009" w:rsidRDefault="008046B3" w:rsidP="005377BA">
            <w:pPr>
              <w:autoSpaceDN w:val="0"/>
              <w:jc w:val="left"/>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建立完整的港股通投资者教育工作机制</w:t>
            </w: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5</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有一套港股通投资者教育工作的总体部署和工作计划</w:t>
            </w:r>
          </w:p>
        </w:tc>
      </w:tr>
      <w:tr w:rsidR="008046B3" w:rsidRPr="00560009" w:rsidTr="008046B3">
        <w:trPr>
          <w:cantSplit/>
          <w:jc w:val="center"/>
        </w:trPr>
        <w:tc>
          <w:tcPr>
            <w:tcW w:w="1103" w:type="dxa"/>
            <w:vMerge/>
            <w:tcBorders>
              <w:left w:val="single" w:sz="4" w:space="0" w:color="auto"/>
              <w:right w:val="single" w:sz="4" w:space="0" w:color="auto"/>
            </w:tcBorders>
            <w:vAlign w:val="center"/>
          </w:tcPr>
          <w:p w:rsidR="008046B3" w:rsidRPr="00560009" w:rsidRDefault="008046B3" w:rsidP="005377BA">
            <w:pPr>
              <w:widowControl/>
              <w:jc w:val="left"/>
              <w:rPr>
                <w:rFonts w:ascii="楷体_GB2312" w:eastAsia="楷体_GB2312" w:hAnsi="楷体_GB2312"/>
                <w:b/>
                <w:color w:val="000000"/>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6</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总部有港股通业务投资者教育联系人统筹投资者教育工作</w:t>
            </w:r>
          </w:p>
        </w:tc>
      </w:tr>
      <w:tr w:rsidR="008046B3" w:rsidRPr="00560009" w:rsidTr="008046B3">
        <w:trPr>
          <w:cantSplit/>
          <w:jc w:val="center"/>
        </w:trPr>
        <w:tc>
          <w:tcPr>
            <w:tcW w:w="1103" w:type="dxa"/>
            <w:vMerge/>
            <w:tcBorders>
              <w:left w:val="single" w:sz="4" w:space="0" w:color="auto"/>
              <w:right w:val="single" w:sz="4" w:space="0" w:color="auto"/>
            </w:tcBorders>
            <w:vAlign w:val="center"/>
          </w:tcPr>
          <w:p w:rsidR="008046B3" w:rsidRPr="00560009" w:rsidRDefault="008046B3" w:rsidP="005377BA">
            <w:pPr>
              <w:widowControl/>
              <w:jc w:val="left"/>
              <w:rPr>
                <w:rFonts w:ascii="楷体_GB2312" w:eastAsia="楷体_GB2312" w:hAnsi="楷体_GB2312"/>
                <w:b/>
                <w:color w:val="000000"/>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7</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有计划地制作、分发宣传折页、一本通等资料，通过有效手段宣传本所港股通投教专区及微信公众平台</w:t>
            </w:r>
          </w:p>
        </w:tc>
      </w:tr>
      <w:tr w:rsidR="008046B3" w:rsidRPr="00560009" w:rsidTr="008046B3">
        <w:trPr>
          <w:cantSplit/>
          <w:jc w:val="center"/>
        </w:trPr>
        <w:tc>
          <w:tcPr>
            <w:tcW w:w="1103" w:type="dxa"/>
            <w:vMerge/>
            <w:tcBorders>
              <w:left w:val="single" w:sz="4" w:space="0" w:color="auto"/>
              <w:bottom w:val="single" w:sz="4" w:space="0" w:color="auto"/>
              <w:right w:val="single" w:sz="4" w:space="0" w:color="auto"/>
            </w:tcBorders>
            <w:vAlign w:val="center"/>
          </w:tcPr>
          <w:p w:rsidR="008046B3" w:rsidRPr="00560009" w:rsidRDefault="008046B3" w:rsidP="005377BA">
            <w:pPr>
              <w:widowControl/>
              <w:jc w:val="left"/>
              <w:rPr>
                <w:rFonts w:ascii="楷体_GB2312" w:eastAsia="楷体_GB2312" w:hAnsi="楷体_GB2312"/>
                <w:b/>
                <w:color w:val="000000"/>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8</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在公司（包括总部、分支机构、营业部）持续开展面向讲师或投顾人员的港股通专题培训2场以上</w:t>
            </w:r>
          </w:p>
        </w:tc>
      </w:tr>
      <w:tr w:rsidR="008046B3" w:rsidRPr="00560009" w:rsidTr="008046B3">
        <w:trPr>
          <w:cantSplit/>
          <w:jc w:val="center"/>
        </w:trPr>
        <w:tc>
          <w:tcPr>
            <w:tcW w:w="1103" w:type="dxa"/>
            <w:vMerge w:val="restart"/>
            <w:tcBorders>
              <w:top w:val="single" w:sz="4" w:space="0" w:color="auto"/>
              <w:left w:val="single" w:sz="4" w:space="0" w:color="auto"/>
              <w:right w:val="single" w:sz="4" w:space="0" w:color="auto"/>
            </w:tcBorders>
            <w:vAlign w:val="center"/>
          </w:tcPr>
          <w:p w:rsidR="008046B3" w:rsidRPr="00560009" w:rsidRDefault="008046B3" w:rsidP="005377BA">
            <w:pPr>
              <w:jc w:val="left"/>
              <w:rPr>
                <w:rFonts w:ascii="楷体_GB2312" w:eastAsia="楷体_GB2312" w:hAnsi="楷体_GB2312"/>
                <w:b/>
                <w:color w:val="000000"/>
                <w:szCs w:val="21"/>
              </w:rPr>
            </w:pPr>
            <w:r w:rsidRPr="00560009">
              <w:rPr>
                <w:rFonts w:ascii="楷体_GB2312" w:eastAsia="楷体_GB2312" w:hAnsi="楷体_GB2312" w:hint="eastAsia"/>
                <w:b/>
                <w:color w:val="000000"/>
                <w:szCs w:val="21"/>
              </w:rPr>
              <w:t>加强对营业部一线员工的港股通知识培育</w:t>
            </w: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9</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加强营业部的港股通业务人才队伍建设，明确营业部员工学习要求</w:t>
            </w:r>
          </w:p>
        </w:tc>
      </w:tr>
      <w:tr w:rsidR="008046B3" w:rsidRPr="00560009" w:rsidTr="008046B3">
        <w:trPr>
          <w:cantSplit/>
          <w:jc w:val="center"/>
        </w:trPr>
        <w:tc>
          <w:tcPr>
            <w:tcW w:w="1103" w:type="dxa"/>
            <w:vMerge/>
            <w:tcBorders>
              <w:left w:val="single" w:sz="4" w:space="0" w:color="auto"/>
              <w:right w:val="single" w:sz="4" w:space="0" w:color="auto"/>
            </w:tcBorders>
            <w:vAlign w:val="center"/>
          </w:tcPr>
          <w:p w:rsidR="008046B3" w:rsidRPr="00560009" w:rsidRDefault="008046B3" w:rsidP="005377BA">
            <w:pPr>
              <w:widowControl/>
              <w:jc w:val="left"/>
              <w:rPr>
                <w:rFonts w:ascii="楷体_GB2312" w:eastAsia="楷体_GB2312" w:hAnsi="楷体_GB2312"/>
                <w:b/>
                <w:color w:val="000000"/>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10</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拟开展港股通经纪业务的营业部应当至少有2名能够为投资者熟练解答港股通投资常见问题的工作人员</w:t>
            </w:r>
          </w:p>
        </w:tc>
      </w:tr>
      <w:tr w:rsidR="008046B3" w:rsidRPr="00560009" w:rsidTr="008046B3">
        <w:trPr>
          <w:cantSplit/>
          <w:jc w:val="center"/>
        </w:trPr>
        <w:tc>
          <w:tcPr>
            <w:tcW w:w="1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集中培育潜在合格投资者</w:t>
            </w:r>
          </w:p>
        </w:tc>
        <w:tc>
          <w:tcPr>
            <w:tcW w:w="70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jc w:val="center"/>
              <w:textAlignment w:val="center"/>
              <w:rPr>
                <w:rFonts w:ascii="楷体_GB2312" w:eastAsia="楷体_GB2312" w:hAnsi="楷体_GB2312"/>
                <w:b/>
                <w:color w:val="000000"/>
                <w:szCs w:val="21"/>
              </w:rPr>
            </w:pPr>
            <w:r w:rsidRPr="00560009">
              <w:rPr>
                <w:rFonts w:ascii="楷体_GB2312" w:eastAsia="楷体_GB2312" w:hAnsi="楷体_GB2312" w:hint="eastAsia"/>
                <w:b/>
                <w:color w:val="000000"/>
                <w:szCs w:val="21"/>
              </w:rPr>
              <w:t>11</w:t>
            </w:r>
          </w:p>
        </w:tc>
        <w:tc>
          <w:tcPr>
            <w:tcW w:w="65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46B3" w:rsidRPr="00560009" w:rsidRDefault="008046B3" w:rsidP="005377BA">
            <w:pPr>
              <w:autoSpaceDN w:val="0"/>
              <w:textAlignment w:val="center"/>
              <w:rPr>
                <w:rFonts w:ascii="楷体_GB2312" w:eastAsia="楷体_GB2312" w:hAnsi="楷体_GB2312"/>
                <w:color w:val="000000"/>
                <w:szCs w:val="21"/>
              </w:rPr>
            </w:pPr>
            <w:r w:rsidRPr="00560009">
              <w:rPr>
                <w:rFonts w:ascii="楷体_GB2312" w:eastAsia="楷体_GB2312" w:hAnsi="楷体_GB2312" w:hint="eastAsia"/>
                <w:color w:val="000000"/>
                <w:szCs w:val="21"/>
              </w:rPr>
              <w:t>持续开展面向港股通业务潜在合格投资者的培训和投资者教育</w:t>
            </w:r>
          </w:p>
        </w:tc>
      </w:tr>
    </w:tbl>
    <w:p w:rsidR="00273616" w:rsidRPr="002746FB" w:rsidRDefault="00273616" w:rsidP="00273616"/>
    <w:p w:rsidR="00273616" w:rsidRPr="00273616" w:rsidRDefault="00273616"/>
    <w:sectPr w:rsidR="00273616" w:rsidRPr="00273616" w:rsidSect="00DD1910">
      <w:footerReference w:type="even" r:id="rId10"/>
      <w:footerReference w:type="default" r:id="rId11"/>
      <w:pgSz w:w="11906" w:h="16838"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51" w:rsidRDefault="009D4751" w:rsidP="004C4360">
      <w:r>
        <w:separator/>
      </w:r>
    </w:p>
  </w:endnote>
  <w:endnote w:type="continuationSeparator" w:id="0">
    <w:p w:rsidR="009D4751" w:rsidRDefault="009D4751" w:rsidP="004C4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16" w:rsidRPr="00560009" w:rsidRDefault="00273616" w:rsidP="00343640">
    <w:pPr>
      <w:pStyle w:val="a3"/>
      <w:jc w:val="both"/>
      <w:rPr>
        <w:rFonts w:ascii="仿宋_GB2312" w:eastAsia="仿宋_GB2312"/>
        <w:sz w:val="30"/>
        <w:szCs w:val="30"/>
      </w:rPr>
    </w:pPr>
    <w:r w:rsidRPr="00560009">
      <w:rPr>
        <w:rFonts w:ascii="仿宋_GB2312" w:eastAsia="仿宋_GB2312" w:hint="eastAsia"/>
        <w:sz w:val="30"/>
        <w:szCs w:val="30"/>
      </w:rPr>
      <w:t>-</w:t>
    </w:r>
    <w:r w:rsidR="005A119A" w:rsidRPr="00560009">
      <w:rPr>
        <w:rStyle w:val="a4"/>
        <w:rFonts w:ascii="仿宋_GB2312" w:eastAsia="仿宋_GB2312" w:hint="eastAsia"/>
        <w:sz w:val="30"/>
        <w:szCs w:val="30"/>
      </w:rPr>
      <w:fldChar w:fldCharType="begin"/>
    </w:r>
    <w:r w:rsidRPr="00560009">
      <w:rPr>
        <w:rStyle w:val="a4"/>
        <w:rFonts w:ascii="仿宋_GB2312" w:eastAsia="仿宋_GB2312" w:hint="eastAsia"/>
        <w:sz w:val="30"/>
        <w:szCs w:val="30"/>
      </w:rPr>
      <w:instrText xml:space="preserve"> PAGE </w:instrText>
    </w:r>
    <w:r w:rsidR="005A119A" w:rsidRPr="00560009">
      <w:rPr>
        <w:rStyle w:val="a4"/>
        <w:rFonts w:ascii="仿宋_GB2312" w:eastAsia="仿宋_GB2312" w:hint="eastAsia"/>
        <w:sz w:val="30"/>
        <w:szCs w:val="30"/>
      </w:rPr>
      <w:fldChar w:fldCharType="separate"/>
    </w:r>
    <w:r>
      <w:rPr>
        <w:rStyle w:val="a4"/>
        <w:rFonts w:ascii="仿宋_GB2312" w:eastAsia="仿宋_GB2312"/>
        <w:noProof/>
        <w:sz w:val="30"/>
        <w:szCs w:val="30"/>
      </w:rPr>
      <w:t>4</w:t>
    </w:r>
    <w:r w:rsidR="005A119A" w:rsidRPr="00560009">
      <w:rPr>
        <w:rStyle w:val="a4"/>
        <w:rFonts w:ascii="仿宋_GB2312" w:eastAsia="仿宋_GB2312" w:hint="eastAsia"/>
        <w:sz w:val="30"/>
        <w:szCs w:val="30"/>
      </w:rPr>
      <w:fldChar w:fldCharType="end"/>
    </w:r>
    <w:r w:rsidRPr="00560009">
      <w:rPr>
        <w:rStyle w:val="a4"/>
        <w:rFonts w:ascii="仿宋_GB2312" w:eastAsia="仿宋_GB2312" w:hint="eastAsia"/>
        <w:sz w:val="30"/>
        <w:szCs w:val="30"/>
      </w:rPr>
      <w:t>-</w:t>
    </w:r>
  </w:p>
  <w:p w:rsidR="00273616" w:rsidRDefault="002736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16" w:rsidRPr="00560009" w:rsidRDefault="00273616" w:rsidP="00343640">
    <w:pPr>
      <w:pStyle w:val="a3"/>
      <w:jc w:val="right"/>
      <w:rPr>
        <w:rFonts w:ascii="仿宋_GB2312" w:eastAsia="仿宋_GB2312"/>
        <w:sz w:val="30"/>
        <w:szCs w:val="30"/>
      </w:rPr>
    </w:pPr>
    <w:r w:rsidRPr="00560009">
      <w:rPr>
        <w:rFonts w:ascii="仿宋_GB2312" w:eastAsia="仿宋_GB2312" w:hint="eastAsia"/>
        <w:sz w:val="30"/>
        <w:szCs w:val="30"/>
      </w:rPr>
      <w:t>-</w:t>
    </w:r>
    <w:r w:rsidR="005A119A" w:rsidRPr="00560009">
      <w:rPr>
        <w:rStyle w:val="a4"/>
        <w:rFonts w:ascii="仿宋_GB2312" w:eastAsia="仿宋_GB2312" w:hint="eastAsia"/>
        <w:sz w:val="30"/>
        <w:szCs w:val="30"/>
      </w:rPr>
      <w:fldChar w:fldCharType="begin"/>
    </w:r>
    <w:r w:rsidRPr="00560009">
      <w:rPr>
        <w:rStyle w:val="a4"/>
        <w:rFonts w:ascii="仿宋_GB2312" w:eastAsia="仿宋_GB2312" w:hint="eastAsia"/>
        <w:sz w:val="30"/>
        <w:szCs w:val="30"/>
      </w:rPr>
      <w:instrText xml:space="preserve"> PAGE </w:instrText>
    </w:r>
    <w:r w:rsidR="005A119A" w:rsidRPr="00560009">
      <w:rPr>
        <w:rStyle w:val="a4"/>
        <w:rFonts w:ascii="仿宋_GB2312" w:eastAsia="仿宋_GB2312" w:hint="eastAsia"/>
        <w:sz w:val="30"/>
        <w:szCs w:val="30"/>
      </w:rPr>
      <w:fldChar w:fldCharType="separate"/>
    </w:r>
    <w:r w:rsidR="009D4751">
      <w:rPr>
        <w:rStyle w:val="a4"/>
        <w:rFonts w:ascii="仿宋_GB2312" w:eastAsia="仿宋_GB2312"/>
        <w:noProof/>
        <w:sz w:val="30"/>
        <w:szCs w:val="30"/>
      </w:rPr>
      <w:t>1</w:t>
    </w:r>
    <w:r w:rsidR="005A119A" w:rsidRPr="00560009">
      <w:rPr>
        <w:rStyle w:val="a4"/>
        <w:rFonts w:ascii="仿宋_GB2312" w:eastAsia="仿宋_GB2312" w:hint="eastAsia"/>
        <w:sz w:val="30"/>
        <w:szCs w:val="30"/>
      </w:rPr>
      <w:fldChar w:fldCharType="end"/>
    </w:r>
    <w:r w:rsidRPr="00560009">
      <w:rPr>
        <w:rStyle w:val="a4"/>
        <w:rFonts w:ascii="仿宋_GB2312" w:eastAsia="仿宋_GB2312" w:hint="eastAsia"/>
        <w:sz w:val="30"/>
        <w:szCs w:val="3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10" w:rsidRDefault="009D4751" w:rsidP="00DD1910">
    <w:pPr>
      <w:pStyle w:val="a3"/>
      <w:framePr w:wrap="around" w:vAnchor="text" w:hAnchor="margin" w:xAlign="center" w:y="1"/>
      <w:rPr>
        <w:rStyle w:val="a4"/>
      </w:rPr>
    </w:pPr>
  </w:p>
  <w:p w:rsidR="00DD1910" w:rsidRDefault="00B379C5">
    <w:pPr>
      <w:pStyle w:val="a3"/>
    </w:pPr>
    <w:r>
      <w:rPr>
        <w:rFonts w:ascii="仿宋_GB2312" w:eastAsia="仿宋_GB2312" w:hint="eastAsia"/>
        <w:bCs/>
        <w:sz w:val="28"/>
      </w:rPr>
      <w:t>－</w:t>
    </w:r>
    <w:r w:rsidR="005A119A">
      <w:rPr>
        <w:sz w:val="28"/>
      </w:rPr>
      <w:fldChar w:fldCharType="begin"/>
    </w:r>
    <w:r>
      <w:rPr>
        <w:sz w:val="28"/>
      </w:rPr>
      <w:instrText xml:space="preserve"> PAGE </w:instrText>
    </w:r>
    <w:r w:rsidR="005A119A">
      <w:rPr>
        <w:sz w:val="28"/>
      </w:rPr>
      <w:fldChar w:fldCharType="separate"/>
    </w:r>
    <w:r>
      <w:rPr>
        <w:noProof/>
        <w:sz w:val="28"/>
      </w:rPr>
      <w:t>2</w:t>
    </w:r>
    <w:r w:rsidR="005A119A">
      <w:rPr>
        <w:sz w:val="28"/>
      </w:rPr>
      <w:fldChar w:fldCharType="end"/>
    </w:r>
    <w:r>
      <w:rPr>
        <w:rFonts w:ascii="仿宋_GB2312" w:eastAsia="仿宋_GB2312" w:hint="eastAsia"/>
        <w:bCs/>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10" w:rsidRDefault="009D4751" w:rsidP="00DD1910">
    <w:pPr>
      <w:pStyle w:val="a3"/>
      <w:framePr w:wrap="around" w:vAnchor="text" w:hAnchor="margin" w:xAlign="center" w:y="1"/>
      <w:jc w:val="center"/>
      <w:rPr>
        <w:rStyle w:val="a4"/>
      </w:rPr>
    </w:pPr>
  </w:p>
  <w:p w:rsidR="00DD1910" w:rsidRDefault="00B379C5" w:rsidP="00DD1910">
    <w:pPr>
      <w:pStyle w:val="a3"/>
      <w:jc w:val="right"/>
    </w:pPr>
    <w:r>
      <w:rPr>
        <w:rFonts w:ascii="仿宋_GB2312" w:eastAsia="仿宋_GB2312" w:hint="eastAsia"/>
        <w:bCs/>
        <w:sz w:val="28"/>
      </w:rPr>
      <w:t>－</w:t>
    </w:r>
    <w:r w:rsidR="005A119A">
      <w:rPr>
        <w:sz w:val="28"/>
      </w:rPr>
      <w:fldChar w:fldCharType="begin"/>
    </w:r>
    <w:r>
      <w:rPr>
        <w:sz w:val="28"/>
      </w:rPr>
      <w:instrText xml:space="preserve"> PAGE </w:instrText>
    </w:r>
    <w:r w:rsidR="005A119A">
      <w:rPr>
        <w:sz w:val="28"/>
      </w:rPr>
      <w:fldChar w:fldCharType="separate"/>
    </w:r>
    <w:r w:rsidR="00524FA2">
      <w:rPr>
        <w:noProof/>
        <w:sz w:val="28"/>
      </w:rPr>
      <w:t>7</w:t>
    </w:r>
    <w:r w:rsidR="005A119A">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51" w:rsidRDefault="009D4751" w:rsidP="004C4360">
      <w:r>
        <w:separator/>
      </w:r>
    </w:p>
  </w:footnote>
  <w:footnote w:type="continuationSeparator" w:id="0">
    <w:p w:rsidR="009D4751" w:rsidRDefault="009D4751" w:rsidP="004C4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16" w:rsidRDefault="00273616">
    <w:pPr>
      <w:pStyle w:val="aa"/>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489"/>
    <w:multiLevelType w:val="hybridMultilevel"/>
    <w:tmpl w:val="411EAE8C"/>
    <w:lvl w:ilvl="0" w:tplc="B2563876">
      <w:start w:val="1"/>
      <w:numFmt w:val="japaneseCounting"/>
      <w:lvlText w:val="第%1章"/>
      <w:lvlJc w:val="left"/>
      <w:pPr>
        <w:ind w:left="1125" w:hanging="112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B9F"/>
    <w:rsid w:val="00036C05"/>
    <w:rsid w:val="00074A1A"/>
    <w:rsid w:val="0009153C"/>
    <w:rsid w:val="000B4268"/>
    <w:rsid w:val="0018777F"/>
    <w:rsid w:val="001A57B3"/>
    <w:rsid w:val="001E0C80"/>
    <w:rsid w:val="00273616"/>
    <w:rsid w:val="002B7F43"/>
    <w:rsid w:val="00320AA3"/>
    <w:rsid w:val="00375269"/>
    <w:rsid w:val="003A5857"/>
    <w:rsid w:val="003B4C87"/>
    <w:rsid w:val="004A7D8A"/>
    <w:rsid w:val="004B6778"/>
    <w:rsid w:val="004C4360"/>
    <w:rsid w:val="004E220F"/>
    <w:rsid w:val="004E4BDD"/>
    <w:rsid w:val="0051710E"/>
    <w:rsid w:val="00520370"/>
    <w:rsid w:val="00524FA2"/>
    <w:rsid w:val="00551C16"/>
    <w:rsid w:val="00553CFE"/>
    <w:rsid w:val="00571ED6"/>
    <w:rsid w:val="005A119A"/>
    <w:rsid w:val="00630E32"/>
    <w:rsid w:val="00663495"/>
    <w:rsid w:val="006B2310"/>
    <w:rsid w:val="006E2297"/>
    <w:rsid w:val="00706207"/>
    <w:rsid w:val="007C6F39"/>
    <w:rsid w:val="007E6B9F"/>
    <w:rsid w:val="008046B3"/>
    <w:rsid w:val="00842C7D"/>
    <w:rsid w:val="008554B0"/>
    <w:rsid w:val="00885BC6"/>
    <w:rsid w:val="008A3FC7"/>
    <w:rsid w:val="009122EE"/>
    <w:rsid w:val="00927C31"/>
    <w:rsid w:val="0094103F"/>
    <w:rsid w:val="009C0A3A"/>
    <w:rsid w:val="009D4751"/>
    <w:rsid w:val="00A4667E"/>
    <w:rsid w:val="00A674EB"/>
    <w:rsid w:val="00B15DAC"/>
    <w:rsid w:val="00B37543"/>
    <w:rsid w:val="00B379C5"/>
    <w:rsid w:val="00C24275"/>
    <w:rsid w:val="00C5593F"/>
    <w:rsid w:val="00C579DE"/>
    <w:rsid w:val="00C83644"/>
    <w:rsid w:val="00D21AE5"/>
    <w:rsid w:val="00D27B8E"/>
    <w:rsid w:val="00E717AE"/>
    <w:rsid w:val="00E809F1"/>
    <w:rsid w:val="00EB3C10"/>
    <w:rsid w:val="00EE44BA"/>
    <w:rsid w:val="00F25024"/>
    <w:rsid w:val="00F41E73"/>
    <w:rsid w:val="00F43FCD"/>
    <w:rsid w:val="00F66A96"/>
    <w:rsid w:val="00F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9F"/>
    <w:pPr>
      <w:widowControl w:val="0"/>
      <w:jc w:val="both"/>
    </w:pPr>
    <w:rPr>
      <w:rFonts w:ascii="Times New Roman" w:eastAsia="宋体" w:hAnsi="Times New Roman" w:cs="Times New Roman"/>
      <w:szCs w:val="20"/>
    </w:rPr>
  </w:style>
  <w:style w:type="paragraph" w:styleId="1">
    <w:name w:val="heading 1"/>
    <w:basedOn w:val="a"/>
    <w:next w:val="a"/>
    <w:link w:val="1Char"/>
    <w:qFormat/>
    <w:rsid w:val="00273616"/>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27361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73616"/>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qFormat/>
    <w:rsid w:val="00273616"/>
    <w:pPr>
      <w:keepNext/>
      <w:keepLines/>
      <w:tabs>
        <w:tab w:val="left" w:pos="432"/>
        <w:tab w:val="left" w:pos="864"/>
      </w:tabs>
      <w:spacing w:before="280" w:after="290" w:line="372" w:lineRule="auto"/>
      <w:ind w:left="864" w:hanging="864"/>
      <w:outlineLvl w:val="3"/>
    </w:pPr>
    <w:rPr>
      <w:rFonts w:ascii="Arial" w:eastAsia="黑体" w:hAnsi="Arial"/>
      <w:b/>
      <w:sz w:val="28"/>
      <w:szCs w:val="24"/>
    </w:rPr>
  </w:style>
  <w:style w:type="paragraph" w:styleId="5">
    <w:name w:val="heading 5"/>
    <w:basedOn w:val="a"/>
    <w:next w:val="a"/>
    <w:link w:val="5Char"/>
    <w:qFormat/>
    <w:rsid w:val="00273616"/>
    <w:pPr>
      <w:keepNext/>
      <w:keepLines/>
      <w:tabs>
        <w:tab w:val="left" w:pos="432"/>
        <w:tab w:val="left" w:pos="1008"/>
      </w:tabs>
      <w:spacing w:before="280" w:after="290" w:line="372" w:lineRule="auto"/>
      <w:ind w:left="1008" w:hanging="1008"/>
      <w:outlineLvl w:val="4"/>
    </w:pPr>
    <w:rPr>
      <w:b/>
      <w:sz w:val="28"/>
      <w:szCs w:val="24"/>
    </w:rPr>
  </w:style>
  <w:style w:type="paragraph" w:styleId="6">
    <w:name w:val="heading 6"/>
    <w:basedOn w:val="a"/>
    <w:next w:val="a"/>
    <w:link w:val="6Char"/>
    <w:qFormat/>
    <w:rsid w:val="00273616"/>
    <w:pPr>
      <w:keepNext/>
      <w:keepLines/>
      <w:tabs>
        <w:tab w:val="left" w:pos="432"/>
        <w:tab w:val="left" w:pos="1151"/>
      </w:tabs>
      <w:spacing w:before="240" w:after="64" w:line="317" w:lineRule="auto"/>
      <w:ind w:left="1151" w:hanging="1151"/>
      <w:outlineLvl w:val="5"/>
    </w:pPr>
    <w:rPr>
      <w:rFonts w:ascii="Arial" w:eastAsia="黑体" w:hAnsi="Arial"/>
      <w:b/>
      <w:sz w:val="24"/>
      <w:szCs w:val="24"/>
    </w:rPr>
  </w:style>
  <w:style w:type="paragraph" w:styleId="7">
    <w:name w:val="heading 7"/>
    <w:basedOn w:val="a"/>
    <w:next w:val="a"/>
    <w:link w:val="7Char"/>
    <w:qFormat/>
    <w:rsid w:val="00273616"/>
    <w:pPr>
      <w:keepNext/>
      <w:keepLines/>
      <w:tabs>
        <w:tab w:val="left" w:pos="432"/>
        <w:tab w:val="left" w:pos="1296"/>
      </w:tabs>
      <w:spacing w:before="240" w:after="64" w:line="317" w:lineRule="auto"/>
      <w:ind w:left="1296" w:hanging="1296"/>
      <w:outlineLvl w:val="6"/>
    </w:pPr>
    <w:rPr>
      <w:b/>
      <w:sz w:val="24"/>
      <w:szCs w:val="24"/>
    </w:rPr>
  </w:style>
  <w:style w:type="paragraph" w:styleId="8">
    <w:name w:val="heading 8"/>
    <w:basedOn w:val="a"/>
    <w:next w:val="a"/>
    <w:link w:val="8Char"/>
    <w:qFormat/>
    <w:rsid w:val="00273616"/>
    <w:pPr>
      <w:keepNext/>
      <w:keepLines/>
      <w:tabs>
        <w:tab w:val="left" w:pos="432"/>
        <w:tab w:val="left" w:pos="1440"/>
      </w:tabs>
      <w:spacing w:before="240" w:after="64" w:line="317" w:lineRule="auto"/>
      <w:ind w:left="1440" w:hanging="1440"/>
      <w:outlineLvl w:val="7"/>
    </w:pPr>
    <w:rPr>
      <w:rFonts w:ascii="Arial" w:eastAsia="黑体" w:hAnsi="Arial"/>
      <w:sz w:val="24"/>
      <w:szCs w:val="24"/>
    </w:rPr>
  </w:style>
  <w:style w:type="paragraph" w:styleId="9">
    <w:name w:val="heading 9"/>
    <w:basedOn w:val="a"/>
    <w:next w:val="a"/>
    <w:link w:val="9Char"/>
    <w:qFormat/>
    <w:rsid w:val="00273616"/>
    <w:pPr>
      <w:keepNext/>
      <w:keepLines/>
      <w:tabs>
        <w:tab w:val="left" w:pos="432"/>
        <w:tab w:val="left" w:pos="1583"/>
      </w:tabs>
      <w:spacing w:before="240" w:after="64" w:line="317" w:lineRule="auto"/>
      <w:ind w:left="1583" w:hanging="1583"/>
      <w:outlineLvl w:val="8"/>
    </w:pPr>
    <w:rPr>
      <w:rFonts w:ascii="Arial" w:eastAsia="黑体"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E6B9F"/>
    <w:pPr>
      <w:tabs>
        <w:tab w:val="center" w:pos="4153"/>
        <w:tab w:val="right" w:pos="8306"/>
      </w:tabs>
      <w:snapToGrid w:val="0"/>
      <w:jc w:val="left"/>
    </w:pPr>
    <w:rPr>
      <w:sz w:val="18"/>
      <w:szCs w:val="18"/>
    </w:rPr>
  </w:style>
  <w:style w:type="character" w:customStyle="1" w:styleId="Char">
    <w:name w:val="页脚 Char"/>
    <w:basedOn w:val="a0"/>
    <w:link w:val="a3"/>
    <w:rsid w:val="007E6B9F"/>
    <w:rPr>
      <w:rFonts w:ascii="Times New Roman" w:eastAsia="宋体" w:hAnsi="Times New Roman" w:cs="Times New Roman"/>
      <w:sz w:val="18"/>
      <w:szCs w:val="18"/>
    </w:rPr>
  </w:style>
  <w:style w:type="character" w:styleId="a4">
    <w:name w:val="page number"/>
    <w:basedOn w:val="a0"/>
    <w:rsid w:val="007E6B9F"/>
  </w:style>
  <w:style w:type="paragraph" w:styleId="a5">
    <w:name w:val="List Paragraph"/>
    <w:basedOn w:val="a"/>
    <w:qFormat/>
    <w:rsid w:val="007E6B9F"/>
    <w:pPr>
      <w:ind w:firstLineChars="200" w:firstLine="420"/>
    </w:pPr>
    <w:rPr>
      <w:rFonts w:ascii="Calibri" w:hAnsi="Calibri"/>
      <w:szCs w:val="22"/>
    </w:rPr>
  </w:style>
  <w:style w:type="paragraph" w:styleId="a6">
    <w:name w:val="Balloon Text"/>
    <w:basedOn w:val="a"/>
    <w:link w:val="Char0"/>
    <w:semiHidden/>
    <w:unhideWhenUsed/>
    <w:rsid w:val="007E6B9F"/>
    <w:rPr>
      <w:sz w:val="18"/>
      <w:szCs w:val="18"/>
    </w:rPr>
  </w:style>
  <w:style w:type="character" w:customStyle="1" w:styleId="Char0">
    <w:name w:val="批注框文本 Char"/>
    <w:basedOn w:val="a0"/>
    <w:link w:val="a6"/>
    <w:semiHidden/>
    <w:rsid w:val="007E6B9F"/>
    <w:rPr>
      <w:rFonts w:ascii="Times New Roman" w:eastAsia="宋体" w:hAnsi="Times New Roman" w:cs="Times New Roman"/>
      <w:sz w:val="18"/>
      <w:szCs w:val="18"/>
    </w:rPr>
  </w:style>
  <w:style w:type="character" w:styleId="a7">
    <w:name w:val="annotation reference"/>
    <w:basedOn w:val="a0"/>
    <w:semiHidden/>
    <w:unhideWhenUsed/>
    <w:rsid w:val="0051710E"/>
    <w:rPr>
      <w:sz w:val="21"/>
      <w:szCs w:val="21"/>
    </w:rPr>
  </w:style>
  <w:style w:type="paragraph" w:styleId="a8">
    <w:name w:val="annotation text"/>
    <w:basedOn w:val="a"/>
    <w:link w:val="Char1"/>
    <w:unhideWhenUsed/>
    <w:rsid w:val="0051710E"/>
    <w:pPr>
      <w:jc w:val="left"/>
    </w:pPr>
  </w:style>
  <w:style w:type="character" w:customStyle="1" w:styleId="Char1">
    <w:name w:val="批注文字 Char"/>
    <w:basedOn w:val="a0"/>
    <w:link w:val="a8"/>
    <w:rsid w:val="0051710E"/>
    <w:rPr>
      <w:rFonts w:ascii="Times New Roman" w:eastAsia="宋体" w:hAnsi="Times New Roman" w:cs="Times New Roman"/>
      <w:szCs w:val="20"/>
    </w:rPr>
  </w:style>
  <w:style w:type="paragraph" w:styleId="a9">
    <w:name w:val="annotation subject"/>
    <w:basedOn w:val="a8"/>
    <w:next w:val="a8"/>
    <w:link w:val="Char2"/>
    <w:unhideWhenUsed/>
    <w:rsid w:val="0051710E"/>
    <w:rPr>
      <w:b/>
      <w:bCs/>
    </w:rPr>
  </w:style>
  <w:style w:type="character" w:customStyle="1" w:styleId="Char2">
    <w:name w:val="批注主题 Char"/>
    <w:basedOn w:val="Char1"/>
    <w:link w:val="a9"/>
    <w:rsid w:val="0051710E"/>
    <w:rPr>
      <w:b/>
      <w:bCs/>
    </w:rPr>
  </w:style>
  <w:style w:type="paragraph" w:customStyle="1" w:styleId="Default">
    <w:name w:val="Default"/>
    <w:rsid w:val="00EB3C10"/>
    <w:pPr>
      <w:widowControl w:val="0"/>
      <w:autoSpaceDE w:val="0"/>
      <w:autoSpaceDN w:val="0"/>
      <w:adjustRightInd w:val="0"/>
    </w:pPr>
    <w:rPr>
      <w:rFonts w:ascii="Arial Unicode MS" w:eastAsia="Arial Unicode MS" w:cs="Arial Unicode MS"/>
      <w:color w:val="000000"/>
      <w:kern w:val="0"/>
      <w:sz w:val="24"/>
      <w:szCs w:val="24"/>
    </w:rPr>
  </w:style>
  <w:style w:type="character" w:customStyle="1" w:styleId="1Char">
    <w:name w:val="标题 1 Char"/>
    <w:basedOn w:val="a0"/>
    <w:link w:val="1"/>
    <w:rsid w:val="00273616"/>
    <w:rPr>
      <w:rFonts w:ascii="Calibri" w:eastAsia="宋体" w:hAnsi="Calibri" w:cs="Times New Roman"/>
      <w:b/>
      <w:bCs/>
      <w:kern w:val="44"/>
      <w:sz w:val="44"/>
      <w:szCs w:val="44"/>
    </w:rPr>
  </w:style>
  <w:style w:type="character" w:customStyle="1" w:styleId="2Char">
    <w:name w:val="标题 2 Char"/>
    <w:basedOn w:val="a0"/>
    <w:link w:val="2"/>
    <w:rsid w:val="00273616"/>
    <w:rPr>
      <w:rFonts w:ascii="Arial" w:eastAsia="黑体" w:hAnsi="Arial" w:cs="Times New Roman"/>
      <w:b/>
      <w:bCs/>
      <w:sz w:val="32"/>
      <w:szCs w:val="32"/>
    </w:rPr>
  </w:style>
  <w:style w:type="character" w:customStyle="1" w:styleId="3Char">
    <w:name w:val="标题 3 Char"/>
    <w:basedOn w:val="a0"/>
    <w:link w:val="3"/>
    <w:rsid w:val="00273616"/>
    <w:rPr>
      <w:rFonts w:ascii="Calibri" w:eastAsia="宋体" w:hAnsi="Calibri" w:cs="Times New Roman"/>
      <w:b/>
      <w:bCs/>
      <w:sz w:val="32"/>
      <w:szCs w:val="32"/>
    </w:rPr>
  </w:style>
  <w:style w:type="character" w:customStyle="1" w:styleId="4Char">
    <w:name w:val="标题 4 Char"/>
    <w:basedOn w:val="a0"/>
    <w:link w:val="4"/>
    <w:rsid w:val="00273616"/>
    <w:rPr>
      <w:rFonts w:ascii="Arial" w:eastAsia="黑体" w:hAnsi="Arial" w:cs="Times New Roman"/>
      <w:b/>
      <w:sz w:val="28"/>
      <w:szCs w:val="24"/>
    </w:rPr>
  </w:style>
  <w:style w:type="character" w:customStyle="1" w:styleId="5Char">
    <w:name w:val="标题 5 Char"/>
    <w:basedOn w:val="a0"/>
    <w:link w:val="5"/>
    <w:rsid w:val="00273616"/>
    <w:rPr>
      <w:rFonts w:ascii="Times New Roman" w:eastAsia="宋体" w:hAnsi="Times New Roman" w:cs="Times New Roman"/>
      <w:b/>
      <w:sz w:val="28"/>
      <w:szCs w:val="24"/>
    </w:rPr>
  </w:style>
  <w:style w:type="character" w:customStyle="1" w:styleId="6Char">
    <w:name w:val="标题 6 Char"/>
    <w:basedOn w:val="a0"/>
    <w:link w:val="6"/>
    <w:rsid w:val="00273616"/>
    <w:rPr>
      <w:rFonts w:ascii="Arial" w:eastAsia="黑体" w:hAnsi="Arial" w:cs="Times New Roman"/>
      <w:b/>
      <w:sz w:val="24"/>
      <w:szCs w:val="24"/>
    </w:rPr>
  </w:style>
  <w:style w:type="character" w:customStyle="1" w:styleId="7Char">
    <w:name w:val="标题 7 Char"/>
    <w:basedOn w:val="a0"/>
    <w:link w:val="7"/>
    <w:rsid w:val="00273616"/>
    <w:rPr>
      <w:rFonts w:ascii="Times New Roman" w:eastAsia="宋体" w:hAnsi="Times New Roman" w:cs="Times New Roman"/>
      <w:b/>
      <w:sz w:val="24"/>
      <w:szCs w:val="24"/>
    </w:rPr>
  </w:style>
  <w:style w:type="character" w:customStyle="1" w:styleId="8Char">
    <w:name w:val="标题 8 Char"/>
    <w:basedOn w:val="a0"/>
    <w:link w:val="8"/>
    <w:rsid w:val="00273616"/>
    <w:rPr>
      <w:rFonts w:ascii="Arial" w:eastAsia="黑体" w:hAnsi="Arial" w:cs="Times New Roman"/>
      <w:sz w:val="24"/>
      <w:szCs w:val="24"/>
    </w:rPr>
  </w:style>
  <w:style w:type="character" w:customStyle="1" w:styleId="9Char">
    <w:name w:val="标题 9 Char"/>
    <w:basedOn w:val="a0"/>
    <w:link w:val="9"/>
    <w:rsid w:val="00273616"/>
    <w:rPr>
      <w:rFonts w:ascii="Arial" w:eastAsia="黑体" w:hAnsi="Arial" w:cs="Times New Roman"/>
      <w:szCs w:val="24"/>
    </w:rPr>
  </w:style>
  <w:style w:type="paragraph" w:styleId="aa">
    <w:name w:val="header"/>
    <w:basedOn w:val="a"/>
    <w:link w:val="Char3"/>
    <w:unhideWhenUsed/>
    <w:rsid w:val="0027361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3">
    <w:name w:val="页眉 Char"/>
    <w:basedOn w:val="a0"/>
    <w:link w:val="aa"/>
    <w:rsid w:val="00273616"/>
    <w:rPr>
      <w:rFonts w:ascii="Calibri" w:eastAsia="宋体" w:hAnsi="Calibri" w:cs="Times New Roman"/>
      <w:sz w:val="18"/>
      <w:szCs w:val="18"/>
    </w:rPr>
  </w:style>
  <w:style w:type="paragraph" w:styleId="ab">
    <w:name w:val="Body Text Indent"/>
    <w:basedOn w:val="a"/>
    <w:link w:val="Char4"/>
    <w:rsid w:val="00273616"/>
    <w:pPr>
      <w:tabs>
        <w:tab w:val="left" w:pos="7020"/>
      </w:tabs>
      <w:spacing w:line="600" w:lineRule="exact"/>
      <w:ind w:firstLineChars="200" w:firstLine="600"/>
    </w:pPr>
    <w:rPr>
      <w:rFonts w:ascii="仿宋_GB2312" w:eastAsia="仿宋_GB2312"/>
      <w:sz w:val="30"/>
      <w:szCs w:val="24"/>
    </w:rPr>
  </w:style>
  <w:style w:type="character" w:customStyle="1" w:styleId="Char4">
    <w:name w:val="正文文本缩进 Char"/>
    <w:basedOn w:val="a0"/>
    <w:link w:val="ab"/>
    <w:rsid w:val="00273616"/>
    <w:rPr>
      <w:rFonts w:ascii="仿宋_GB2312" w:eastAsia="仿宋_GB2312" w:hAnsi="Times New Roman" w:cs="Times New Roman"/>
      <w:sz w:val="30"/>
      <w:szCs w:val="24"/>
    </w:rPr>
  </w:style>
  <w:style w:type="paragraph" w:styleId="ac">
    <w:name w:val="Date"/>
    <w:basedOn w:val="a"/>
    <w:next w:val="a"/>
    <w:link w:val="Char5"/>
    <w:rsid w:val="00273616"/>
    <w:rPr>
      <w:rFonts w:ascii="楷体_GB2312" w:eastAsia="楷体_GB2312"/>
      <w:sz w:val="32"/>
    </w:rPr>
  </w:style>
  <w:style w:type="character" w:customStyle="1" w:styleId="Char5">
    <w:name w:val="日期 Char"/>
    <w:basedOn w:val="a0"/>
    <w:link w:val="ac"/>
    <w:rsid w:val="00273616"/>
    <w:rPr>
      <w:rFonts w:ascii="楷体_GB2312" w:eastAsia="楷体_GB2312" w:hAnsi="Times New Roman" w:cs="Times New Roman"/>
      <w:sz w:val="32"/>
      <w:szCs w:val="20"/>
    </w:rPr>
  </w:style>
  <w:style w:type="paragraph" w:styleId="ad">
    <w:name w:val="Body Text"/>
    <w:basedOn w:val="a"/>
    <w:link w:val="Char6"/>
    <w:rsid w:val="00273616"/>
    <w:pPr>
      <w:spacing w:after="120"/>
    </w:pPr>
  </w:style>
  <w:style w:type="character" w:customStyle="1" w:styleId="Char6">
    <w:name w:val="正文文本 Char"/>
    <w:basedOn w:val="a0"/>
    <w:link w:val="ad"/>
    <w:rsid w:val="00273616"/>
    <w:rPr>
      <w:rFonts w:ascii="Times New Roman" w:eastAsia="宋体" w:hAnsi="Times New Roman" w:cs="Times New Roman"/>
      <w:szCs w:val="20"/>
    </w:rPr>
  </w:style>
  <w:style w:type="paragraph" w:customStyle="1" w:styleId="10">
    <w:name w:val="列出段落1"/>
    <w:basedOn w:val="a"/>
    <w:rsid w:val="00273616"/>
    <w:pPr>
      <w:ind w:firstLineChars="200" w:firstLine="420"/>
    </w:pPr>
    <w:rPr>
      <w:rFonts w:ascii="Calibri" w:hAnsi="Calibri"/>
    </w:rPr>
  </w:style>
  <w:style w:type="paragraph" w:styleId="11">
    <w:name w:val="toc 1"/>
    <w:basedOn w:val="a"/>
    <w:next w:val="a"/>
    <w:autoRedefine/>
    <w:rsid w:val="00273616"/>
    <w:rPr>
      <w:rFonts w:ascii="Calibri" w:hAnsi="Calibri"/>
      <w:szCs w:val="22"/>
    </w:rPr>
  </w:style>
  <w:style w:type="paragraph" w:styleId="20">
    <w:name w:val="toc 2"/>
    <w:basedOn w:val="a"/>
    <w:next w:val="a"/>
    <w:autoRedefine/>
    <w:rsid w:val="00273616"/>
    <w:pPr>
      <w:ind w:leftChars="200" w:left="420"/>
    </w:pPr>
    <w:rPr>
      <w:rFonts w:ascii="Calibri" w:hAnsi="Calibri"/>
      <w:szCs w:val="22"/>
    </w:rPr>
  </w:style>
  <w:style w:type="character" w:styleId="ae">
    <w:name w:val="Hyperlink"/>
    <w:basedOn w:val="a0"/>
    <w:rsid w:val="00273616"/>
    <w:rPr>
      <w:color w:val="0000FF"/>
      <w:u w:val="single"/>
    </w:rPr>
  </w:style>
  <w:style w:type="paragraph" w:customStyle="1" w:styleId="Char7">
    <w:name w:val="Char"/>
    <w:basedOn w:val="a"/>
    <w:rsid w:val="00273616"/>
    <w:rPr>
      <w:szCs w:val="24"/>
    </w:rPr>
  </w:style>
  <w:style w:type="paragraph" w:customStyle="1" w:styleId="12">
    <w:name w:val="样式1"/>
    <w:basedOn w:val="a"/>
    <w:link w:val="1Char0"/>
    <w:qFormat/>
    <w:rsid w:val="00273616"/>
    <w:pPr>
      <w:ind w:firstLineChars="200" w:firstLine="560"/>
    </w:pPr>
    <w:rPr>
      <w:rFonts w:ascii="仿宋_GB2312" w:eastAsia="仿宋_GB2312" w:hAnsi="仿宋"/>
      <w:bCs/>
      <w:sz w:val="28"/>
      <w:szCs w:val="28"/>
    </w:rPr>
  </w:style>
  <w:style w:type="character" w:customStyle="1" w:styleId="1Char0">
    <w:name w:val="样式1 Char"/>
    <w:basedOn w:val="a0"/>
    <w:link w:val="12"/>
    <w:rsid w:val="00273616"/>
    <w:rPr>
      <w:rFonts w:ascii="仿宋_GB2312" w:eastAsia="仿宋_GB2312" w:hAnsi="仿宋" w:cs="Times New Roman"/>
      <w:bCs/>
      <w:sz w:val="28"/>
      <w:szCs w:val="28"/>
    </w:rPr>
  </w:style>
  <w:style w:type="paragraph" w:styleId="af">
    <w:name w:val="footnote text"/>
    <w:basedOn w:val="a"/>
    <w:link w:val="Char8"/>
    <w:semiHidden/>
    <w:rsid w:val="00273616"/>
    <w:pPr>
      <w:snapToGrid w:val="0"/>
      <w:jc w:val="left"/>
    </w:pPr>
    <w:rPr>
      <w:rFonts w:ascii="Calibri" w:hAnsi="Calibri"/>
      <w:sz w:val="18"/>
      <w:szCs w:val="18"/>
    </w:rPr>
  </w:style>
  <w:style w:type="character" w:customStyle="1" w:styleId="Char8">
    <w:name w:val="脚注文本 Char"/>
    <w:basedOn w:val="a0"/>
    <w:link w:val="af"/>
    <w:semiHidden/>
    <w:rsid w:val="00273616"/>
    <w:rPr>
      <w:rFonts w:ascii="Calibri" w:eastAsia="宋体" w:hAnsi="Calibri" w:cs="Times New Roman"/>
      <w:sz w:val="18"/>
      <w:szCs w:val="18"/>
    </w:rPr>
  </w:style>
  <w:style w:type="paragraph" w:customStyle="1" w:styleId="21">
    <w:name w:val="列出段落2"/>
    <w:basedOn w:val="a"/>
    <w:link w:val="ListParagraphChar"/>
    <w:rsid w:val="00273616"/>
    <w:pPr>
      <w:ind w:firstLineChars="200" w:firstLine="420"/>
    </w:pPr>
    <w:rPr>
      <w:rFonts w:ascii="Calibri" w:hAnsi="Calibri"/>
      <w:kern w:val="0"/>
      <w:sz w:val="20"/>
    </w:rPr>
  </w:style>
  <w:style w:type="character" w:customStyle="1" w:styleId="ListParagraphChar">
    <w:name w:val="List Paragraph Char"/>
    <w:link w:val="21"/>
    <w:rsid w:val="00273616"/>
    <w:rPr>
      <w:rFonts w:ascii="Calibri" w:eastAsia="宋体" w:hAnsi="Calibri" w:cs="Times New Roman"/>
      <w:kern w:val="0"/>
      <w:sz w:val="20"/>
      <w:szCs w:val="20"/>
    </w:rPr>
  </w:style>
  <w:style w:type="paragraph" w:customStyle="1" w:styleId="ListParagraph1">
    <w:name w:val="List Paragraph1"/>
    <w:basedOn w:val="a"/>
    <w:rsid w:val="00273616"/>
    <w:pPr>
      <w:ind w:firstLineChars="200" w:firstLine="420"/>
    </w:pPr>
    <w:rPr>
      <w:rFonts w:ascii="Calibri" w:hAnsi="Calibri"/>
      <w:szCs w:val="22"/>
    </w:rPr>
  </w:style>
  <w:style w:type="paragraph" w:styleId="22">
    <w:name w:val="Body Text Indent 2"/>
    <w:basedOn w:val="a"/>
    <w:link w:val="2Char0"/>
    <w:rsid w:val="00273616"/>
    <w:pPr>
      <w:spacing w:after="120" w:line="480" w:lineRule="auto"/>
      <w:ind w:leftChars="200" w:left="420"/>
    </w:pPr>
  </w:style>
  <w:style w:type="character" w:customStyle="1" w:styleId="2Char0">
    <w:name w:val="正文文本缩进 2 Char"/>
    <w:basedOn w:val="a0"/>
    <w:link w:val="22"/>
    <w:rsid w:val="00273616"/>
    <w:rPr>
      <w:rFonts w:ascii="Times New Roman" w:eastAsia="宋体" w:hAnsi="Times New Roman" w:cs="Times New Roman"/>
      <w:szCs w:val="20"/>
    </w:rPr>
  </w:style>
  <w:style w:type="table" w:styleId="af0">
    <w:name w:val="Table Grid"/>
    <w:basedOn w:val="a1"/>
    <w:rsid w:val="0027361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9">
    <w:name w:val="Char Char9"/>
    <w:basedOn w:val="a0"/>
    <w:rsid w:val="00273616"/>
    <w:rPr>
      <w:rFonts w:eastAsia="宋体"/>
      <w:kern w:val="2"/>
      <w:sz w:val="18"/>
      <w:szCs w:val="18"/>
      <w:lang w:val="en-US" w:eastAsia="zh-CN" w:bidi="ar-SA"/>
    </w:rPr>
  </w:style>
  <w:style w:type="character" w:customStyle="1" w:styleId="Char10">
    <w:name w:val="批注文字 Char1"/>
    <w:basedOn w:val="a0"/>
    <w:uiPriority w:val="99"/>
    <w:semiHidden/>
    <w:rsid w:val="00273616"/>
    <w:rPr>
      <w:rFonts w:ascii="Times New Roman" w:eastAsia="宋体" w:hAnsi="Times New Roman" w:cs="Times New Roman"/>
      <w:szCs w:val="24"/>
    </w:rPr>
  </w:style>
  <w:style w:type="character" w:customStyle="1" w:styleId="Char11">
    <w:name w:val="批注主题 Char1"/>
    <w:basedOn w:val="Char10"/>
    <w:uiPriority w:val="99"/>
    <w:semiHidden/>
    <w:rsid w:val="00273616"/>
    <w:rPr>
      <w:b/>
      <w:bCs/>
    </w:rPr>
  </w:style>
  <w:style w:type="character" w:customStyle="1" w:styleId="Char9">
    <w:name w:val="文档结构图 Char"/>
    <w:basedOn w:val="a0"/>
    <w:link w:val="af1"/>
    <w:rsid w:val="00273616"/>
    <w:rPr>
      <w:rFonts w:ascii="宋体"/>
      <w:sz w:val="18"/>
      <w:szCs w:val="18"/>
    </w:rPr>
  </w:style>
  <w:style w:type="paragraph" w:styleId="af1">
    <w:name w:val="Document Map"/>
    <w:basedOn w:val="a"/>
    <w:link w:val="Char9"/>
    <w:rsid w:val="00273616"/>
    <w:rPr>
      <w:rFonts w:ascii="宋体" w:eastAsiaTheme="minorEastAsia" w:hAnsiTheme="minorHAnsi" w:cstheme="minorBidi"/>
      <w:sz w:val="18"/>
      <w:szCs w:val="18"/>
    </w:rPr>
  </w:style>
  <w:style w:type="character" w:customStyle="1" w:styleId="Char12">
    <w:name w:val="文档结构图 Char1"/>
    <w:basedOn w:val="a0"/>
    <w:link w:val="af1"/>
    <w:uiPriority w:val="99"/>
    <w:semiHidden/>
    <w:rsid w:val="00273616"/>
    <w:rPr>
      <w:rFonts w:ascii="宋体" w:eastAsia="宋体" w:hAnsi="Times New Roman" w:cs="Times New Roman"/>
      <w:sz w:val="18"/>
      <w:szCs w:val="18"/>
    </w:rPr>
  </w:style>
  <w:style w:type="character" w:customStyle="1" w:styleId="Chara">
    <w:name w:val="纯文本 Char"/>
    <w:basedOn w:val="a0"/>
    <w:link w:val="af2"/>
    <w:rsid w:val="00273616"/>
    <w:rPr>
      <w:rFonts w:ascii="宋体" w:hAnsi="Courier New"/>
      <w:szCs w:val="24"/>
    </w:rPr>
  </w:style>
  <w:style w:type="paragraph" w:styleId="af2">
    <w:name w:val="Plain Text"/>
    <w:basedOn w:val="a"/>
    <w:link w:val="Chara"/>
    <w:rsid w:val="00273616"/>
    <w:rPr>
      <w:rFonts w:ascii="宋体" w:eastAsiaTheme="minorEastAsia" w:hAnsi="Courier New" w:cstheme="minorBidi"/>
      <w:szCs w:val="24"/>
    </w:rPr>
  </w:style>
  <w:style w:type="character" w:customStyle="1" w:styleId="Char13">
    <w:name w:val="纯文本 Char1"/>
    <w:basedOn w:val="a0"/>
    <w:link w:val="af2"/>
    <w:uiPriority w:val="99"/>
    <w:semiHidden/>
    <w:rsid w:val="00273616"/>
    <w:rPr>
      <w:rFonts w:ascii="宋体" w:eastAsia="宋体" w:hAnsi="Courier New" w:cs="Courier New"/>
      <w:szCs w:val="21"/>
    </w:rPr>
  </w:style>
  <w:style w:type="paragraph" w:styleId="af3">
    <w:name w:val="Subtitle"/>
    <w:basedOn w:val="a"/>
    <w:next w:val="a"/>
    <w:link w:val="Charb"/>
    <w:qFormat/>
    <w:rsid w:val="00273616"/>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0"/>
    <w:link w:val="af3"/>
    <w:rsid w:val="00273616"/>
    <w:rPr>
      <w:rFonts w:ascii="Cambria" w:eastAsia="宋体" w:hAnsi="Cambria" w:cs="Times New Roman"/>
      <w:b/>
      <w:bCs/>
      <w:kern w:val="28"/>
      <w:sz w:val="32"/>
      <w:szCs w:val="32"/>
    </w:rPr>
  </w:style>
  <w:style w:type="paragraph" w:styleId="af4">
    <w:name w:val="Title"/>
    <w:basedOn w:val="a"/>
    <w:next w:val="a"/>
    <w:link w:val="Charc"/>
    <w:qFormat/>
    <w:rsid w:val="00273616"/>
    <w:pPr>
      <w:spacing w:before="240" w:after="60"/>
      <w:jc w:val="center"/>
      <w:outlineLvl w:val="0"/>
    </w:pPr>
    <w:rPr>
      <w:rFonts w:ascii="Cambria" w:hAnsi="Cambria"/>
      <w:b/>
      <w:bCs/>
      <w:sz w:val="32"/>
      <w:szCs w:val="32"/>
    </w:rPr>
  </w:style>
  <w:style w:type="character" w:customStyle="1" w:styleId="Charc">
    <w:name w:val="标题 Char"/>
    <w:basedOn w:val="a0"/>
    <w:link w:val="af4"/>
    <w:rsid w:val="00273616"/>
    <w:rPr>
      <w:rFonts w:ascii="Cambria" w:eastAsia="宋体" w:hAnsi="Cambria" w:cs="Times New Roman"/>
      <w:b/>
      <w:bCs/>
      <w:sz w:val="32"/>
      <w:szCs w:val="32"/>
    </w:rPr>
  </w:style>
  <w:style w:type="character" w:styleId="af5">
    <w:name w:val="Strong"/>
    <w:basedOn w:val="a0"/>
    <w:qFormat/>
    <w:rsid w:val="00273616"/>
    <w:rPr>
      <w:rFonts w:cs="Times New Roman"/>
      <w:b/>
    </w:rPr>
  </w:style>
  <w:style w:type="paragraph" w:customStyle="1" w:styleId="23">
    <w:name w:val="封面标准号2"/>
    <w:rsid w:val="00273616"/>
    <w:pPr>
      <w:spacing w:before="357" w:line="280" w:lineRule="exact"/>
      <w:jc w:val="right"/>
    </w:pPr>
    <w:rPr>
      <w:rFonts w:ascii="黑体" w:eastAsia="黑体" w:hAnsi="Times New Roman" w:cs="Times New Roman"/>
      <w:kern w:val="0"/>
      <w:sz w:val="28"/>
      <w:szCs w:val="28"/>
    </w:rPr>
  </w:style>
  <w:style w:type="paragraph" w:customStyle="1" w:styleId="20505">
    <w:name w:val="样式 标题 2 + 段前: 0.5 行 段后: 0.5 行"/>
    <w:rsid w:val="00273616"/>
    <w:pPr>
      <w:spacing w:before="156" w:after="156"/>
    </w:pPr>
    <w:rPr>
      <w:rFonts w:ascii="Times New Roman" w:eastAsia="宋体" w:hAnsi="Times New Roman" w:cs="宋体"/>
      <w:bCs/>
      <w:kern w:val="0"/>
      <w:sz w:val="20"/>
      <w:szCs w:val="20"/>
    </w:rPr>
  </w:style>
  <w:style w:type="paragraph" w:customStyle="1" w:styleId="af6">
    <w:name w:val="标准书眉_奇数页"/>
    <w:next w:val="a"/>
    <w:rsid w:val="00273616"/>
    <w:pPr>
      <w:tabs>
        <w:tab w:val="center" w:pos="4154"/>
        <w:tab w:val="right" w:pos="8306"/>
      </w:tabs>
      <w:spacing w:after="220"/>
      <w:jc w:val="right"/>
    </w:pPr>
    <w:rPr>
      <w:rFonts w:ascii="黑体" w:eastAsia="黑体" w:hAnsi="Times New Roman" w:cs="Times New Roman"/>
      <w:kern w:val="0"/>
      <w:szCs w:val="21"/>
    </w:rPr>
  </w:style>
  <w:style w:type="paragraph" w:customStyle="1" w:styleId="af7">
    <w:name w:val="封面标准名称"/>
    <w:rsid w:val="00273616"/>
    <w:pPr>
      <w:widowControl w:val="0"/>
      <w:spacing w:line="680" w:lineRule="exact"/>
      <w:jc w:val="center"/>
      <w:textAlignment w:val="center"/>
    </w:pPr>
    <w:rPr>
      <w:rFonts w:ascii="黑体" w:eastAsia="黑体" w:hAnsi="Times New Roman" w:cs="Times New Roman"/>
      <w:kern w:val="0"/>
      <w:sz w:val="52"/>
      <w:szCs w:val="20"/>
    </w:rPr>
  </w:style>
  <w:style w:type="character" w:customStyle="1" w:styleId="13">
    <w:name w:val="占位符文本1"/>
    <w:rsid w:val="00273616"/>
    <w:rPr>
      <w:color w:val="808080"/>
    </w:rPr>
  </w:style>
  <w:style w:type="paragraph" w:styleId="af8">
    <w:name w:val="No Spacing"/>
    <w:link w:val="Chard"/>
    <w:qFormat/>
    <w:rsid w:val="00273616"/>
    <w:rPr>
      <w:rFonts w:ascii="Calibri" w:eastAsia="宋体" w:hAnsi="Calibri" w:cs="Times New Roman"/>
      <w:kern w:val="0"/>
      <w:sz w:val="22"/>
    </w:rPr>
  </w:style>
  <w:style w:type="character" w:customStyle="1" w:styleId="Chard">
    <w:name w:val="无间隔 Char"/>
    <w:link w:val="af8"/>
    <w:locked/>
    <w:rsid w:val="00273616"/>
    <w:rPr>
      <w:rFonts w:ascii="Calibri" w:eastAsia="宋体" w:hAnsi="Calibri" w:cs="Times New Roman"/>
      <w:kern w:val="0"/>
      <w:sz w:val="22"/>
    </w:rPr>
  </w:style>
  <w:style w:type="character" w:styleId="af9">
    <w:name w:val="FollowedHyperlink"/>
    <w:basedOn w:val="a0"/>
    <w:rsid w:val="0027361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10</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蔡缘琍</cp:lastModifiedBy>
  <cp:lastPrinted>2021-08-30T01:58:00Z</cp:lastPrinted>
  <dcterms:created xsi:type="dcterms:W3CDTF">2021-08-03T03:46:00Z</dcterms:created>
  <dcterms:modified xsi:type="dcterms:W3CDTF">2022-07-04T01:40:00Z</dcterms:modified>
</cp:coreProperties>
</file>