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11"/>
          <w:rFonts w:hint="eastAsia" w:ascii="黑体" w:hAnsi="黑体" w:eastAsia="黑体"/>
          <w:sz w:val="36"/>
          <w:szCs w:val="36"/>
        </w:rPr>
      </w:pPr>
      <w:bookmarkStart w:id="1" w:name="_GoBack"/>
      <w:bookmarkStart w:id="0" w:name="_Toc356840131"/>
      <w:r>
        <w:rPr>
          <w:rStyle w:val="11"/>
          <w:rFonts w:hint="eastAsia" w:ascii="黑体" w:hAnsi="黑体" w:eastAsia="黑体"/>
          <w:sz w:val="36"/>
          <w:szCs w:val="36"/>
        </w:rPr>
        <w:t>第三十七号 上市公司投资者说明会预告公告</w:t>
      </w:r>
      <w:bookmarkEnd w:id="0"/>
    </w:p>
    <w:bookmarkEnd w:id="1"/>
    <w:p>
      <w:pPr>
        <w:spacing w:line="560" w:lineRule="exact"/>
        <w:rPr>
          <w:rFonts w:ascii="宋体" w:hAnsi="宋体"/>
          <w:b/>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snapToGrid w:val="0"/>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本所上市公司面向全体股东召开业绩说明会、现金分红说明会、风险说明会、重大事项说明会等投资者说明会的，适用本公告格式，公告标题可以根据说明会的具体类型相应调整。</w:t>
      </w:r>
    </w:p>
    <w:p>
      <w:pPr>
        <w:snapToGrid w:val="0"/>
        <w:spacing w:line="560" w:lineRule="exact"/>
        <w:jc w:val="center"/>
        <w:rPr>
          <w:rFonts w:hint="eastAsia" w:ascii="仿宋_GB2312" w:eastAsia="仿宋_GB2312"/>
          <w:color w:val="000000"/>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rPr>
          <w:rFonts w:hint="eastAsia" w:ascii="仿宋" w:hAnsi="仿宋" w:eastAsia="仿宋"/>
          <w:sz w:val="30"/>
          <w:szCs w:val="30"/>
        </w:rPr>
      </w:pPr>
    </w:p>
    <w:p>
      <w:pPr>
        <w:snapToGrid w:val="0"/>
        <w:spacing w:line="560" w:lineRule="exact"/>
        <w:jc w:val="center"/>
        <w:rPr>
          <w:rFonts w:hint="eastAsia" w:ascii="仿宋_GB2312" w:hAnsi="宋体" w:eastAsia="仿宋_GB2312" w:cs="黑体-WinCharSetFFFF-H"/>
          <w:kern w:val="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股份有限公司X</w:t>
      </w:r>
      <w:r>
        <w:rPr>
          <w:rFonts w:ascii="仿宋_GB2312" w:hAnsi="宋体" w:eastAsia="仿宋_GB2312"/>
          <w:color w:val="000000"/>
          <w:sz w:val="30"/>
          <w:szCs w:val="30"/>
        </w:rPr>
        <w:t>XXX</w:t>
      </w:r>
      <w:r>
        <w:rPr>
          <w:rFonts w:hint="eastAsia" w:ascii="仿宋_GB2312" w:hAnsi="宋体" w:eastAsia="仿宋_GB2312"/>
          <w:color w:val="000000"/>
          <w:sz w:val="30"/>
          <w:szCs w:val="30"/>
        </w:rPr>
        <w:t>说明会（写明具体类型）预告</w:t>
      </w:r>
      <w:r>
        <w:rPr>
          <w:rFonts w:hint="eastAsia" w:ascii="仿宋_GB2312" w:hAnsi="宋体" w:eastAsia="仿宋_GB2312" w:cs="黑体-WinCharSetFFFF-H"/>
          <w:kern w:val="0"/>
          <w:sz w:val="30"/>
          <w:szCs w:val="30"/>
        </w:rPr>
        <w:t>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rPr>
          <w:rFonts w:ascii="仿宋_GB2312" w:hAnsi="宋体" w:eastAsia="仿宋_GB2312"/>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0"/>
          <w:numId w:val="1"/>
        </w:numPr>
        <w:adjustRightInd w:val="0"/>
        <w:snapToGrid w:val="0"/>
        <w:spacing w:line="560" w:lineRule="exact"/>
        <w:jc w:val="left"/>
        <w:rPr>
          <w:rFonts w:ascii="仿宋_GB2312" w:eastAsia="仿宋_GB2312"/>
          <w:color w:val="000000"/>
          <w:sz w:val="30"/>
          <w:szCs w:val="30"/>
        </w:rPr>
      </w:pPr>
      <w:r>
        <w:rPr>
          <w:rFonts w:hint="eastAsia" w:ascii="仿宋_GB2312" w:eastAsia="仿宋_GB2312"/>
          <w:color w:val="000000"/>
          <w:sz w:val="30"/>
          <w:szCs w:val="30"/>
        </w:rPr>
        <w:t>会议召开时间</w:t>
      </w:r>
    </w:p>
    <w:p>
      <w:pPr>
        <w:numPr>
          <w:ilvl w:val="0"/>
          <w:numId w:val="1"/>
        </w:numPr>
        <w:adjustRightInd w:val="0"/>
        <w:snapToGrid w:val="0"/>
        <w:spacing w:line="560" w:lineRule="exact"/>
        <w:jc w:val="left"/>
        <w:rPr>
          <w:rFonts w:ascii="仿宋_GB2312" w:eastAsia="仿宋_GB2312"/>
          <w:color w:val="000000"/>
          <w:sz w:val="30"/>
          <w:szCs w:val="30"/>
        </w:rPr>
      </w:pPr>
      <w:r>
        <w:rPr>
          <w:rFonts w:hint="eastAsia" w:ascii="仿宋_GB2312" w:eastAsia="仿宋_GB2312"/>
          <w:color w:val="000000"/>
          <w:sz w:val="30"/>
          <w:szCs w:val="30"/>
        </w:rPr>
        <w:t>会议召开地点</w:t>
      </w:r>
    </w:p>
    <w:p>
      <w:pPr>
        <w:numPr>
          <w:ilvl w:val="0"/>
          <w:numId w:val="1"/>
        </w:numPr>
        <w:adjustRightInd w:val="0"/>
        <w:snapToGrid w:val="0"/>
        <w:spacing w:line="560" w:lineRule="exact"/>
        <w:jc w:val="left"/>
        <w:rPr>
          <w:rFonts w:ascii="仿宋_GB2312" w:eastAsia="仿宋_GB2312"/>
          <w:color w:val="000000"/>
          <w:sz w:val="30"/>
          <w:szCs w:val="30"/>
        </w:rPr>
      </w:pPr>
      <w:r>
        <w:rPr>
          <w:rFonts w:hint="eastAsia" w:ascii="仿宋_GB2312" w:eastAsia="仿宋_GB2312"/>
          <w:color w:val="000000"/>
          <w:sz w:val="30"/>
          <w:szCs w:val="30"/>
        </w:rPr>
        <w:t>会议召开方式</w:t>
      </w:r>
    </w:p>
    <w:p>
      <w:pPr>
        <w:numPr>
          <w:ilvl w:val="0"/>
          <w:numId w:val="1"/>
        </w:numPr>
        <w:adjustRightInd w:val="0"/>
        <w:snapToGrid w:val="0"/>
        <w:spacing w:line="560" w:lineRule="exact"/>
        <w:jc w:val="left"/>
        <w:rPr>
          <w:rFonts w:ascii="仿宋_GB2312" w:eastAsia="仿宋_GB2312"/>
          <w:color w:val="000000"/>
          <w:sz w:val="30"/>
          <w:szCs w:val="30"/>
        </w:rPr>
      </w:pPr>
      <w:r>
        <w:rPr>
          <w:rFonts w:hint="eastAsia" w:ascii="仿宋_GB2312" w:eastAsia="仿宋_GB2312"/>
          <w:color w:val="000000"/>
          <w:sz w:val="30"/>
          <w:szCs w:val="30"/>
        </w:rPr>
        <w:t>预征集投资者提问的相关安排，包括提问渠道、截止时间等</w:t>
      </w:r>
    </w:p>
    <w:p>
      <w:pPr>
        <w:adjustRightInd w:val="0"/>
        <w:snapToGrid w:val="0"/>
        <w:spacing w:line="560" w:lineRule="exact"/>
        <w:ind w:firstLine="600" w:firstLineChars="200"/>
        <w:jc w:val="left"/>
        <w:rPr>
          <w:rFonts w:ascii="仿宋" w:hAnsi="仿宋" w:eastAsia="仿宋"/>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一、说明会类型</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详细说明本次说明会的类型，披露说明会的具体事项。</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二、说明会召开的时间、地点</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详细说明本次说明会的召开时间、地点和方式。</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三、参加人员</w:t>
      </w:r>
    </w:p>
    <w:p>
      <w:pPr>
        <w:adjustRightInd w:val="0"/>
        <w:snapToGri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详细说明参加说明会的机构及个人，包括：</w:t>
      </w:r>
    </w:p>
    <w:p>
      <w:pPr>
        <w:numPr>
          <w:ilvl w:val="0"/>
          <w:numId w:val="2"/>
        </w:num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上市公司：列明上市公司参加说明会的相关人员信息。</w:t>
      </w:r>
    </w:p>
    <w:p>
      <w:pPr>
        <w:adjustRightInd w:val="0"/>
        <w:snapToGrid w:val="0"/>
        <w:spacing w:line="560" w:lineRule="exact"/>
        <w:ind w:firstLine="480" w:firstLineChars="200"/>
        <w:jc w:val="left"/>
        <w:rPr>
          <w:rFonts w:hint="eastAsia"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根据《上海证券交易所上市公司自律监管指引第1号——规范运作》第7.3.2条第一款规定，参与投资者说明会的上市公司人员应当包括公司董事长（或者总经理）、财务负责人、至少一名独立董事、董事会秘书。）</w:t>
      </w:r>
    </w:p>
    <w:p>
      <w:pPr>
        <w:adjustRightInd w:val="0"/>
        <w:snapToGri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（二）投资者：列明参加说明会的机构投资者名称。</w:t>
      </w:r>
    </w:p>
    <w:p>
      <w:pPr>
        <w:adjustRightInd w:val="0"/>
        <w:snapToGri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（三）中介机构：列明参加说明会的中介机构名称。</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（四）其他相关人员：列明除上述机构和个人以外的媒体、相关监管机构、行业专家等其他参加人员，并简要说明其相关信息。</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四、投资者参加方式</w:t>
      </w:r>
    </w:p>
    <w:p>
      <w:pPr>
        <w:adjustRightInd w:val="0"/>
        <w:snapToGri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（一）详细说明机构和个人参加相关说明会的方式，例如现场、网络、电话方式。</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（二）预征集投资者提问的相关安排，包括提问渠道、截止时间等。</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公司应当在投资者说明会召开前以及召开期间为投资者开通提问渠道，做好投资者提问征集工作，并在说明会上对投资者关注的问题予以答复。</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五、联系人及咨询办法</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上市公司投资者说明会的负责人及联系方式。</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2" w:firstLineChars="200"/>
        <w:jc w:val="left"/>
        <w:rPr>
          <w:rFonts w:ascii="黑体" w:hAnsi="黑体" w:eastAsia="黑体"/>
          <w:b/>
          <w:sz w:val="30"/>
          <w:szCs w:val="30"/>
        </w:rPr>
      </w:pPr>
      <w:r>
        <w:rPr>
          <w:rFonts w:hint="eastAsia" w:ascii="黑体" w:hAnsi="黑体" w:eastAsia="黑体"/>
          <w:b/>
          <w:sz w:val="30"/>
          <w:szCs w:val="30"/>
        </w:rPr>
        <w:t>六、其他事项</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会后供投资者回看或查阅的方式，全面如实地向投资者反映说明会的召开情况。</w:t>
      </w:r>
    </w:p>
    <w:p>
      <w:pPr>
        <w:adjustRightInd w:val="0"/>
        <w:snapToGrid w:val="0"/>
        <w:spacing w:line="560" w:lineRule="exact"/>
        <w:ind w:firstLine="600" w:firstLineChars="200"/>
        <w:jc w:val="left"/>
        <w:rPr>
          <w:rFonts w:ascii="仿宋_GB2312" w:eastAsia="仿宋_GB2312"/>
          <w:color w:val="000000"/>
          <w:sz w:val="30"/>
          <w:szCs w:val="30"/>
        </w:rPr>
      </w:pP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特此公告。</w:t>
      </w:r>
    </w:p>
    <w:p>
      <w:pPr>
        <w:adjustRightInd w:val="0"/>
        <w:snapToGrid w:val="0"/>
        <w:spacing w:line="560" w:lineRule="exact"/>
        <w:ind w:firstLine="600" w:firstLineChars="200"/>
        <w:jc w:val="right"/>
        <w:rPr>
          <w:rFonts w:ascii="仿宋_GB2312" w:eastAsia="仿宋_GB2312"/>
          <w:color w:val="000000"/>
          <w:sz w:val="30"/>
          <w:szCs w:val="30"/>
        </w:rPr>
      </w:pPr>
    </w:p>
    <w:p>
      <w:pPr>
        <w:adjustRightInd w:val="0"/>
        <w:snapToGrid w:val="0"/>
        <w:spacing w:line="560" w:lineRule="exact"/>
        <w:ind w:firstLine="600" w:firstLineChars="200"/>
        <w:jc w:val="right"/>
        <w:rPr>
          <w:rFonts w:ascii="仿宋_GB2312" w:eastAsia="仿宋_GB2312"/>
          <w:color w:val="000000"/>
          <w:sz w:val="30"/>
          <w:szCs w:val="30"/>
        </w:rPr>
      </w:pPr>
      <w:r>
        <w:rPr>
          <w:rFonts w:hint="eastAsia" w:ascii="仿宋_GB2312" w:hAnsi="宋体" w:eastAsia="仿宋_GB2312"/>
          <w:color w:val="000000"/>
          <w:sz w:val="30"/>
          <w:szCs w:val="30"/>
        </w:rPr>
        <w:t>××××</w:t>
      </w:r>
      <w:r>
        <w:rPr>
          <w:rFonts w:hint="eastAsia" w:ascii="仿宋_GB2312" w:eastAsia="仿宋_GB2312"/>
          <w:color w:val="000000"/>
          <w:sz w:val="30"/>
          <w:szCs w:val="30"/>
        </w:rPr>
        <w:t>股份有限公司董事会</w:t>
      </w:r>
    </w:p>
    <w:p>
      <w:pPr>
        <w:adjustRightInd w:val="0"/>
        <w:snapToGrid w:val="0"/>
        <w:spacing w:line="560" w:lineRule="exact"/>
        <w:ind w:firstLine="600" w:firstLineChars="200"/>
        <w:jc w:val="right"/>
        <w:rPr>
          <w:rFonts w:hint="eastAsia" w:ascii="仿宋_GB2312" w:eastAsia="仿宋_GB2312"/>
          <w:color w:val="000000"/>
          <w:sz w:val="30"/>
          <w:szCs w:val="30"/>
        </w:rPr>
      </w:pPr>
      <w:r>
        <w:rPr>
          <w:rFonts w:hint="eastAsia" w:ascii="仿宋_GB2312" w:eastAsia="仿宋_GB2312"/>
          <w:color w:val="000000"/>
          <w:sz w:val="30"/>
          <w:szCs w:val="30"/>
        </w:rPr>
        <w:t>年</w:t>
      </w:r>
      <w:r>
        <w:rPr>
          <w:rFonts w:ascii="仿宋_GB2312" w:eastAsia="仿宋_GB2312"/>
          <w:color w:val="000000"/>
          <w:sz w:val="30"/>
          <w:szCs w:val="30"/>
        </w:rPr>
        <w:t xml:space="preserve">  </w:t>
      </w:r>
      <w:r>
        <w:rPr>
          <w:rFonts w:hint="eastAsia" w:ascii="仿宋_GB2312" w:eastAsia="仿宋_GB2312"/>
          <w:color w:val="000000"/>
          <w:sz w:val="30"/>
          <w:szCs w:val="30"/>
        </w:rPr>
        <w:t>月</w:t>
      </w:r>
      <w:r>
        <w:rPr>
          <w:rFonts w:ascii="仿宋_GB2312" w:eastAsia="仿宋_GB2312"/>
          <w:color w:val="000000"/>
          <w:sz w:val="30"/>
          <w:szCs w:val="30"/>
        </w:rPr>
        <w:t xml:space="preserve">  </w:t>
      </w:r>
      <w:r>
        <w:rPr>
          <w:rFonts w:hint="eastAsia" w:ascii="仿宋_GB2312" w:eastAsia="仿宋_GB2312"/>
          <w:color w:val="000000"/>
          <w:sz w:val="30"/>
          <w:szCs w:val="30"/>
        </w:rPr>
        <w:t>日</w:t>
      </w: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0" w:firstLineChars="200"/>
        <w:jc w:val="left"/>
        <w:rPr>
          <w:rFonts w:ascii="仿宋_GB2312" w:eastAsia="仿宋_GB2312"/>
          <w:color w:val="000000"/>
          <w:sz w:val="30"/>
          <w:szCs w:val="30"/>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WinCharSetFFFF-H">
    <w:altName w:val="方正舒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WinCharSetFFFF-H">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ind w:right="360"/>
      <w:jc w:val="center"/>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B90876"/>
    <w:multiLevelType w:val="multilevel"/>
    <w:tmpl w:val="0EB90876"/>
    <w:lvl w:ilvl="0" w:tentative="0">
      <w:start w:val="1"/>
      <w:numFmt w:val="bullet"/>
      <w:lvlText w:val=""/>
      <w:lvlJc w:val="left"/>
      <w:pPr>
        <w:tabs>
          <w:tab w:val="left" w:pos="1005"/>
        </w:tabs>
        <w:ind w:left="1005" w:hanging="420"/>
      </w:pPr>
      <w:rPr>
        <w:rFonts w:hint="default" w:ascii="Wingdings" w:hAnsi="Wingdings"/>
      </w:rPr>
    </w:lvl>
    <w:lvl w:ilvl="1" w:tentative="0">
      <w:start w:val="1"/>
      <w:numFmt w:val="bullet"/>
      <w:lvlText w:val=""/>
      <w:lvlJc w:val="left"/>
      <w:pPr>
        <w:ind w:left="1425" w:hanging="420"/>
      </w:pPr>
      <w:rPr>
        <w:rFonts w:hint="default" w:ascii="Wingdings" w:hAnsi="Wingdings"/>
      </w:rPr>
    </w:lvl>
    <w:lvl w:ilvl="2" w:tentative="0">
      <w:start w:val="1"/>
      <w:numFmt w:val="bullet"/>
      <w:lvlText w:val=""/>
      <w:lvlJc w:val="left"/>
      <w:pPr>
        <w:ind w:left="1845" w:hanging="420"/>
      </w:pPr>
      <w:rPr>
        <w:rFonts w:hint="default" w:ascii="Wingdings" w:hAnsi="Wingdings"/>
      </w:rPr>
    </w:lvl>
    <w:lvl w:ilvl="3" w:tentative="0">
      <w:start w:val="1"/>
      <w:numFmt w:val="bullet"/>
      <w:lvlText w:val=""/>
      <w:lvlJc w:val="left"/>
      <w:pPr>
        <w:ind w:left="2265" w:hanging="420"/>
      </w:pPr>
      <w:rPr>
        <w:rFonts w:hint="default" w:ascii="Wingdings" w:hAnsi="Wingdings"/>
      </w:rPr>
    </w:lvl>
    <w:lvl w:ilvl="4" w:tentative="0">
      <w:start w:val="1"/>
      <w:numFmt w:val="bullet"/>
      <w:lvlText w:val=""/>
      <w:lvlJc w:val="left"/>
      <w:pPr>
        <w:ind w:left="2685" w:hanging="420"/>
      </w:pPr>
      <w:rPr>
        <w:rFonts w:hint="default" w:ascii="Wingdings" w:hAnsi="Wingdings"/>
      </w:rPr>
    </w:lvl>
    <w:lvl w:ilvl="5" w:tentative="0">
      <w:start w:val="1"/>
      <w:numFmt w:val="bullet"/>
      <w:lvlText w:val=""/>
      <w:lvlJc w:val="left"/>
      <w:pPr>
        <w:ind w:left="3105" w:hanging="420"/>
      </w:pPr>
      <w:rPr>
        <w:rFonts w:hint="default" w:ascii="Wingdings" w:hAnsi="Wingdings"/>
      </w:rPr>
    </w:lvl>
    <w:lvl w:ilvl="6" w:tentative="0">
      <w:start w:val="1"/>
      <w:numFmt w:val="bullet"/>
      <w:lvlText w:val=""/>
      <w:lvlJc w:val="left"/>
      <w:pPr>
        <w:ind w:left="3525" w:hanging="420"/>
      </w:pPr>
      <w:rPr>
        <w:rFonts w:hint="default" w:ascii="Wingdings" w:hAnsi="Wingdings"/>
      </w:rPr>
    </w:lvl>
    <w:lvl w:ilvl="7" w:tentative="0">
      <w:start w:val="1"/>
      <w:numFmt w:val="bullet"/>
      <w:lvlText w:val=""/>
      <w:lvlJc w:val="left"/>
      <w:pPr>
        <w:ind w:left="3945" w:hanging="420"/>
      </w:pPr>
      <w:rPr>
        <w:rFonts w:hint="default" w:ascii="Wingdings" w:hAnsi="Wingdings"/>
      </w:rPr>
    </w:lvl>
    <w:lvl w:ilvl="8" w:tentative="0">
      <w:start w:val="1"/>
      <w:numFmt w:val="bullet"/>
      <w:lvlText w:val=""/>
      <w:lvlJc w:val="left"/>
      <w:pPr>
        <w:ind w:left="4365" w:hanging="420"/>
      </w:pPr>
      <w:rPr>
        <w:rFonts w:hint="default" w:ascii="Wingdings" w:hAnsi="Wingdings"/>
      </w:rPr>
    </w:lvl>
  </w:abstractNum>
  <w:abstractNum w:abstractNumId="1">
    <w:nsid w:val="1276F366"/>
    <w:multiLevelType w:val="singleLevel"/>
    <w:tmpl w:val="1276F36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201"/>
    <w:rsid w:val="0008456D"/>
    <w:rsid w:val="00095925"/>
    <w:rsid w:val="00100C7C"/>
    <w:rsid w:val="001515A1"/>
    <w:rsid w:val="00173C5E"/>
    <w:rsid w:val="001925CB"/>
    <w:rsid w:val="001A792E"/>
    <w:rsid w:val="002061F0"/>
    <w:rsid w:val="00240892"/>
    <w:rsid w:val="002760DE"/>
    <w:rsid w:val="002A6482"/>
    <w:rsid w:val="002D06BE"/>
    <w:rsid w:val="002E4B61"/>
    <w:rsid w:val="00311EBC"/>
    <w:rsid w:val="00314ADB"/>
    <w:rsid w:val="00333535"/>
    <w:rsid w:val="003428CE"/>
    <w:rsid w:val="003616FA"/>
    <w:rsid w:val="003775A9"/>
    <w:rsid w:val="003F6FA7"/>
    <w:rsid w:val="004302E9"/>
    <w:rsid w:val="0044662A"/>
    <w:rsid w:val="00486588"/>
    <w:rsid w:val="00495379"/>
    <w:rsid w:val="005248B7"/>
    <w:rsid w:val="00544631"/>
    <w:rsid w:val="00557F79"/>
    <w:rsid w:val="00574258"/>
    <w:rsid w:val="00576BED"/>
    <w:rsid w:val="00663941"/>
    <w:rsid w:val="006967B7"/>
    <w:rsid w:val="0070756D"/>
    <w:rsid w:val="00765123"/>
    <w:rsid w:val="0077086C"/>
    <w:rsid w:val="008513DE"/>
    <w:rsid w:val="00857AB4"/>
    <w:rsid w:val="00876B4E"/>
    <w:rsid w:val="008B22C7"/>
    <w:rsid w:val="008B5431"/>
    <w:rsid w:val="008E1834"/>
    <w:rsid w:val="00941936"/>
    <w:rsid w:val="00991E4A"/>
    <w:rsid w:val="009B66BB"/>
    <w:rsid w:val="009D10C0"/>
    <w:rsid w:val="009E3967"/>
    <w:rsid w:val="00A5131D"/>
    <w:rsid w:val="00A64CFA"/>
    <w:rsid w:val="00A82CA6"/>
    <w:rsid w:val="00BE0CAF"/>
    <w:rsid w:val="00C17BE8"/>
    <w:rsid w:val="00C24B90"/>
    <w:rsid w:val="00C465E4"/>
    <w:rsid w:val="00C53A80"/>
    <w:rsid w:val="00C577B0"/>
    <w:rsid w:val="00C96421"/>
    <w:rsid w:val="00CD1FA9"/>
    <w:rsid w:val="00CF33E7"/>
    <w:rsid w:val="00CF4E72"/>
    <w:rsid w:val="00D003D0"/>
    <w:rsid w:val="00D66056"/>
    <w:rsid w:val="00E466A6"/>
    <w:rsid w:val="00E55101"/>
    <w:rsid w:val="00F34F66"/>
    <w:rsid w:val="00F87C1C"/>
    <w:rsid w:val="00FD169D"/>
    <w:rsid w:val="00FF3DA9"/>
    <w:rsid w:val="01E7603C"/>
    <w:rsid w:val="02E80F26"/>
    <w:rsid w:val="04990D10"/>
    <w:rsid w:val="37587D43"/>
    <w:rsid w:val="62A74EAD"/>
    <w:rsid w:val="70B07A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Document Map"/>
    <w:basedOn w:val="1"/>
    <w:link w:val="21"/>
    <w:uiPriority w:val="0"/>
    <w:rPr>
      <w:rFonts w:ascii="宋体"/>
      <w:sz w:val="18"/>
      <w:szCs w:val="18"/>
    </w:rPr>
  </w:style>
  <w:style w:type="paragraph" w:styleId="3">
    <w:name w:val="annotation text"/>
    <w:basedOn w:val="1"/>
    <w:link w:val="19"/>
    <w:uiPriority w:val="0"/>
    <w:pPr>
      <w:jc w:val="left"/>
    </w:pPr>
  </w:style>
  <w:style w:type="paragraph" w:styleId="4">
    <w:name w:val="Balloon Text"/>
    <w:basedOn w:val="1"/>
    <w:link w:val="14"/>
    <w:uiPriority w:val="0"/>
    <w:rPr>
      <w:sz w:val="18"/>
      <w:szCs w:val="18"/>
    </w:rPr>
  </w:style>
  <w:style w:type="paragraph" w:styleId="5">
    <w:name w:val="footer"/>
    <w:basedOn w:val="1"/>
    <w:link w:val="15"/>
    <w:uiPriority w:val="99"/>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paragraph" w:styleId="8">
    <w:name w:val="annotation subject"/>
    <w:basedOn w:val="3"/>
    <w:next w:val="3"/>
    <w:link w:val="20"/>
    <w:uiPriority w:val="0"/>
    <w:rPr>
      <w:b/>
      <w:bCs/>
    </w:rPr>
  </w:style>
  <w:style w:type="character" w:styleId="11">
    <w:name w:val="Strong"/>
    <w:qFormat/>
    <w:uiPriority w:val="0"/>
    <w:rPr>
      <w:b/>
      <w:bCs/>
    </w:rPr>
  </w:style>
  <w:style w:type="character" w:styleId="12">
    <w:name w:val="page number"/>
    <w:uiPriority w:val="0"/>
  </w:style>
  <w:style w:type="character" w:styleId="13">
    <w:name w:val="annotation reference"/>
    <w:uiPriority w:val="0"/>
    <w:rPr>
      <w:sz w:val="21"/>
      <w:szCs w:val="21"/>
    </w:rPr>
  </w:style>
  <w:style w:type="character" w:customStyle="1" w:styleId="14">
    <w:name w:val="批注框文本 Char"/>
    <w:link w:val="4"/>
    <w:uiPriority w:val="0"/>
    <w:rPr>
      <w:kern w:val="2"/>
      <w:sz w:val="18"/>
      <w:szCs w:val="18"/>
    </w:rPr>
  </w:style>
  <w:style w:type="character" w:customStyle="1" w:styleId="15">
    <w:name w:val="页脚 Char"/>
    <w:link w:val="5"/>
    <w:locked/>
    <w:uiPriority w:val="99"/>
    <w:rPr>
      <w:rFonts w:eastAsia="宋体"/>
      <w:kern w:val="2"/>
      <w:sz w:val="18"/>
      <w:lang w:val="en-US" w:eastAsia="zh-CN" w:bidi="ar-SA"/>
    </w:rPr>
  </w:style>
  <w:style w:type="character" w:customStyle="1" w:styleId="16">
    <w:name w:val="标题 Char"/>
    <w:link w:val="7"/>
    <w:locked/>
    <w:uiPriority w:val="0"/>
    <w:rPr>
      <w:rFonts w:ascii="Cambria" w:hAnsi="Cambria" w:eastAsia="宋体"/>
      <w:b/>
      <w:bCs/>
      <w:kern w:val="2"/>
      <w:sz w:val="32"/>
      <w:szCs w:val="32"/>
      <w:lang w:val="en-US" w:eastAsia="zh-CN" w:bidi="ar-SA"/>
    </w:rPr>
  </w:style>
  <w:style w:type="paragraph" w:styleId="17">
    <w:name w:val="List Paragraph"/>
    <w:basedOn w:val="1"/>
    <w:qFormat/>
    <w:uiPriority w:val="34"/>
    <w:pPr>
      <w:ind w:firstLine="420" w:firstLineChars="200"/>
    </w:pPr>
    <w:rPr>
      <w:rFonts w:ascii="Calibri" w:hAnsi="Calibri"/>
      <w:szCs w:val="22"/>
    </w:rPr>
  </w:style>
  <w:style w:type="paragraph" w:styleId="18">
    <w:name w:val=""/>
    <w:hidden/>
    <w:unhideWhenUsed/>
    <w:uiPriority w:val="99"/>
    <w:rPr>
      <w:kern w:val="2"/>
      <w:sz w:val="21"/>
      <w:lang w:val="en-US" w:eastAsia="zh-CN" w:bidi="ar-SA"/>
    </w:rPr>
  </w:style>
  <w:style w:type="character" w:customStyle="1" w:styleId="19">
    <w:name w:val="批注文字 Char"/>
    <w:link w:val="3"/>
    <w:uiPriority w:val="0"/>
    <w:rPr>
      <w:kern w:val="2"/>
      <w:sz w:val="21"/>
    </w:rPr>
  </w:style>
  <w:style w:type="character" w:customStyle="1" w:styleId="20">
    <w:name w:val="批注主题 Char"/>
    <w:link w:val="8"/>
    <w:uiPriority w:val="0"/>
    <w:rPr>
      <w:b/>
      <w:bCs/>
      <w:kern w:val="2"/>
      <w:sz w:val="21"/>
    </w:rPr>
  </w:style>
  <w:style w:type="character" w:customStyle="1" w:styleId="21">
    <w:name w:val="文档结构图 Char"/>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zhou\AppData\Local\Tem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3</Pages>
  <Words>141</Words>
  <Characters>805</Characters>
  <Lines>6</Lines>
  <Paragraphs>1</Paragraphs>
  <TotalTime>0</TotalTime>
  <ScaleCrop>false</ScaleCrop>
  <LinksUpToDate>false</LinksUpToDate>
  <CharactersWithSpaces>945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2022-04-24T00:48:00Z</dcterms:created>
  <dcterms:modified xsi:type="dcterms:W3CDTF">2023-08-04T05:39:03Z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14CCCD09E5574A58BAFA1F3CCD082BCD</vt:lpwstr>
  </property>
</Properties>
</file>