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EF" w:rsidRDefault="00A571B1">
      <w:pPr>
        <w:jc w:val="center"/>
        <w:rPr>
          <w:rFonts w:ascii="黑体" w:eastAsia="黑体" w:hAnsi="黑体"/>
          <w:sz w:val="40"/>
          <w:szCs w:val="40"/>
        </w:rPr>
      </w:pPr>
      <w:r>
        <w:rPr>
          <w:rFonts w:ascii="黑体" w:eastAsia="黑体" w:hAnsi="黑体" w:hint="eastAsia"/>
          <w:sz w:val="40"/>
          <w:szCs w:val="40"/>
        </w:rPr>
        <w:t>第一号</w:t>
      </w:r>
      <w:r>
        <w:rPr>
          <w:rFonts w:ascii="黑体" w:eastAsia="黑体" w:hAnsi="黑体"/>
          <w:sz w:val="40"/>
          <w:szCs w:val="40"/>
        </w:rPr>
        <w:t xml:space="preserve"> </w:t>
      </w:r>
      <w:r>
        <w:rPr>
          <w:rFonts w:ascii="黑体" w:eastAsia="黑体" w:hAnsi="黑体" w:hint="eastAsia"/>
          <w:sz w:val="40"/>
          <w:szCs w:val="40"/>
        </w:rPr>
        <w:t>信息披露业务办理</w:t>
      </w:r>
    </w:p>
    <w:p w:rsidR="00FD51EF" w:rsidRDefault="00FD51EF">
      <w:pPr>
        <w:rPr>
          <w:rFonts w:ascii="仿宋_GB2312" w:eastAsia="仿宋_GB2312"/>
          <w:sz w:val="28"/>
          <w:szCs w:val="28"/>
        </w:rPr>
      </w:pP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为提高上市公司信息披露业务办理质量，根据相关法律法规及《上海证券交易所股票上市规则》《上海证券交易所上市公司自律监管指引第2号——信息披露事务管理》等有关规定，制定本指南。</w:t>
      </w:r>
    </w:p>
    <w:p w:rsidR="00FD51EF" w:rsidRDefault="00A571B1" w:rsidP="001E36A7">
      <w:pPr>
        <w:spacing w:line="600" w:lineRule="exact"/>
        <w:ind w:firstLineChars="200" w:firstLine="562"/>
        <w:rPr>
          <w:rFonts w:ascii="仿宋_GB2312" w:eastAsia="仿宋_GB2312"/>
          <w:b/>
          <w:sz w:val="28"/>
          <w:szCs w:val="28"/>
        </w:rPr>
      </w:pPr>
      <w:r>
        <w:rPr>
          <w:rFonts w:ascii="仿宋_GB2312" w:eastAsia="仿宋_GB2312" w:hint="eastAsia"/>
          <w:b/>
          <w:sz w:val="28"/>
          <w:szCs w:val="28"/>
        </w:rPr>
        <w:t>一、一般规定</w:t>
      </w:r>
      <w:r>
        <w:rPr>
          <w:rFonts w:ascii="仿宋_GB2312" w:eastAsia="仿宋_GB2312"/>
          <w:b/>
          <w:sz w:val="28"/>
          <w:szCs w:val="28"/>
        </w:rPr>
        <w:t> </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1.上市公司按照本指南的要求，通过上海证券交易所（以下简称本所）公司业务管理系统（以下简称系统）报送信息披露文件、提交业务申请、收发函件等。</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本指南所称的信息披露文件，包括公告、公告附件及备查文件、非公告上网文件。</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除本指南明确的特殊情形外，本所不接受上市公司以其他方式办理信息披露相关业务。</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2.上市公司需要向上证所信息网络有限公司申请配发数字证书（以下简称</w:t>
      </w:r>
      <w:r>
        <w:rPr>
          <w:rFonts w:ascii="仿宋_GB2312" w:eastAsia="仿宋_GB2312"/>
          <w:sz w:val="28"/>
          <w:szCs w:val="28"/>
        </w:rPr>
        <w:t>EKEY</w:t>
      </w:r>
      <w:r>
        <w:rPr>
          <w:rFonts w:ascii="仿宋_GB2312" w:eastAsia="仿宋_GB2312" w:hint="eastAsia"/>
          <w:sz w:val="28"/>
          <w:szCs w:val="28"/>
        </w:rPr>
        <w:t>），办理信息披露业务。</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sz w:val="28"/>
          <w:szCs w:val="28"/>
        </w:rPr>
        <w:t>EKEY</w:t>
      </w:r>
      <w:r>
        <w:rPr>
          <w:rFonts w:ascii="仿宋_GB2312" w:eastAsia="仿宋_GB2312" w:hint="eastAsia"/>
          <w:sz w:val="28"/>
          <w:szCs w:val="28"/>
        </w:rPr>
        <w:t>是上市公司通过系统办理信息披露业务的唯一身份证明。使用</w:t>
      </w:r>
      <w:r>
        <w:rPr>
          <w:rFonts w:ascii="仿宋_GB2312" w:eastAsia="仿宋_GB2312"/>
          <w:sz w:val="28"/>
          <w:szCs w:val="28"/>
        </w:rPr>
        <w:t>EKEY</w:t>
      </w:r>
      <w:r>
        <w:rPr>
          <w:rFonts w:ascii="仿宋_GB2312" w:eastAsia="仿宋_GB2312" w:hint="eastAsia"/>
          <w:sz w:val="28"/>
          <w:szCs w:val="28"/>
        </w:rPr>
        <w:t>的所有操作行为均代表上市公司的行为，由上市公司承担相应的法律责任。</w:t>
      </w:r>
    </w:p>
    <w:p w:rsidR="00FD51EF" w:rsidRDefault="00A571B1" w:rsidP="001E36A7">
      <w:pPr>
        <w:spacing w:line="600" w:lineRule="exact"/>
        <w:ind w:firstLineChars="200" w:firstLine="562"/>
        <w:rPr>
          <w:rFonts w:ascii="仿宋_GB2312" w:eastAsia="仿宋_GB2312"/>
          <w:b/>
          <w:sz w:val="28"/>
          <w:szCs w:val="28"/>
        </w:rPr>
      </w:pPr>
      <w:r>
        <w:rPr>
          <w:rFonts w:ascii="仿宋_GB2312" w:eastAsia="仿宋_GB2312" w:hint="eastAsia"/>
          <w:b/>
          <w:sz w:val="28"/>
          <w:szCs w:val="28"/>
        </w:rPr>
        <w:t>二、信息披露文件的报送与发布</w:t>
      </w:r>
    </w:p>
    <w:p w:rsidR="00FD51EF" w:rsidRPr="00AF7B64"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1.</w:t>
      </w:r>
      <w:r w:rsidRPr="00AF7B64">
        <w:rPr>
          <w:rFonts w:ascii="仿宋_GB2312" w:eastAsia="仿宋_GB2312" w:hint="eastAsia"/>
          <w:sz w:val="28"/>
          <w:szCs w:val="28"/>
        </w:rPr>
        <w:t>上市公司通过系统“信息披露—公告提交”栏目提交公告及相关文件、通过“信息披露—非公告上网”栏目提交非公告上网文件。</w:t>
      </w:r>
    </w:p>
    <w:p w:rsidR="00FD51EF" w:rsidRDefault="00A571B1" w:rsidP="001E36A7">
      <w:pPr>
        <w:spacing w:line="600" w:lineRule="exact"/>
        <w:ind w:firstLineChars="200" w:firstLine="560"/>
        <w:rPr>
          <w:rFonts w:ascii="仿宋_GB2312" w:eastAsia="仿宋_GB2312"/>
          <w:sz w:val="28"/>
          <w:szCs w:val="28"/>
        </w:rPr>
      </w:pPr>
      <w:r w:rsidRPr="00AF7B64">
        <w:rPr>
          <w:rFonts w:ascii="仿宋_GB2312" w:eastAsia="仿宋_GB2312" w:hint="eastAsia"/>
          <w:sz w:val="28"/>
          <w:szCs w:val="28"/>
        </w:rPr>
        <w:t>上市公司提交公告时，需要勾选或填写披露时段、拟披露日期、拟披露媒体、公告编号、拟披露公告的类别与标题、相关报备文件的</w:t>
      </w:r>
      <w:r>
        <w:rPr>
          <w:rFonts w:ascii="仿宋_GB2312" w:eastAsia="仿宋_GB2312" w:hint="eastAsia"/>
          <w:sz w:val="28"/>
          <w:szCs w:val="28"/>
        </w:rPr>
        <w:lastRenderedPageBreak/>
        <w:t>类型与标题等要素。</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非公告上网参照直通</w:t>
      </w:r>
      <w:r w:rsidR="00AF7B64">
        <w:rPr>
          <w:rFonts w:ascii="仿宋_GB2312" w:eastAsia="仿宋_GB2312" w:hint="eastAsia"/>
          <w:sz w:val="28"/>
          <w:szCs w:val="28"/>
        </w:rPr>
        <w:t>披露</w:t>
      </w:r>
      <w:r>
        <w:rPr>
          <w:rFonts w:ascii="仿宋_GB2312" w:eastAsia="仿宋_GB2312" w:hint="eastAsia"/>
          <w:sz w:val="28"/>
          <w:szCs w:val="28"/>
        </w:rPr>
        <w:t>办理。</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2.上市公司可以在以下时间提交信息披露文件：</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（1）交易日早间披露时段（</w:t>
      </w:r>
      <w:r>
        <w:rPr>
          <w:rFonts w:ascii="仿宋_GB2312" w:eastAsia="仿宋_GB2312"/>
          <w:sz w:val="28"/>
          <w:szCs w:val="28"/>
        </w:rPr>
        <w:t>7:30-8:30</w:t>
      </w:r>
      <w:r>
        <w:rPr>
          <w:rFonts w:ascii="仿宋_GB2312" w:eastAsia="仿宋_GB2312" w:hint="eastAsia"/>
          <w:sz w:val="28"/>
          <w:szCs w:val="28"/>
        </w:rPr>
        <w:t>）；</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（2）交易日午间披露时段（7</w:t>
      </w:r>
      <w:r>
        <w:rPr>
          <w:rFonts w:ascii="仿宋_GB2312" w:eastAsia="仿宋_GB2312"/>
          <w:sz w:val="28"/>
          <w:szCs w:val="28"/>
        </w:rPr>
        <w:t>:30-12:30</w:t>
      </w:r>
      <w:r>
        <w:rPr>
          <w:rFonts w:ascii="仿宋_GB2312" w:eastAsia="仿宋_GB2312" w:hint="eastAsia"/>
          <w:sz w:val="28"/>
          <w:szCs w:val="28"/>
        </w:rPr>
        <w:t>）；</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（3）交易日盘后披露时段：直通公告（</w:t>
      </w:r>
      <w:r>
        <w:rPr>
          <w:rFonts w:ascii="仿宋_GB2312" w:eastAsia="仿宋_GB2312"/>
          <w:sz w:val="28"/>
          <w:szCs w:val="28"/>
        </w:rPr>
        <w:t>7:30-19:00</w:t>
      </w:r>
      <w:r>
        <w:rPr>
          <w:rFonts w:ascii="仿宋_GB2312" w:eastAsia="仿宋_GB2312" w:hint="eastAsia"/>
          <w:sz w:val="28"/>
          <w:szCs w:val="28"/>
        </w:rPr>
        <w:t>）、非直通公告（7</w:t>
      </w:r>
      <w:r>
        <w:rPr>
          <w:rFonts w:ascii="仿宋_GB2312" w:eastAsia="仿宋_GB2312"/>
          <w:sz w:val="28"/>
          <w:szCs w:val="28"/>
        </w:rPr>
        <w:t>:30-17:00</w:t>
      </w:r>
      <w:r>
        <w:rPr>
          <w:rFonts w:ascii="仿宋_GB2312" w:eastAsia="仿宋_GB2312" w:hint="eastAsia"/>
          <w:sz w:val="28"/>
          <w:szCs w:val="28"/>
        </w:rPr>
        <w:t>）；</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（4）非交易日披露时段（单一非交易日或连续非交易日的最后一日</w:t>
      </w:r>
      <w:r>
        <w:rPr>
          <w:rFonts w:ascii="仿宋_GB2312" w:eastAsia="仿宋_GB2312"/>
          <w:sz w:val="28"/>
          <w:szCs w:val="28"/>
        </w:rPr>
        <w:t>13:00-17:00</w:t>
      </w:r>
      <w:r>
        <w:rPr>
          <w:rFonts w:ascii="仿宋_GB2312" w:eastAsia="仿宋_GB2312" w:hint="eastAsia"/>
          <w:sz w:val="28"/>
          <w:szCs w:val="28"/>
        </w:rPr>
        <w:t>）。</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3.上市公司提交的公告需有公告编号，编号格式为20XX-NNN,其中20XX为披露日期的年份，NNN为当年公告的序列号。定期报告和其他信息披露义务人提交的公告无需编号。</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4.公告标题与上网附件标题需与文件内容标题一致，该标题直接用作上网标题，同时公告、上网附件及备查文件的标题需与文件内容一致。</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5.上市公司依据《上海证券交易所信息披露公告类别索引》（附件1），正确选择拟披露事项对应的公告类别和非公告上网文件类型，所选择的公告类别应反映所披露事项的重点与实质内容，不能以兜底性公告类别代替明确事项的公告类别，不能以直通公告类别代替非直通公告类别。</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6.上市公司应当按照本所要求，在“交易日早间披露时段”、“交易日午间披露时段”及“非交易日披露时段”内，提交与披露指定类别的公告。各披露时段可披露公告类别如下表：</w:t>
      </w:r>
    </w:p>
    <w:tbl>
      <w:tblPr>
        <w:tblW w:w="0" w:type="auto"/>
        <w:tblLayout w:type="fixed"/>
        <w:tblLook w:val="04A0"/>
      </w:tblPr>
      <w:tblGrid>
        <w:gridCol w:w="1526"/>
        <w:gridCol w:w="1276"/>
        <w:gridCol w:w="2268"/>
        <w:gridCol w:w="3402"/>
      </w:tblGrid>
      <w:tr w:rsidR="00FD51EF">
        <w:tc>
          <w:tcPr>
            <w:tcW w:w="2802" w:type="dxa"/>
            <w:gridSpan w:val="2"/>
            <w:tcBorders>
              <w:top w:val="single" w:sz="4" w:space="0" w:color="auto"/>
              <w:left w:val="single" w:sz="4" w:space="0" w:color="auto"/>
              <w:bottom w:val="single" w:sz="4" w:space="0" w:color="auto"/>
              <w:right w:val="single" w:sz="4" w:space="0" w:color="auto"/>
            </w:tcBorders>
          </w:tcPr>
          <w:p w:rsidR="00FD51EF" w:rsidRDefault="00A571B1">
            <w:pPr>
              <w:jc w:val="center"/>
              <w:rPr>
                <w:rFonts w:ascii="仿宋_GB2312" w:eastAsia="仿宋_GB2312"/>
                <w:szCs w:val="21"/>
              </w:rPr>
            </w:pPr>
            <w:r>
              <w:rPr>
                <w:rFonts w:ascii="仿宋_GB2312" w:eastAsia="仿宋_GB2312" w:hint="eastAsia"/>
                <w:szCs w:val="21"/>
              </w:rPr>
              <w:lastRenderedPageBreak/>
              <w:t>公告披露时段</w:t>
            </w:r>
          </w:p>
        </w:tc>
        <w:tc>
          <w:tcPr>
            <w:tcW w:w="2268" w:type="dxa"/>
            <w:tcBorders>
              <w:top w:val="single" w:sz="4" w:space="0" w:color="auto"/>
              <w:left w:val="single" w:sz="4" w:space="0" w:color="auto"/>
              <w:bottom w:val="single" w:sz="4" w:space="0" w:color="auto"/>
              <w:right w:val="single" w:sz="4" w:space="0" w:color="auto"/>
            </w:tcBorders>
          </w:tcPr>
          <w:p w:rsidR="00FD51EF" w:rsidRDefault="00A571B1">
            <w:pPr>
              <w:jc w:val="center"/>
              <w:rPr>
                <w:rFonts w:ascii="仿宋_GB2312" w:eastAsia="仿宋_GB2312"/>
                <w:szCs w:val="21"/>
              </w:rPr>
            </w:pPr>
            <w:r>
              <w:rPr>
                <w:rFonts w:ascii="仿宋_GB2312" w:eastAsia="仿宋_GB2312" w:hint="eastAsia"/>
                <w:szCs w:val="21"/>
              </w:rPr>
              <w:t>提交公告起止时限</w:t>
            </w:r>
          </w:p>
        </w:tc>
        <w:tc>
          <w:tcPr>
            <w:tcW w:w="3402" w:type="dxa"/>
            <w:tcBorders>
              <w:top w:val="single" w:sz="4" w:space="0" w:color="auto"/>
              <w:left w:val="single" w:sz="4" w:space="0" w:color="auto"/>
              <w:bottom w:val="single" w:sz="4" w:space="0" w:color="auto"/>
              <w:right w:val="single" w:sz="4" w:space="0" w:color="auto"/>
            </w:tcBorders>
            <w:vAlign w:val="center"/>
          </w:tcPr>
          <w:p w:rsidR="00FD51EF" w:rsidRDefault="00A571B1">
            <w:pPr>
              <w:jc w:val="center"/>
              <w:rPr>
                <w:rFonts w:ascii="仿宋_GB2312" w:eastAsia="仿宋_GB2312"/>
                <w:szCs w:val="21"/>
              </w:rPr>
            </w:pPr>
            <w:r>
              <w:rPr>
                <w:rFonts w:ascii="仿宋_GB2312" w:eastAsia="仿宋_GB2312" w:hint="eastAsia"/>
                <w:szCs w:val="21"/>
              </w:rPr>
              <w:t>可提交的公告类别</w:t>
            </w:r>
          </w:p>
        </w:tc>
      </w:tr>
      <w:tr w:rsidR="00FD51EF">
        <w:tc>
          <w:tcPr>
            <w:tcW w:w="1526" w:type="dxa"/>
            <w:vMerge w:val="restart"/>
            <w:tcBorders>
              <w:top w:val="single" w:sz="4" w:space="0" w:color="auto"/>
              <w:left w:val="single" w:sz="4" w:space="0" w:color="auto"/>
              <w:bottom w:val="single" w:sz="4" w:space="0" w:color="auto"/>
              <w:right w:val="single" w:sz="4" w:space="0" w:color="auto"/>
            </w:tcBorders>
            <w:vAlign w:val="center"/>
          </w:tcPr>
          <w:p w:rsidR="00FD51EF" w:rsidRDefault="00A571B1">
            <w:pPr>
              <w:rPr>
                <w:szCs w:val="21"/>
              </w:rPr>
            </w:pPr>
            <w:r>
              <w:rPr>
                <w:rFonts w:ascii="仿宋_GB2312" w:eastAsia="仿宋_GB2312" w:hint="eastAsia"/>
                <w:szCs w:val="21"/>
              </w:rPr>
              <w:t>交易日盘后</w:t>
            </w:r>
          </w:p>
        </w:tc>
        <w:tc>
          <w:tcPr>
            <w:tcW w:w="1276" w:type="dxa"/>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hint="eastAsia"/>
                <w:szCs w:val="21"/>
              </w:rPr>
              <w:t>直通</w:t>
            </w:r>
          </w:p>
        </w:tc>
        <w:tc>
          <w:tcPr>
            <w:tcW w:w="2268" w:type="dxa"/>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szCs w:val="21"/>
              </w:rPr>
              <w:t>7:30</w:t>
            </w:r>
            <w:r>
              <w:rPr>
                <w:rFonts w:ascii="仿宋_GB2312" w:eastAsia="仿宋_GB2312" w:hint="eastAsia"/>
                <w:szCs w:val="21"/>
              </w:rPr>
              <w:t>—</w:t>
            </w:r>
            <w:r>
              <w:rPr>
                <w:rFonts w:ascii="仿宋_GB2312" w:eastAsia="仿宋_GB2312"/>
                <w:szCs w:val="21"/>
              </w:rPr>
              <w:t>19:00</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D51EF" w:rsidRDefault="00A571B1">
            <w:pPr>
              <w:jc w:val="center"/>
              <w:rPr>
                <w:rFonts w:ascii="仿宋_GB2312" w:eastAsia="仿宋_GB2312"/>
                <w:szCs w:val="21"/>
              </w:rPr>
            </w:pPr>
            <w:r>
              <w:rPr>
                <w:rFonts w:ascii="仿宋_GB2312" w:eastAsia="仿宋_GB2312" w:hint="eastAsia"/>
                <w:szCs w:val="21"/>
              </w:rPr>
              <w:t>全部公告类别</w:t>
            </w:r>
          </w:p>
        </w:tc>
      </w:tr>
      <w:tr w:rsidR="00FD51EF">
        <w:tc>
          <w:tcPr>
            <w:tcW w:w="1526" w:type="dxa"/>
            <w:vMerge/>
            <w:tcBorders>
              <w:top w:val="single" w:sz="4" w:space="0" w:color="auto"/>
              <w:left w:val="single" w:sz="4" w:space="0" w:color="auto"/>
              <w:bottom w:val="single" w:sz="4" w:space="0" w:color="auto"/>
              <w:right w:val="single" w:sz="4" w:space="0" w:color="auto"/>
            </w:tcBorders>
            <w:vAlign w:val="center"/>
          </w:tcPr>
          <w:p w:rsidR="00FD51EF" w:rsidRDefault="00FD51EF">
            <w:pP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hint="eastAsia"/>
                <w:szCs w:val="21"/>
              </w:rPr>
              <w:t>非直通</w:t>
            </w:r>
          </w:p>
        </w:tc>
        <w:tc>
          <w:tcPr>
            <w:tcW w:w="2268" w:type="dxa"/>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hint="eastAsia"/>
                <w:szCs w:val="21"/>
              </w:rPr>
              <w:t>7:30—</w:t>
            </w:r>
            <w:r>
              <w:rPr>
                <w:rFonts w:ascii="仿宋_GB2312" w:eastAsia="仿宋_GB2312"/>
                <w:szCs w:val="21"/>
              </w:rPr>
              <w:t>17:00</w:t>
            </w:r>
          </w:p>
        </w:tc>
        <w:tc>
          <w:tcPr>
            <w:tcW w:w="3402" w:type="dxa"/>
            <w:vMerge/>
            <w:tcBorders>
              <w:top w:val="single" w:sz="4" w:space="0" w:color="auto"/>
              <w:left w:val="single" w:sz="4" w:space="0" w:color="auto"/>
              <w:bottom w:val="single" w:sz="4" w:space="0" w:color="auto"/>
              <w:right w:val="single" w:sz="4" w:space="0" w:color="auto"/>
            </w:tcBorders>
            <w:vAlign w:val="center"/>
          </w:tcPr>
          <w:p w:rsidR="00FD51EF" w:rsidRDefault="00FD51EF">
            <w:pPr>
              <w:jc w:val="center"/>
              <w:rPr>
                <w:rFonts w:ascii="仿宋_GB2312" w:eastAsia="仿宋_GB2312"/>
                <w:szCs w:val="21"/>
              </w:rPr>
            </w:pPr>
          </w:p>
        </w:tc>
      </w:tr>
      <w:tr w:rsidR="00FD51EF">
        <w:tc>
          <w:tcPr>
            <w:tcW w:w="2802" w:type="dxa"/>
            <w:gridSpan w:val="2"/>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hint="eastAsia"/>
                <w:szCs w:val="21"/>
              </w:rPr>
              <w:t>交易日早间</w:t>
            </w:r>
          </w:p>
        </w:tc>
        <w:tc>
          <w:tcPr>
            <w:tcW w:w="2268" w:type="dxa"/>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hint="eastAsia"/>
                <w:szCs w:val="21"/>
              </w:rPr>
              <w:t>7:30—</w:t>
            </w:r>
            <w:r>
              <w:rPr>
                <w:rFonts w:ascii="仿宋_GB2312" w:eastAsia="仿宋_GB2312"/>
                <w:szCs w:val="21"/>
              </w:rPr>
              <w:t>8:30</w:t>
            </w:r>
          </w:p>
        </w:tc>
        <w:tc>
          <w:tcPr>
            <w:tcW w:w="3402" w:type="dxa"/>
            <w:tcBorders>
              <w:top w:val="single" w:sz="4" w:space="0" w:color="auto"/>
              <w:left w:val="single" w:sz="4" w:space="0" w:color="auto"/>
              <w:bottom w:val="single" w:sz="4" w:space="0" w:color="auto"/>
              <w:right w:val="single" w:sz="4" w:space="0" w:color="auto"/>
            </w:tcBorders>
            <w:vAlign w:val="center"/>
          </w:tcPr>
          <w:p w:rsidR="00FD51EF" w:rsidRDefault="00A571B1">
            <w:pPr>
              <w:jc w:val="center"/>
              <w:rPr>
                <w:rFonts w:ascii="仿宋_GB2312" w:eastAsia="仿宋_GB2312"/>
                <w:szCs w:val="21"/>
              </w:rPr>
            </w:pPr>
            <w:r>
              <w:rPr>
                <w:rFonts w:ascii="仿宋_GB2312" w:eastAsia="仿宋_GB2312" w:hint="eastAsia"/>
                <w:szCs w:val="21"/>
              </w:rPr>
              <w:t>停复牌提示公告（3301）</w:t>
            </w:r>
          </w:p>
          <w:p w:rsidR="00FD51EF" w:rsidRDefault="00A571B1">
            <w:pPr>
              <w:jc w:val="center"/>
              <w:rPr>
                <w:rFonts w:ascii="仿宋_GB2312" w:eastAsia="仿宋_GB2312"/>
                <w:szCs w:val="21"/>
              </w:rPr>
            </w:pPr>
            <w:r>
              <w:rPr>
                <w:rFonts w:ascii="仿宋_GB2312" w:eastAsia="仿宋_GB2312" w:hint="eastAsia"/>
                <w:szCs w:val="21"/>
              </w:rPr>
              <w:t>澄清与说明公告（1002）</w:t>
            </w:r>
          </w:p>
          <w:p w:rsidR="00FD51EF" w:rsidRDefault="00A571B1">
            <w:pPr>
              <w:jc w:val="center"/>
              <w:rPr>
                <w:rFonts w:ascii="仿宋_GB2312" w:eastAsia="仿宋_GB2312"/>
                <w:szCs w:val="21"/>
              </w:rPr>
            </w:pPr>
            <w:r>
              <w:rPr>
                <w:rFonts w:ascii="仿宋_GB2312" w:eastAsia="仿宋_GB2312" w:hint="eastAsia"/>
                <w:szCs w:val="21"/>
              </w:rPr>
              <w:t>签订合同公告（0419）</w:t>
            </w:r>
          </w:p>
          <w:p w:rsidR="00FD51EF" w:rsidRDefault="00A571B1">
            <w:pPr>
              <w:jc w:val="center"/>
              <w:rPr>
                <w:rFonts w:ascii="仿宋_GB2312" w:eastAsia="仿宋_GB2312"/>
                <w:szCs w:val="21"/>
              </w:rPr>
            </w:pPr>
            <w:r>
              <w:rPr>
                <w:rFonts w:ascii="仿宋_GB2312" w:eastAsia="仿宋_GB2312" w:hint="eastAsia"/>
                <w:szCs w:val="21"/>
              </w:rPr>
              <w:t>因境外市场发行证券披露的其他融资产品公告（1599）</w:t>
            </w:r>
          </w:p>
        </w:tc>
      </w:tr>
      <w:tr w:rsidR="00FD51EF">
        <w:tc>
          <w:tcPr>
            <w:tcW w:w="2802" w:type="dxa"/>
            <w:gridSpan w:val="2"/>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hint="eastAsia"/>
                <w:szCs w:val="21"/>
              </w:rPr>
              <w:t>交易日午间</w:t>
            </w:r>
          </w:p>
        </w:tc>
        <w:tc>
          <w:tcPr>
            <w:tcW w:w="2268" w:type="dxa"/>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hint="eastAsia"/>
                <w:szCs w:val="21"/>
              </w:rPr>
              <w:t>7:30—</w:t>
            </w:r>
            <w:r>
              <w:rPr>
                <w:rFonts w:ascii="仿宋_GB2312" w:eastAsia="仿宋_GB2312"/>
                <w:szCs w:val="21"/>
              </w:rPr>
              <w:t>12:30</w:t>
            </w:r>
          </w:p>
        </w:tc>
        <w:tc>
          <w:tcPr>
            <w:tcW w:w="3402" w:type="dxa"/>
            <w:tcBorders>
              <w:top w:val="single" w:sz="4" w:space="0" w:color="auto"/>
              <w:left w:val="single" w:sz="4" w:space="0" w:color="auto"/>
              <w:bottom w:val="single" w:sz="4" w:space="0" w:color="auto"/>
              <w:right w:val="single" w:sz="4" w:space="0" w:color="auto"/>
            </w:tcBorders>
            <w:vAlign w:val="center"/>
          </w:tcPr>
          <w:p w:rsidR="00FD51EF" w:rsidRDefault="00A571B1">
            <w:pPr>
              <w:jc w:val="center"/>
              <w:rPr>
                <w:rFonts w:ascii="仿宋_GB2312" w:eastAsia="仿宋_GB2312"/>
                <w:szCs w:val="21"/>
              </w:rPr>
            </w:pPr>
            <w:r>
              <w:rPr>
                <w:rFonts w:ascii="仿宋_GB2312" w:eastAsia="仿宋_GB2312" w:hint="eastAsia"/>
                <w:szCs w:val="21"/>
              </w:rPr>
              <w:t>停复牌提示公告（3301）</w:t>
            </w:r>
          </w:p>
          <w:p w:rsidR="00FD51EF" w:rsidRDefault="00A571B1">
            <w:pPr>
              <w:jc w:val="center"/>
              <w:rPr>
                <w:rFonts w:ascii="仿宋_GB2312" w:eastAsia="仿宋_GB2312"/>
                <w:szCs w:val="21"/>
              </w:rPr>
            </w:pPr>
            <w:r>
              <w:rPr>
                <w:rFonts w:ascii="仿宋_GB2312" w:eastAsia="仿宋_GB2312" w:hint="eastAsia"/>
                <w:szCs w:val="21"/>
              </w:rPr>
              <w:t>澄清与说明公告（1002）</w:t>
            </w:r>
          </w:p>
        </w:tc>
      </w:tr>
      <w:tr w:rsidR="00FD51EF">
        <w:tc>
          <w:tcPr>
            <w:tcW w:w="2802" w:type="dxa"/>
            <w:gridSpan w:val="2"/>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hint="eastAsia"/>
                <w:szCs w:val="21"/>
              </w:rPr>
              <w:t>非交易日</w:t>
            </w:r>
          </w:p>
        </w:tc>
        <w:tc>
          <w:tcPr>
            <w:tcW w:w="2268" w:type="dxa"/>
            <w:tcBorders>
              <w:top w:val="single" w:sz="4" w:space="0" w:color="auto"/>
              <w:left w:val="single" w:sz="4" w:space="0" w:color="auto"/>
              <w:bottom w:val="single" w:sz="4" w:space="0" w:color="auto"/>
              <w:right w:val="single" w:sz="4" w:space="0" w:color="auto"/>
            </w:tcBorders>
            <w:vAlign w:val="center"/>
          </w:tcPr>
          <w:p w:rsidR="00FD51EF" w:rsidRDefault="00A571B1">
            <w:pPr>
              <w:rPr>
                <w:rFonts w:ascii="仿宋_GB2312" w:eastAsia="仿宋_GB2312"/>
                <w:szCs w:val="21"/>
              </w:rPr>
            </w:pPr>
            <w:r>
              <w:rPr>
                <w:rFonts w:ascii="仿宋_GB2312" w:eastAsia="仿宋_GB2312" w:hint="eastAsia"/>
                <w:szCs w:val="21"/>
              </w:rPr>
              <w:t>13:00—</w:t>
            </w:r>
            <w:r>
              <w:rPr>
                <w:rFonts w:ascii="仿宋_GB2312" w:eastAsia="仿宋_GB2312"/>
                <w:szCs w:val="21"/>
              </w:rPr>
              <w:t>17:00</w:t>
            </w:r>
          </w:p>
        </w:tc>
        <w:tc>
          <w:tcPr>
            <w:tcW w:w="3402" w:type="dxa"/>
            <w:tcBorders>
              <w:top w:val="single" w:sz="4" w:space="0" w:color="auto"/>
              <w:left w:val="single" w:sz="4" w:space="0" w:color="auto"/>
              <w:bottom w:val="single" w:sz="4" w:space="0" w:color="auto"/>
              <w:right w:val="single" w:sz="4" w:space="0" w:color="auto"/>
            </w:tcBorders>
            <w:vAlign w:val="center"/>
          </w:tcPr>
          <w:p w:rsidR="00FD51EF" w:rsidRDefault="00A571B1">
            <w:pPr>
              <w:jc w:val="center"/>
              <w:rPr>
                <w:rFonts w:ascii="仿宋_GB2312" w:eastAsia="仿宋_GB2312"/>
                <w:szCs w:val="21"/>
              </w:rPr>
            </w:pPr>
            <w:r>
              <w:rPr>
                <w:rFonts w:ascii="仿宋_GB2312" w:eastAsia="仿宋_GB2312" w:hint="eastAsia"/>
                <w:szCs w:val="21"/>
              </w:rPr>
              <w:t>直通类别公告</w:t>
            </w:r>
          </w:p>
        </w:tc>
      </w:tr>
    </w:tbl>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7.上市公司在提交信息披露文件时，不能将多个文件合并为一个文件上传，并需准确选择是否登报、上网或备案的流转渠道，不能以上传公告上网附件及备查文件、非公告上网文件的形式，替代公告披露。</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8.上市公司应当对照系统预设的公告附件及备查文件列表，提交必备的附件及备查文件，并填写附件上网的标题。上市公司也可根据实际情况，自行补充其它与公告相关的附件及备查文件。</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9.上市公司在提交信息披露申请时，需要填写或确认关键字及数据采集项的，公司需认真、准确地完成相关项目的选择和填写。</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10.上市公司以其名义出具信息披露文件的，需要履行内部审议程序并取得充分授权。</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上市公司提交股东大会、董事会、监事会决议备查文件时，需同时提交董事、监事等相关人员签名页的电子扫描文件。</w:t>
      </w:r>
    </w:p>
    <w:p w:rsidR="001E36A7" w:rsidRDefault="00A571B1" w:rsidP="001E36A7">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上市公司提交由其他机构、个人盖章或签名的信息披露文件（如中介机构报告、协议或批文等），需提供相关机构、个人盖章或签名页的电子扫描文件。</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11.上市公司拟于同日披露多个相互关联公告的，需通过同一个</w:t>
      </w:r>
      <w:r>
        <w:rPr>
          <w:rFonts w:ascii="仿宋_GB2312" w:eastAsia="仿宋_GB2312" w:hint="eastAsia"/>
          <w:sz w:val="28"/>
          <w:szCs w:val="28"/>
        </w:rPr>
        <w:lastRenderedPageBreak/>
        <w:t>信息披露申请提交。</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上市公司创建的同一个信息披露申请中，如有一个或者一个以上的公告不属于直通公告范围的，该申请中的所有公告均不能通过直通方式办理。</w:t>
      </w:r>
    </w:p>
    <w:p w:rsidR="00FD51EF" w:rsidRDefault="00A571B1" w:rsidP="001E36A7">
      <w:pPr>
        <w:spacing w:line="600" w:lineRule="exact"/>
        <w:ind w:firstLineChars="200" w:firstLine="562"/>
        <w:rPr>
          <w:rFonts w:ascii="仿宋_GB2312" w:eastAsia="仿宋_GB2312"/>
          <w:sz w:val="28"/>
          <w:szCs w:val="28"/>
        </w:rPr>
      </w:pPr>
      <w:r>
        <w:rPr>
          <w:rFonts w:ascii="仿宋_GB2312" w:eastAsia="仿宋_GB2312"/>
          <w:b/>
          <w:sz w:val="28"/>
          <w:szCs w:val="28"/>
        </w:rPr>
        <w:t> </w:t>
      </w:r>
      <w:r>
        <w:rPr>
          <w:rFonts w:ascii="仿宋_GB2312" w:eastAsia="仿宋_GB2312" w:hint="eastAsia"/>
          <w:sz w:val="28"/>
          <w:szCs w:val="28"/>
        </w:rPr>
        <w:t>12.上市公司提交证券停复牌、权益分派、限售股份解禁等信息披露事项，需本所协助办理相关业务操作的，在提交信息披露申请的同时，需按照本所有关业务规则、指南的要求在系统填写并提交业务申请，或核对系统生成的业务申请并提交。</w:t>
      </w:r>
    </w:p>
    <w:p w:rsidR="001E36A7" w:rsidRDefault="00A571B1" w:rsidP="001E36A7">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13.上市公司提交直通公告申请的，点击“提交并发布”后，需认真核对拟发布的信息披露文件及相关申请事项，然后点击“确认提交”，完成该批次信息披露文件的确认发布。</w:t>
      </w:r>
    </w:p>
    <w:p w:rsidR="001E36A7" w:rsidRDefault="00A571B1" w:rsidP="001E36A7">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本所上市公司管理部门对直通公告进行事后审查，其中，对“交易日早间披露时段”和“交易日午间披露时段”披露的直通公告，于相应披露时段截止后开始事后审查；对“交易日盘后披露时段”披露的直通公告，于申请提交日盘后开始事后审查。</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上市公司需及时关注本所公司管理部门在系统中就公告类别、备查文件、业务申请等事项的增删、修改、替换填写的反馈意见，并进行相应修改。</w:t>
      </w:r>
    </w:p>
    <w:p w:rsidR="001E36A7" w:rsidRDefault="00A571B1" w:rsidP="001E36A7">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14.上市公司提交非直通公告申请的，本所上市公司管理部门对公告进行事前审查，其中，拟在“交易日早间披露时段”和“交易日午间披露时段”披露的非直通公告，于相应信息披露时段开始后进行事前审查；对拟在“交易日盘后披露时段”披露的非直通公告，于公告提交当日</w:t>
      </w:r>
      <w:r>
        <w:rPr>
          <w:rFonts w:ascii="仿宋_GB2312" w:eastAsia="仿宋_GB2312"/>
          <w:sz w:val="28"/>
          <w:szCs w:val="28"/>
        </w:rPr>
        <w:t>15:00</w:t>
      </w:r>
      <w:r>
        <w:rPr>
          <w:rFonts w:ascii="仿宋_GB2312" w:eastAsia="仿宋_GB2312" w:hint="eastAsia"/>
          <w:sz w:val="28"/>
          <w:szCs w:val="28"/>
        </w:rPr>
        <w:t>后进行事前审查。</w:t>
      </w:r>
    </w:p>
    <w:p w:rsidR="001E36A7" w:rsidRDefault="00A571B1" w:rsidP="001E36A7">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上市公司需关注非直通公告的审查状态。本所短信平台将在开始审查信息披露文件时、提出反馈意见时、信息披露申请审查通过时三个时点向上市公司信息披露申请的经办人发送提示短信。上市公司收到反馈的，应当及时根据反馈意见修改、补充相应公告内容及公告申请事项，或者删除公告。</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公告审查通过的，上市公司需再次核对公告信息，然后及时确认发布。其中，“交易日早间披露时段”和“交易日午间披露时段”披露的非直通公告，确认发布的最晚时间分别是8：40与12：40。</w:t>
      </w:r>
    </w:p>
    <w:p w:rsidR="00FD51EF" w:rsidRDefault="00A571B1">
      <w:pPr>
        <w:spacing w:line="600" w:lineRule="exact"/>
        <w:ind w:firstLineChars="200" w:firstLine="560"/>
        <w:rPr>
          <w:rFonts w:ascii="仿宋_GB2312" w:eastAsia="仿宋_GB2312"/>
          <w:sz w:val="28"/>
          <w:szCs w:val="28"/>
        </w:rPr>
      </w:pPr>
      <w:r>
        <w:rPr>
          <w:rFonts w:ascii="仿宋_GB2312" w:eastAsia="仿宋_GB2312" w:hint="eastAsia"/>
          <w:sz w:val="28"/>
          <w:szCs w:val="28"/>
        </w:rPr>
        <w:t>15.已提交但尚未进入审查状态的非直通信息披露申请文件，如需修改或撤销的，上市公司可通过“错发回收”予以收回。</w:t>
      </w:r>
    </w:p>
    <w:p w:rsidR="00FD51EF" w:rsidRDefault="00A571B1">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上市公司信息披露文件在确认发布后，一般不能修改或撤销。如属于下列情形的可按程序办理。</w:t>
      </w:r>
    </w:p>
    <w:p w:rsidR="00FD51EF" w:rsidRDefault="00A571B1">
      <w:pPr>
        <w:spacing w:line="600" w:lineRule="exact"/>
        <w:ind w:firstLineChars="200" w:firstLine="560"/>
        <w:rPr>
          <w:rFonts w:ascii="仿宋_GB2312" w:eastAsia="仿宋_GB2312"/>
          <w:sz w:val="28"/>
          <w:szCs w:val="28"/>
        </w:rPr>
      </w:pPr>
      <w:r>
        <w:rPr>
          <w:rFonts w:ascii="仿宋_GB2312" w:eastAsia="仿宋_GB2312" w:hint="eastAsia"/>
          <w:sz w:val="28"/>
          <w:szCs w:val="28"/>
        </w:rPr>
        <w:t>（1）已提交但尚未上网披露的直通信息披露申请文件，如需修改或撤销的，上市公司可自行操作“撤销”予以收回；</w:t>
      </w:r>
    </w:p>
    <w:p w:rsidR="00FD51EF" w:rsidRDefault="00A571B1">
      <w:pPr>
        <w:spacing w:line="600" w:lineRule="exact"/>
        <w:ind w:firstLineChars="200" w:firstLine="560"/>
        <w:rPr>
          <w:rFonts w:ascii="仿宋_GB2312" w:eastAsia="仿宋_GB2312"/>
          <w:color w:val="FF0000"/>
          <w:sz w:val="28"/>
          <w:szCs w:val="28"/>
        </w:rPr>
      </w:pPr>
      <w:r>
        <w:rPr>
          <w:rFonts w:ascii="仿宋_GB2312" w:eastAsia="仿宋_GB2312" w:hint="eastAsia"/>
          <w:sz w:val="28"/>
          <w:szCs w:val="28"/>
        </w:rPr>
        <w:t>（2）已确认发布但尚未上网披露的非直通信息披露申请文件，确需修改或撤销的，上市公司可第一时间联系本所上市公司管理部门。</w:t>
      </w:r>
    </w:p>
    <w:p w:rsidR="00FD51EF" w:rsidRDefault="00A571B1">
      <w:pPr>
        <w:spacing w:line="600" w:lineRule="exact"/>
        <w:ind w:firstLineChars="200" w:firstLine="560"/>
        <w:rPr>
          <w:rFonts w:ascii="仿宋_GB2312" w:eastAsia="仿宋_GB2312"/>
          <w:sz w:val="28"/>
          <w:szCs w:val="28"/>
        </w:rPr>
      </w:pPr>
      <w:r>
        <w:rPr>
          <w:rFonts w:ascii="仿宋_GB2312" w:eastAsia="仿宋_GB2312" w:hint="eastAsia"/>
          <w:sz w:val="28"/>
          <w:szCs w:val="28"/>
        </w:rPr>
        <w:t>16.上市公司可以在信息披露申请页面查看信息披露文件的发布状态。上市公司提交的信息披露文件将在确认发布后在本所网站发布。</w:t>
      </w:r>
    </w:p>
    <w:p w:rsidR="00FD51EF" w:rsidRDefault="00A571B1">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上市公司选择在指定媒体刊登公告的，可在信息披露申请页面点击“媒体回执”，查看媒体下载情况。</w:t>
      </w:r>
    </w:p>
    <w:p w:rsidR="00FD51EF" w:rsidRDefault="00A571B1">
      <w:pPr>
        <w:spacing w:line="600" w:lineRule="exact"/>
        <w:ind w:firstLineChars="200" w:firstLine="560"/>
        <w:rPr>
          <w:rFonts w:ascii="仿宋_GB2312" w:eastAsia="仿宋_GB2312"/>
          <w:sz w:val="28"/>
          <w:szCs w:val="28"/>
        </w:rPr>
      </w:pPr>
      <w:r>
        <w:rPr>
          <w:rFonts w:ascii="仿宋_GB2312" w:eastAsia="仿宋_GB2312" w:hint="eastAsia"/>
          <w:sz w:val="28"/>
          <w:szCs w:val="28"/>
        </w:rPr>
        <w:t>17.上市公司应当按照《上市公司公告电子文件编制规范》（附件2），制作公告电子文件。</w:t>
      </w:r>
    </w:p>
    <w:p w:rsidR="00FD51EF" w:rsidRDefault="00A571B1">
      <w:pPr>
        <w:spacing w:line="600" w:lineRule="exact"/>
        <w:ind w:firstLineChars="200" w:firstLine="560"/>
        <w:rPr>
          <w:rFonts w:ascii="仿宋_GB2312" w:eastAsia="仿宋_GB2312"/>
          <w:sz w:val="28"/>
          <w:szCs w:val="28"/>
        </w:rPr>
      </w:pPr>
      <w:r>
        <w:rPr>
          <w:rFonts w:ascii="仿宋_GB2312" w:eastAsia="仿宋_GB2312" w:hint="eastAsia"/>
          <w:sz w:val="28"/>
          <w:szCs w:val="28"/>
        </w:rPr>
        <w:t>18.上市公司披露定期报告、股东大会、权益分派、减持计划及</w:t>
      </w:r>
      <w:r>
        <w:rPr>
          <w:rFonts w:ascii="仿宋_GB2312" w:eastAsia="仿宋_GB2312" w:hint="eastAsia"/>
          <w:sz w:val="28"/>
          <w:szCs w:val="28"/>
        </w:rPr>
        <w:lastRenderedPageBreak/>
        <w:t>进展、内部控制评价报告等指定类别公告的，需按照本所的有关要求，使用本所提供的公告编制软件中的公告模板编制公告。</w:t>
      </w:r>
    </w:p>
    <w:p w:rsidR="00FD51EF" w:rsidRDefault="00A571B1">
      <w:pPr>
        <w:spacing w:line="600" w:lineRule="exact"/>
        <w:ind w:firstLineChars="200" w:firstLine="560"/>
        <w:rPr>
          <w:rFonts w:ascii="仿宋_GB2312" w:eastAsia="仿宋_GB2312" w:hAnsi="仿宋_GB2312" w:cs="仿宋_GB2312"/>
          <w:sz w:val="28"/>
          <w:szCs w:val="28"/>
        </w:rPr>
      </w:pPr>
      <w:r>
        <w:rPr>
          <w:rFonts w:ascii="仿宋_GB2312" w:eastAsia="仿宋_GB2312" w:hint="eastAsia"/>
          <w:sz w:val="28"/>
          <w:szCs w:val="28"/>
        </w:rPr>
        <w:t>19.</w:t>
      </w:r>
      <w:r>
        <w:rPr>
          <w:rFonts w:ascii="仿宋_GB2312" w:eastAsia="仿宋_GB2312" w:hAnsi="仿宋_GB2312" w:cs="仿宋_GB2312" w:hint="eastAsia"/>
          <w:sz w:val="28"/>
          <w:szCs w:val="28"/>
        </w:rPr>
        <w:t>因不可抗力、意外事件及技术故障等原因</w:t>
      </w:r>
      <w:r>
        <w:rPr>
          <w:rFonts w:ascii="仿宋_GB2312" w:eastAsia="仿宋_GB2312" w:hint="eastAsia"/>
          <w:sz w:val="28"/>
          <w:szCs w:val="28"/>
        </w:rPr>
        <w:t>，上市公司无法使用系统提交信息披露申请的，</w:t>
      </w:r>
      <w:r>
        <w:rPr>
          <w:rFonts w:ascii="仿宋_GB2312" w:eastAsia="仿宋_GB2312" w:hAnsi="仿宋_GB2312" w:cs="仿宋_GB2312" w:hint="eastAsia"/>
          <w:sz w:val="28"/>
          <w:szCs w:val="28"/>
        </w:rPr>
        <w:t>可以按照本所认可的其他方式办理信息披露事项。</w:t>
      </w:r>
    </w:p>
    <w:p w:rsidR="00FD51EF" w:rsidRDefault="00A571B1">
      <w:pPr>
        <w:spacing w:line="600" w:lineRule="exact"/>
        <w:ind w:firstLineChars="200" w:firstLine="560"/>
        <w:rPr>
          <w:rFonts w:ascii="仿宋_GB2312" w:eastAsia="仿宋_GB2312"/>
          <w:sz w:val="28"/>
          <w:szCs w:val="28"/>
        </w:rPr>
      </w:pPr>
      <w:r>
        <w:rPr>
          <w:rFonts w:ascii="仿宋_GB2312" w:eastAsia="仿宋_GB2312" w:hint="eastAsia"/>
          <w:sz w:val="28"/>
          <w:szCs w:val="28"/>
        </w:rPr>
        <w:t>20.上市公司以系统之外的其他方式披露公告的，需及时在系统补充提交已披露的信息披露文件。补充提交公告的“披露时段”为“补充提交”，“披露日期”为公告实际披露日期。补充提交的信息披露文件不会在本所网站重复披露。</w:t>
      </w:r>
    </w:p>
    <w:p w:rsidR="00FD51EF" w:rsidRDefault="00A571B1">
      <w:pPr>
        <w:spacing w:line="600" w:lineRule="exact"/>
        <w:ind w:firstLineChars="200" w:firstLine="560"/>
        <w:rPr>
          <w:rFonts w:ascii="仿宋_GB2312" w:eastAsia="仿宋_GB2312"/>
          <w:sz w:val="28"/>
          <w:szCs w:val="28"/>
        </w:rPr>
      </w:pPr>
      <w:r>
        <w:rPr>
          <w:rFonts w:ascii="仿宋_GB2312" w:eastAsia="仿宋_GB2312" w:hint="eastAsia"/>
          <w:sz w:val="28"/>
          <w:szCs w:val="28"/>
        </w:rPr>
        <w:t>21.境内外同时上市的公司，应当根据各地证券市场信息披露规则的要求，合理安排信息披露文件的发布时间，确保公平披露信息。</w:t>
      </w:r>
    </w:p>
    <w:p w:rsidR="00FD51EF" w:rsidRDefault="00A571B1" w:rsidP="001E36A7">
      <w:pPr>
        <w:spacing w:line="600" w:lineRule="exact"/>
        <w:ind w:firstLineChars="200" w:firstLine="562"/>
        <w:rPr>
          <w:rFonts w:ascii="仿宋_GB2312" w:eastAsia="仿宋_GB2312"/>
          <w:b/>
          <w:sz w:val="28"/>
          <w:szCs w:val="28"/>
        </w:rPr>
      </w:pPr>
      <w:r>
        <w:rPr>
          <w:rFonts w:ascii="仿宋_GB2312" w:eastAsia="仿宋_GB2312" w:hint="eastAsia"/>
          <w:b/>
          <w:sz w:val="28"/>
          <w:szCs w:val="28"/>
        </w:rPr>
        <w:t>三、其他信息披露业务</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1.上市公司需关注披露定期报告相关通知，及时通过系统“信息披露”下的“定期报告预约及变更”栏目，预约定期报告披露时间。在预约期间内，公司可根据预约状态自行选择、修改披露时间。预约期后，公司如需变更预约披露日期，应当创建“定期报告预约变更”流程，填写变更原因并重新选择预约日期，并关注流程的审核状态。</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2.本所上市公司管理部门通过系统向上市公司发送监管函件，上市公司通过系统的“监管互动”栏目，接收并查看本所的监管函件。</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上市公司如需向上市公司管理部门提交其他业务相关文件的，通过“监管互动”提交。</w:t>
      </w:r>
    </w:p>
    <w:p w:rsidR="00FD51EF" w:rsidRDefault="00A571B1" w:rsidP="001E36A7">
      <w:pPr>
        <w:spacing w:line="600" w:lineRule="exact"/>
        <w:ind w:firstLineChars="200" w:firstLine="560"/>
        <w:rPr>
          <w:rFonts w:ascii="仿宋_GB2312" w:eastAsia="仿宋_GB2312"/>
          <w:sz w:val="28"/>
          <w:szCs w:val="28"/>
        </w:rPr>
      </w:pPr>
      <w:r>
        <w:rPr>
          <w:rFonts w:ascii="仿宋_GB2312" w:eastAsia="仿宋_GB2312" w:hint="eastAsia"/>
          <w:sz w:val="28"/>
          <w:szCs w:val="28"/>
        </w:rPr>
        <w:t>上市公司回复监管函件或发送其他函件的，需及时联系上市公司管理部门，并关注上述流程的流转状态。</w:t>
      </w:r>
    </w:p>
    <w:p w:rsidR="00502FED" w:rsidRDefault="00502FED" w:rsidP="00502FED">
      <w:pPr>
        <w:spacing w:line="6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附件1：</w:t>
      </w:r>
    </w:p>
    <w:p w:rsidR="00502FED" w:rsidRDefault="00502FED" w:rsidP="00502FED">
      <w:pPr>
        <w:spacing w:line="600" w:lineRule="exact"/>
        <w:jc w:val="center"/>
        <w:rPr>
          <w:rFonts w:ascii="仿宋_GB2312" w:eastAsia="仿宋_GB2312" w:hAnsi="宋体"/>
          <w:b/>
          <w:sz w:val="28"/>
          <w:szCs w:val="28"/>
        </w:rPr>
      </w:pPr>
      <w:r>
        <w:rPr>
          <w:rFonts w:ascii="仿宋_GB2312" w:eastAsia="仿宋_GB2312" w:hint="eastAsia"/>
          <w:sz w:val="28"/>
          <w:szCs w:val="28"/>
        </w:rPr>
        <w:t>上海证券交易所信息披露公告类别索引</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9"/>
        <w:gridCol w:w="964"/>
        <w:gridCol w:w="964"/>
        <w:gridCol w:w="964"/>
        <w:gridCol w:w="1696"/>
        <w:gridCol w:w="1009"/>
        <w:gridCol w:w="1015"/>
        <w:gridCol w:w="747"/>
      </w:tblGrid>
      <w:tr w:rsidR="00502FED" w:rsidTr="0040680D">
        <w:trPr>
          <w:trHeight w:val="1149"/>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总编号</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一级公告序号</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一级公告类别</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二级公告序号</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二级公告类别</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直通披露公告范围(是“√”，否“×”)</w:t>
            </w:r>
          </w:p>
        </w:tc>
        <w:tc>
          <w:tcPr>
            <w:tcW w:w="1015"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对应业务申请</w:t>
            </w:r>
          </w:p>
        </w:tc>
        <w:tc>
          <w:tcPr>
            <w:tcW w:w="747"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备注</w:t>
            </w:r>
          </w:p>
        </w:tc>
      </w:tr>
      <w:tr w:rsidR="00502FED" w:rsidTr="0040680D">
        <w:trPr>
          <w:trHeight w:val="51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定期报告</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年报</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一季报</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半年报</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104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三季报</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5</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董事会和监事会</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董事会决议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监事会决议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推选职工董事或者监事</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204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董事会审议变更证券简称</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9</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股东大会</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股东大会召开通知</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股东大会相关提示</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股东大会延期</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股东大会取消</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增加临时提案</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14</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307</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取消提案</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6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15</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308</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股东、监事会自行召集股东大会</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16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股东大会不能正常召开</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股东大会决议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股东大会补充更正</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19</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应当披露的交易</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购买资产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出售资产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对外投资</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404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委托理财</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405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委托贷款</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406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提供财务资助</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25</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407</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接受财务资助</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408</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租入资产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409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租出资产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410</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委托管理资产和业务</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受托管理资产和业务</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赠与资产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受赠资产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债权重组</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债务重组</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34</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签订许可使用协议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35</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417</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转让研究与开发项目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418</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受让研究与开发项目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9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419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签订日常经营合同</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420</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矿业权交易</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39</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421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新建项目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9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422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应当披露交易的提示</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9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423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应当披露交易的进展</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9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424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应当披露交易已完成</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425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签订战略框架协议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44</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426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与私募基金合作投资</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51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45</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kern w:val="0"/>
                <w:sz w:val="20"/>
                <w:szCs w:val="20"/>
              </w:rPr>
              <w:t>427</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开展新业务</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highlight w:val="yellow"/>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highlight w:val="yellow"/>
              </w:rPr>
            </w:pPr>
          </w:p>
        </w:tc>
      </w:tr>
      <w:tr w:rsidR="00502FED" w:rsidTr="0040680D">
        <w:trPr>
          <w:trHeight w:val="99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499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其他应当披露的交易</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47</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5</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关联交易</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日常关联交易</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向关联人提供担保或反担保</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51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49</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向关联人购买资产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50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504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向关联人出售资产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51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505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与关联人共同投资</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52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506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向关联人委托理财</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507</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向关联人委托贷款</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6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54</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508</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向关联人提供财务资助</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55</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509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接受关联人财务资助</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56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510</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向关联人租入资产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57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向关联人租出资产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58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委托关联人管理资产和业务</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59</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受托管理关联人资产和业务</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向关联人赠与资产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受赠关联人资产</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与关联人债权重组</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517</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与关联人债务重组</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64</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518</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与关联人签订许可使用协议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6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65</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519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向关联人转让研究与开发项目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6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520</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受让关联人的研究与开发项目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6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向关联人购买原材料、燃料、动力</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向关联人销售产品、商品</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69</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向关联人提供劳务</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接受关联人所提供的劳务</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71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委托关联人销售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受关联人之托进行销售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527</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与关联人财务公司的交易</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51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74</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528</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关联交易的提示</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75</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529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关联交易的进展</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530</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关联交易的完成</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599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其他应披露的关联交易</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51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78</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6</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对外担保</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601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年度担保预计</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79</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602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为控股子公司提供担保</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603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其他对外担保</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604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提供反担保</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605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对外担保责任解除</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6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606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被担保人可能无法清偿担保债务</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84</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7</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募集资金使用与管理</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签署募集资金存管协议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9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85</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超募资金/结余募集资金的使用</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募集资金使用进展情况</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704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变更募集资金用途</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9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705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用募集资金置换预先投入的自筹资金</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89</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706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募集资金临时补充流动资金</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51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707</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归还募集资金</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9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91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708</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募集资金存放与使用情况报告</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709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前次募集资金使用情况报告</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123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799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其他与募集资金使用与管理有关的事项</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94</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8</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业绩预告、业绩快报和盈利预测</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预盈</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6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95</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盈亏不确定</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预亏</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804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业绩大幅提升</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805</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业绩大幅下降</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99</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806</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业绩快报</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96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100</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807</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其他类型业绩预告</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808</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定期经营数据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809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业绩预告更正</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103</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810</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业绩快报更正</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48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104</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811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盈利预测更正</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2773"/>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105</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利润分配和资本公积金转增股本</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901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实施利润分配和资本公积金转增</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1权益分派及送转股份/存托凭证上市申请</w:t>
            </w:r>
            <w:r>
              <w:rPr>
                <w:rFonts w:ascii="仿宋_GB2312" w:eastAsia="仿宋_GB2312" w:hAnsi="宋体" w:cs="仿宋_GB2312" w:hint="eastAsia"/>
                <w:kern w:val="0"/>
                <w:sz w:val="20"/>
                <w:szCs w:val="20"/>
              </w:rPr>
              <w:br/>
              <w:t>2*送股（转增股本）登记通知</w:t>
            </w:r>
          </w:p>
        </w:tc>
        <w:tc>
          <w:tcPr>
            <w:tcW w:w="747" w:type="dxa"/>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106</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902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董事会审议高送转</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sz w:val="20"/>
                <w:szCs w:val="20"/>
              </w:rPr>
            </w:pPr>
          </w:p>
        </w:tc>
      </w:tr>
      <w:tr w:rsidR="00502FED" w:rsidTr="0040680D">
        <w:trPr>
          <w:trHeight w:val="123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107</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903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股东或董事会关于利润分配或转增股本的提议</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sz w:val="20"/>
                <w:szCs w:val="20"/>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108</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kern w:val="0"/>
                <w:sz w:val="20"/>
                <w:szCs w:val="20"/>
              </w:rPr>
              <w:t>904</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送股及转增股份上市</w:t>
            </w:r>
          </w:p>
        </w:tc>
        <w:tc>
          <w:tcPr>
            <w:tcW w:w="1009" w:type="dxa"/>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r>
              <w:rPr>
                <w:rFonts w:ascii="仿宋_GB2312" w:eastAsia="仿宋_GB2312" w:hAnsi="宋体" w:cs="仿宋_GB2312" w:hint="eastAsia"/>
                <w:sz w:val="20"/>
                <w:szCs w:val="20"/>
              </w:rPr>
              <w:t>送（转）股票/存托凭证上市申请（如适用）</w:t>
            </w:r>
          </w:p>
        </w:tc>
        <w:tc>
          <w:tcPr>
            <w:tcW w:w="747" w:type="dxa"/>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sz w:val="20"/>
                <w:szCs w:val="20"/>
              </w:rPr>
            </w:pPr>
          </w:p>
        </w:tc>
      </w:tr>
      <w:tr w:rsidR="00502FED" w:rsidTr="0040680D">
        <w:trPr>
          <w:trHeight w:val="96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109</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999</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与利润分配或转增相关的其他事项</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noWrap/>
            <w:tcMar>
              <w:top w:w="15" w:type="dxa"/>
              <w:left w:w="15" w:type="dxa"/>
              <w:right w:w="15" w:type="dxa"/>
            </w:tcMar>
            <w:vAlign w:val="center"/>
          </w:tcPr>
          <w:p w:rsidR="00502FED" w:rsidRDefault="00502FED" w:rsidP="0040680D">
            <w:pPr>
              <w:jc w:val="left"/>
              <w:rPr>
                <w:rFonts w:ascii="仿宋_GB2312" w:eastAsia="仿宋_GB2312" w:hAnsi="宋体" w:cs="仿宋_GB2312"/>
                <w:sz w:val="22"/>
                <w:szCs w:val="22"/>
              </w:rPr>
            </w:pPr>
          </w:p>
        </w:tc>
        <w:tc>
          <w:tcPr>
            <w:tcW w:w="747" w:type="dxa"/>
            <w:shd w:val="clear" w:color="auto" w:fill="auto"/>
            <w:noWrap/>
            <w:tcMar>
              <w:top w:w="15" w:type="dxa"/>
              <w:left w:w="15" w:type="dxa"/>
              <w:right w:w="15" w:type="dxa"/>
            </w:tcMar>
            <w:vAlign w:val="center"/>
          </w:tcPr>
          <w:p w:rsidR="00502FED" w:rsidRDefault="00502FED" w:rsidP="0040680D">
            <w:pPr>
              <w:rPr>
                <w:rFonts w:ascii="仿宋_GB2312" w:eastAsia="仿宋_GB2312" w:hAnsi="宋体" w:cs="仿宋_GB2312"/>
                <w:sz w:val="22"/>
                <w:szCs w:val="22"/>
              </w:rPr>
            </w:pPr>
          </w:p>
        </w:tc>
      </w:tr>
      <w:tr w:rsidR="00502FED" w:rsidTr="0040680D">
        <w:trPr>
          <w:trHeight w:val="75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110</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10</w:t>
            </w:r>
          </w:p>
        </w:tc>
        <w:tc>
          <w:tcPr>
            <w:tcW w:w="964" w:type="dxa"/>
            <w:vMerge w:val="restart"/>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股票交易异常波动和澄清</w:t>
            </w: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1001</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异常波动</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111</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1002</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澄清或说明</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502FED" w:rsidTr="0040680D">
        <w:trPr>
          <w:trHeight w:val="720"/>
        </w:trPr>
        <w:tc>
          <w:tcPr>
            <w:tcW w:w="96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112</w:t>
            </w: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502FED" w:rsidRDefault="00502FED"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1003</w:t>
            </w:r>
          </w:p>
        </w:tc>
        <w:tc>
          <w:tcPr>
            <w:tcW w:w="1696"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其他股价异常</w:t>
            </w:r>
          </w:p>
        </w:tc>
        <w:tc>
          <w:tcPr>
            <w:tcW w:w="1009" w:type="dxa"/>
            <w:shd w:val="clear" w:color="auto" w:fill="auto"/>
            <w:tcMar>
              <w:top w:w="15" w:type="dxa"/>
              <w:left w:w="15" w:type="dxa"/>
              <w:right w:w="15" w:type="dxa"/>
            </w:tcMar>
            <w:vAlign w:val="center"/>
          </w:tcPr>
          <w:p w:rsidR="00502FED" w:rsidRDefault="00502FED"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502FED" w:rsidRDefault="00502FED"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113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kern w:val="0"/>
                <w:sz w:val="20"/>
                <w:szCs w:val="20"/>
              </w:rPr>
              <w:t>1004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严重异常波动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114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Pr="000854C4" w:rsidRDefault="00667B75" w:rsidP="0040680D">
            <w:pPr>
              <w:widowControl/>
              <w:jc w:val="center"/>
              <w:textAlignment w:val="center"/>
              <w:rPr>
                <w:rFonts w:ascii="仿宋_GB2312" w:eastAsia="仿宋_GB2312" w:hAnsi="宋体" w:cs="仿宋_GB2312"/>
                <w:kern w:val="0"/>
                <w:sz w:val="20"/>
                <w:szCs w:val="20"/>
              </w:rPr>
            </w:pPr>
            <w:r w:rsidRPr="000854C4">
              <w:rPr>
                <w:rFonts w:ascii="仿宋_GB2312" w:eastAsia="仿宋_GB2312" w:hAnsi="宋体" w:cs="仿宋_GB2312"/>
                <w:kern w:val="0"/>
                <w:sz w:val="20"/>
                <w:szCs w:val="20"/>
              </w:rPr>
              <w:t>1005</w:t>
            </w:r>
          </w:p>
        </w:tc>
        <w:tc>
          <w:tcPr>
            <w:tcW w:w="1696" w:type="dxa"/>
            <w:shd w:val="clear" w:color="auto" w:fill="auto"/>
            <w:tcMar>
              <w:top w:w="15" w:type="dxa"/>
              <w:left w:w="15" w:type="dxa"/>
              <w:right w:w="15" w:type="dxa"/>
            </w:tcMar>
            <w:vAlign w:val="center"/>
          </w:tcPr>
          <w:p w:rsidR="00DB2E41" w:rsidRPr="000854C4" w:rsidRDefault="00667B75" w:rsidP="0040680D">
            <w:pPr>
              <w:widowControl/>
              <w:jc w:val="center"/>
              <w:textAlignment w:val="center"/>
              <w:rPr>
                <w:rFonts w:ascii="仿宋_GB2312" w:eastAsia="仿宋_GB2312" w:hAnsi="宋体" w:cs="仿宋_GB2312"/>
                <w:kern w:val="0"/>
                <w:sz w:val="20"/>
                <w:szCs w:val="20"/>
              </w:rPr>
            </w:pPr>
            <w:r w:rsidRPr="000854C4">
              <w:rPr>
                <w:rFonts w:ascii="仿宋_GB2312" w:eastAsia="仿宋_GB2312" w:hAnsi="宋体" w:cs="仿宋_GB2312" w:hint="eastAsia"/>
                <w:kern w:val="0"/>
                <w:sz w:val="20"/>
                <w:szCs w:val="20"/>
              </w:rPr>
              <w:t>可转债异常波动</w:t>
            </w:r>
          </w:p>
        </w:tc>
        <w:tc>
          <w:tcPr>
            <w:tcW w:w="1009" w:type="dxa"/>
            <w:shd w:val="clear" w:color="auto" w:fill="auto"/>
            <w:tcMar>
              <w:top w:w="15" w:type="dxa"/>
              <w:left w:w="15" w:type="dxa"/>
              <w:right w:w="15" w:type="dxa"/>
            </w:tcMar>
            <w:vAlign w:val="center"/>
          </w:tcPr>
          <w:p w:rsidR="00DB2E41" w:rsidRPr="000854C4" w:rsidRDefault="00667B75" w:rsidP="0040680D">
            <w:pPr>
              <w:widowControl/>
              <w:jc w:val="center"/>
              <w:textAlignment w:val="center"/>
              <w:rPr>
                <w:rFonts w:ascii="仿宋_GB2312" w:eastAsia="仿宋_GB2312" w:hAnsi="宋体" w:cs="仿宋_GB2312"/>
                <w:b/>
                <w:kern w:val="0"/>
                <w:sz w:val="20"/>
                <w:szCs w:val="20"/>
              </w:rPr>
            </w:pPr>
            <w:r w:rsidRPr="000854C4">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Pr="00DB2E41" w:rsidRDefault="00DB2E41" w:rsidP="0040680D">
            <w:pPr>
              <w:jc w:val="left"/>
              <w:rPr>
                <w:rFonts w:ascii="仿宋_GB2312" w:eastAsia="仿宋_GB2312" w:hAnsi="宋体" w:cs="仿宋_GB2312"/>
                <w:sz w:val="20"/>
                <w:szCs w:val="20"/>
                <w:highlight w:val="yellow"/>
              </w:rPr>
            </w:pPr>
          </w:p>
        </w:tc>
        <w:tc>
          <w:tcPr>
            <w:tcW w:w="747" w:type="dxa"/>
            <w:shd w:val="clear" w:color="auto" w:fill="auto"/>
            <w:tcMar>
              <w:top w:w="15" w:type="dxa"/>
              <w:left w:w="15" w:type="dxa"/>
              <w:right w:w="15" w:type="dxa"/>
            </w:tcMar>
            <w:vAlign w:val="center"/>
          </w:tcPr>
          <w:p w:rsidR="00DB2E41" w:rsidRPr="00DB2E41" w:rsidRDefault="00DB2E41" w:rsidP="0040680D">
            <w:pPr>
              <w:jc w:val="left"/>
              <w:rPr>
                <w:rFonts w:ascii="仿宋_GB2312" w:eastAsia="仿宋_GB2312" w:hAnsi="宋体" w:cs="仿宋_GB2312"/>
                <w:sz w:val="20"/>
                <w:szCs w:val="20"/>
                <w:highlight w:val="yellow"/>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115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Pr="000854C4" w:rsidRDefault="00667B75" w:rsidP="0040680D">
            <w:pPr>
              <w:widowControl/>
              <w:jc w:val="center"/>
              <w:textAlignment w:val="center"/>
              <w:rPr>
                <w:rFonts w:ascii="仿宋_GB2312" w:eastAsia="仿宋_GB2312" w:hAnsi="宋体" w:cs="仿宋_GB2312"/>
                <w:kern w:val="0"/>
                <w:sz w:val="20"/>
                <w:szCs w:val="20"/>
              </w:rPr>
            </w:pPr>
            <w:r w:rsidRPr="000854C4">
              <w:rPr>
                <w:rFonts w:ascii="仿宋_GB2312" w:eastAsia="仿宋_GB2312" w:hAnsi="宋体" w:cs="仿宋_GB2312"/>
                <w:kern w:val="0"/>
                <w:sz w:val="20"/>
                <w:szCs w:val="20"/>
              </w:rPr>
              <w:t>1006</w:t>
            </w:r>
          </w:p>
        </w:tc>
        <w:tc>
          <w:tcPr>
            <w:tcW w:w="1696" w:type="dxa"/>
            <w:shd w:val="clear" w:color="auto" w:fill="auto"/>
            <w:tcMar>
              <w:top w:w="15" w:type="dxa"/>
              <w:left w:w="15" w:type="dxa"/>
              <w:right w:w="15" w:type="dxa"/>
            </w:tcMar>
            <w:vAlign w:val="center"/>
          </w:tcPr>
          <w:p w:rsidR="00DB2E41" w:rsidRPr="000854C4" w:rsidRDefault="00667B75" w:rsidP="0040680D">
            <w:pPr>
              <w:widowControl/>
              <w:jc w:val="center"/>
              <w:textAlignment w:val="center"/>
              <w:rPr>
                <w:rFonts w:ascii="仿宋_GB2312" w:eastAsia="仿宋_GB2312" w:hAnsi="宋体" w:cs="仿宋_GB2312"/>
                <w:kern w:val="0"/>
                <w:sz w:val="20"/>
                <w:szCs w:val="20"/>
              </w:rPr>
            </w:pPr>
            <w:r w:rsidRPr="000854C4">
              <w:rPr>
                <w:rFonts w:ascii="仿宋_GB2312" w:eastAsia="仿宋_GB2312" w:hAnsi="宋体" w:cs="仿宋_GB2312" w:hint="eastAsia"/>
                <w:kern w:val="0"/>
                <w:sz w:val="20"/>
                <w:szCs w:val="20"/>
              </w:rPr>
              <w:t>可转债严重异常波动</w:t>
            </w:r>
          </w:p>
        </w:tc>
        <w:tc>
          <w:tcPr>
            <w:tcW w:w="1009" w:type="dxa"/>
            <w:shd w:val="clear" w:color="auto" w:fill="auto"/>
            <w:tcMar>
              <w:top w:w="15" w:type="dxa"/>
              <w:left w:w="15" w:type="dxa"/>
              <w:right w:w="15" w:type="dxa"/>
            </w:tcMar>
            <w:vAlign w:val="center"/>
          </w:tcPr>
          <w:p w:rsidR="00DB2E41" w:rsidRPr="000854C4" w:rsidRDefault="00667B75" w:rsidP="0040680D">
            <w:pPr>
              <w:widowControl/>
              <w:jc w:val="center"/>
              <w:textAlignment w:val="center"/>
              <w:rPr>
                <w:rFonts w:ascii="仿宋_GB2312" w:eastAsia="仿宋_GB2312" w:hAnsi="宋体" w:cs="仿宋_GB2312"/>
                <w:b/>
                <w:kern w:val="0"/>
                <w:sz w:val="20"/>
                <w:szCs w:val="20"/>
              </w:rPr>
            </w:pPr>
            <w:r w:rsidRPr="000854C4">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Pr="00DB2E41" w:rsidRDefault="00DB2E41" w:rsidP="0040680D">
            <w:pPr>
              <w:jc w:val="left"/>
              <w:rPr>
                <w:rFonts w:ascii="仿宋_GB2312" w:eastAsia="仿宋_GB2312" w:hAnsi="宋体" w:cs="仿宋_GB2312"/>
                <w:sz w:val="20"/>
                <w:szCs w:val="20"/>
                <w:highlight w:val="yellow"/>
              </w:rPr>
            </w:pPr>
          </w:p>
        </w:tc>
        <w:tc>
          <w:tcPr>
            <w:tcW w:w="747" w:type="dxa"/>
            <w:shd w:val="clear" w:color="auto" w:fill="auto"/>
            <w:tcMar>
              <w:top w:w="15" w:type="dxa"/>
              <w:left w:w="15" w:type="dxa"/>
              <w:right w:w="15" w:type="dxa"/>
            </w:tcMar>
            <w:vAlign w:val="center"/>
          </w:tcPr>
          <w:p w:rsidR="00DB2E41" w:rsidRPr="00DB2E41" w:rsidRDefault="00DB2E41" w:rsidP="0040680D">
            <w:pPr>
              <w:jc w:val="left"/>
              <w:rPr>
                <w:rFonts w:ascii="仿宋_GB2312" w:eastAsia="仿宋_GB2312" w:hAnsi="宋体" w:cs="仿宋_GB2312"/>
                <w:sz w:val="20"/>
                <w:szCs w:val="20"/>
                <w:highlight w:val="yellow"/>
              </w:rPr>
            </w:pPr>
          </w:p>
        </w:tc>
      </w:tr>
      <w:tr w:rsidR="00DB2E41" w:rsidTr="0040680D">
        <w:trPr>
          <w:trHeight w:val="2067"/>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11</w:t>
            </w:r>
            <w:r w:rsidR="0092432E">
              <w:rPr>
                <w:rFonts w:ascii="仿宋_GB2312" w:eastAsia="仿宋_GB2312" w:hAnsi="宋体" w:cs="仿宋_GB2312" w:hint="eastAsia"/>
                <w:b/>
                <w:kern w:val="0"/>
                <w:sz w:val="20"/>
                <w:szCs w:val="20"/>
              </w:rPr>
              <w:t>6</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11</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股份上市流通与股本变动</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1101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首发限售股份上市</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1股票</w:t>
            </w:r>
            <w:r>
              <w:rPr>
                <w:rFonts w:asciiTheme="minorHAnsi" w:eastAsia="仿宋_GB2312" w:hAnsiTheme="minorHAnsi" w:cs="仿宋_GB2312"/>
                <w:kern w:val="0"/>
                <w:sz w:val="20"/>
                <w:szCs w:val="20"/>
              </w:rPr>
              <w:t>/</w:t>
            </w:r>
            <w:r>
              <w:rPr>
                <w:rFonts w:asciiTheme="minorHAnsi" w:eastAsia="仿宋_GB2312" w:hAnsiTheme="minorHAnsi" w:cs="仿宋_GB2312" w:hint="eastAsia"/>
                <w:kern w:val="0"/>
                <w:sz w:val="20"/>
                <w:szCs w:val="20"/>
              </w:rPr>
              <w:t>存托凭证</w:t>
            </w:r>
            <w:r>
              <w:rPr>
                <w:rFonts w:ascii="仿宋_GB2312" w:eastAsia="仿宋_GB2312" w:hAnsi="宋体" w:cs="仿宋_GB2312" w:hint="eastAsia"/>
                <w:kern w:val="0"/>
                <w:sz w:val="20"/>
                <w:szCs w:val="20"/>
              </w:rPr>
              <w:t>上市申请</w:t>
            </w:r>
            <w:r>
              <w:rPr>
                <w:rFonts w:ascii="仿宋_GB2312" w:eastAsia="仿宋_GB2312" w:hAnsi="宋体" w:cs="仿宋_GB2312" w:hint="eastAsia"/>
                <w:kern w:val="0"/>
                <w:sz w:val="20"/>
                <w:szCs w:val="20"/>
              </w:rPr>
              <w:br/>
              <w:t>2*有限售条件的流通股上市流通申请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11</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1102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股改后限售流通股上市</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同上</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11</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1103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非公开发行限售股上市</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同上</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11</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1104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其他类型股份上市</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同上</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20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1105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其他股本变动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2337"/>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21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1106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配股/增发股份上市</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1股票/存托凭证上市申请</w:t>
            </w:r>
            <w:r>
              <w:rPr>
                <w:rFonts w:ascii="仿宋_GB2312" w:eastAsia="仿宋_GB2312" w:hAnsi="宋体" w:cs="仿宋_GB2312" w:hint="eastAsia"/>
                <w:kern w:val="0"/>
                <w:sz w:val="20"/>
                <w:szCs w:val="20"/>
              </w:rPr>
              <w:br/>
              <w:t>2*有限售条件的流通股上市流通申请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12</w:t>
            </w:r>
            <w:r w:rsidR="0092432E">
              <w:rPr>
                <w:rFonts w:ascii="仿宋_GB2312" w:eastAsia="仿宋_GB2312" w:hAnsi="宋体" w:cs="仿宋_GB2312" w:hint="eastAsia"/>
                <w:b/>
                <w:kern w:val="0"/>
                <w:sz w:val="20"/>
                <w:szCs w:val="20"/>
              </w:rPr>
              <w:t>2</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12</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股东增持或减持股份</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持股5%以上的股东累计减持1%的股份</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12</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持股5%以上的股东减持后持股比例低于5%</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12</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股权过户完成</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47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12</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因股东披露权益变动报告书或收购报告书的提示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12</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1214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控股股东或实际控制人发生变动的提示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12</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1215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刊登报告书后一个月股份过户手续仍未完成</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12</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1216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公开征集股权受让方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12</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1217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公开征集股权受让方的结果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1</w:t>
            </w:r>
            <w:r w:rsidR="0092432E">
              <w:rPr>
                <w:rFonts w:ascii="仿宋_GB2312" w:eastAsia="仿宋_GB2312" w:hAnsi="宋体" w:cs="仿宋_GB2312" w:hint="eastAsia"/>
                <w:b/>
                <w:kern w:val="0"/>
                <w:sz w:val="20"/>
                <w:szCs w:val="20"/>
              </w:rPr>
              <w:t>30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1218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股东股权转让的相关进展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股权协议转让表（如适用）</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31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1219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上市公司股权托管</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13</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1220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股东减持计划</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13</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1221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股东减持进展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47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13</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1222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股东增持计划</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noWrap/>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13</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1223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股东增持进展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13</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1224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股东增持计划完成</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13</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1299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其他股权变动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13</w:t>
            </w:r>
            <w:r w:rsidR="0092432E">
              <w:rPr>
                <w:rFonts w:ascii="仿宋_GB2312" w:eastAsia="仿宋_GB2312" w:hAnsi="宋体" w:cs="仿宋_GB2312" w:hint="eastAsia"/>
                <w:b/>
                <w:kern w:val="0"/>
                <w:sz w:val="20"/>
                <w:szCs w:val="20"/>
              </w:rPr>
              <w:t>8</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13</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权益变动报告书和（要约）收购</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减持简式权益变动报告书</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13</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增持简式权益变动报告书</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股权协议转让表（如适用）</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40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增持详式权益变动报告书</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股权协议转让表（如适用）</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41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收购报告书摘要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14</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收购报告书全文</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股权协议转让表（如适用）</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14</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要约收购报告书摘要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14</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要约收购报告书全文</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14</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要约收购股份申报</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r>
              <w:rPr>
                <w:rFonts w:ascii="仿宋_GB2312" w:eastAsia="仿宋_GB2312" w:hAnsi="宋体" w:cs="仿宋_GB2312" w:hint="eastAsia"/>
                <w:kern w:val="0"/>
                <w:sz w:val="20"/>
                <w:szCs w:val="20"/>
              </w:rPr>
              <w:t>要约收购业务申请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14</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被收购公司董事会报告书</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14</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要约收购期间提示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14</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要约条件修改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要约收购业务申请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14</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要约收购结果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50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要约收购股份清算</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要约收购股份临时保管通知(如适用)</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51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1314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豁免要约义务反馈意见及回复</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15</w:t>
            </w:r>
            <w:r w:rsidR="0092432E">
              <w:rPr>
                <w:rFonts w:ascii="仿宋_GB2312" w:eastAsia="仿宋_GB2312" w:hAnsi="宋体" w:cs="仿宋_GB2312" w:hint="eastAsia"/>
                <w:b/>
                <w:kern w:val="0"/>
                <w:sz w:val="20"/>
                <w:szCs w:val="20"/>
              </w:rPr>
              <w:t>2</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14</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股权型再融资</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与再融资有关的停牌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15</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再融资预案</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15</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取消再融资</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15</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再融资预案补充</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15</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再融资预案修改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15</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再融资相关进展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noWrap/>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15</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发审委审核结果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15</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取得核准文件</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60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非公开发行结果暨股份变动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其他股本结构变动申请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61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配股说明书摘要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384"/>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16</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配股发行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1配股/存托凭证实施申请</w:t>
            </w:r>
            <w:r>
              <w:rPr>
                <w:rFonts w:ascii="仿宋_GB2312" w:eastAsia="仿宋_GB2312" w:hAnsi="宋体" w:cs="仿宋_GB2312" w:hint="eastAsia"/>
                <w:kern w:val="0"/>
                <w:sz w:val="20"/>
                <w:szCs w:val="20"/>
              </w:rPr>
              <w:br/>
              <w:t>2停复牌业务申请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16</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配股失败</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配股/存托凭证失败</w:t>
            </w:r>
            <w:r>
              <w:rPr>
                <w:rFonts w:ascii="仿宋_GB2312" w:eastAsia="仿宋_GB2312" w:hAnsi="宋体" w:cs="仿宋_GB2312" w:hint="eastAsia"/>
                <w:kern w:val="0"/>
                <w:sz w:val="20"/>
                <w:szCs w:val="20"/>
              </w:rPr>
              <w:lastRenderedPageBreak/>
              <w:t>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16</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配股发行结果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16</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公开增发招股说明书摘要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16</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1415</w:t>
            </w:r>
          </w:p>
        </w:tc>
        <w:tc>
          <w:tcPr>
            <w:tcW w:w="1696"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公开增发发行</w:t>
            </w:r>
          </w:p>
        </w:tc>
        <w:tc>
          <w:tcPr>
            <w:tcW w:w="1009"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vMerge w:val="restart"/>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1定价增发股票/存托凭证发行申请</w:t>
            </w:r>
            <w:r>
              <w:rPr>
                <w:rFonts w:ascii="仿宋_GB2312" w:eastAsia="仿宋_GB2312" w:hAnsi="宋体" w:cs="仿宋_GB2312" w:hint="eastAsia"/>
                <w:kern w:val="0"/>
                <w:sz w:val="20"/>
                <w:szCs w:val="20"/>
              </w:rPr>
              <w:br/>
              <w:t>2停复牌业务申请</w:t>
            </w:r>
          </w:p>
        </w:tc>
        <w:tc>
          <w:tcPr>
            <w:tcW w:w="747" w:type="dxa"/>
            <w:vMerge w:val="restart"/>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16</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1696"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1009"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1015" w:type="dxa"/>
            <w:vMerge/>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vMerge/>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16</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公开增发网下发行结果及网上中签率</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增发新股/存托凭证价格及配售情况表</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16</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增发中签结果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70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1445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超额配售选择权行使完成公告</w:t>
            </w:r>
          </w:p>
        </w:tc>
        <w:tc>
          <w:tcPr>
            <w:tcW w:w="1009" w:type="dxa"/>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r>
              <w:rPr>
                <w:rFonts w:ascii="仿宋_GB2312" w:eastAsia="仿宋_GB2312" w:hAnsi="宋体" w:cs="仿宋_GB2312" w:hint="eastAsia"/>
                <w:sz w:val="20"/>
                <w:szCs w:val="20"/>
              </w:rPr>
              <w:t>行使超额配售选择权申请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71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1450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H股及境外市场融资相关事项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17</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1418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与再融资有关的其他事项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17</w:t>
            </w:r>
            <w:r w:rsidR="0092432E">
              <w:rPr>
                <w:rFonts w:ascii="仿宋_GB2312" w:eastAsia="仿宋_GB2312" w:hAnsi="宋体" w:cs="仿宋_GB2312" w:hint="eastAsia"/>
                <w:b/>
                <w:kern w:val="0"/>
                <w:sz w:val="20"/>
                <w:szCs w:val="20"/>
              </w:rPr>
              <w:t>3</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15</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其他再融资</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1501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短期融资券融资相关公告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17</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1505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中期票据融资相关公告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17</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1509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拟发行公司债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17</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1510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发行公司债获批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17</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1511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信托产品融资</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17</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1599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发行其他融资产品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17</w:t>
            </w:r>
            <w:r w:rsidR="0092432E">
              <w:rPr>
                <w:rFonts w:ascii="仿宋_GB2312" w:eastAsia="仿宋_GB2312" w:hAnsi="宋体" w:cs="仿宋_GB2312" w:hint="eastAsia"/>
                <w:b/>
                <w:kern w:val="0"/>
                <w:sz w:val="20"/>
                <w:szCs w:val="20"/>
              </w:rPr>
              <w:t>9</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16</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重大资产重组</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进入重大资产重组程序停牌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80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重大资产重组停牌期延长</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1</w:t>
            </w:r>
            <w:r w:rsidR="0092432E">
              <w:rPr>
                <w:rFonts w:ascii="仿宋_GB2312" w:eastAsia="仿宋_GB2312" w:hAnsi="宋体" w:cs="仿宋_GB2312" w:hint="eastAsia"/>
                <w:b/>
                <w:kern w:val="0"/>
                <w:sz w:val="20"/>
                <w:szCs w:val="20"/>
              </w:rPr>
              <w:t>81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取消重大资产重组并复牌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072"/>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许可类重大资产重组预案摘要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重大资产重组相关进展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072"/>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许可类重大资产重组报告书摘要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重组委审核</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重组委审核结果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重大资产重组核准</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重大资产重组未予核准</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44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重大资产重组实施情况报告书（含资产过户情况）</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0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90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涉及重大资产重组的发行结果暨股份变动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其他股本结构变动申请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w:t>
            </w:r>
            <w:r w:rsidR="0092432E">
              <w:rPr>
                <w:rFonts w:ascii="仿宋_GB2312" w:eastAsia="仿宋_GB2312" w:hAnsi="宋体" w:cs="仿宋_GB2312" w:hint="eastAsia"/>
                <w:b/>
                <w:kern w:val="0"/>
                <w:sz w:val="20"/>
                <w:szCs w:val="20"/>
              </w:rPr>
              <w:t>91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重大资产重组终止</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072"/>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19</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1614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非许可类重大资产重组预案摘要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4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19</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1615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非许可类重大资产重组报告书摘要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19</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1616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许可类重大资产重组反馈意见及回复</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0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19</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1617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非许可类重大资产重组反馈意见及回复</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19</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1618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筹划重大资产重组并不停牌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19</w:t>
            </w:r>
            <w:r w:rsidR="0092432E">
              <w:rPr>
                <w:rFonts w:ascii="仿宋_GB2312" w:eastAsia="仿宋_GB2312" w:hAnsi="宋体" w:cs="仿宋_GB2312" w:hint="eastAsia"/>
                <w:b/>
                <w:kern w:val="0"/>
                <w:sz w:val="20"/>
                <w:szCs w:val="20"/>
              </w:rPr>
              <w:t>7</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17</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吸收合并</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进入吸收合并程序停牌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19</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吸收合并停牌期延长</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19</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取消吸收合并复牌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吸收合并预案</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吸收合并相关进展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吸收合并报告书</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重组委审核</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重组委审核结果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吸收合并核准</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吸收合并未予核准</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现金选择权实施</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上市公司现金选择权申请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现金选择权申报提示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现金选择权申报结果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r w:rsidR="0092432E">
              <w:rPr>
                <w:rFonts w:ascii="仿宋_GB2312" w:eastAsia="仿宋_GB2312" w:hAnsi="宋体" w:cs="仿宋_GB2312" w:hint="eastAsia"/>
                <w:b/>
                <w:kern w:val="0"/>
                <w:sz w:val="20"/>
                <w:szCs w:val="20"/>
              </w:rPr>
              <w:t>10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现金选择权股份清算</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47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2</w:t>
            </w:r>
            <w:r w:rsidR="0092432E">
              <w:rPr>
                <w:rFonts w:ascii="仿宋_GB2312" w:eastAsia="仿宋_GB2312" w:hAnsi="宋体" w:cs="仿宋_GB2312" w:hint="eastAsia"/>
                <w:b/>
                <w:kern w:val="0"/>
                <w:sz w:val="20"/>
                <w:szCs w:val="20"/>
              </w:rPr>
              <w:t>11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换股实施结果、股份变动暨新增股份上市（合并方）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股票/存托凭证上市申请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47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21</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吸收合并实施情况报告书（含资产过户情况）</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21</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涉及吸收合并的发行结果暨股份变动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其他股本结构变动申请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21</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吸收合并终止</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21</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1719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吸收合并反馈意见及回复</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21</w:t>
            </w:r>
            <w:r w:rsidR="0092432E">
              <w:rPr>
                <w:rFonts w:ascii="仿宋_GB2312" w:eastAsia="仿宋_GB2312" w:hAnsi="宋体" w:cs="仿宋_GB2312" w:hint="eastAsia"/>
                <w:b/>
                <w:kern w:val="0"/>
                <w:sz w:val="20"/>
                <w:szCs w:val="20"/>
              </w:rPr>
              <w:t>6</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18</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回购股份</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回购预案</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21</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前10名公众股东名册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21</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回购方案经审核无异议</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7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21</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回购报告书</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上市公司股份/存托凭证回购业务申请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r w:rsidR="0092432E">
              <w:rPr>
                <w:rFonts w:ascii="仿宋_GB2312" w:eastAsia="仿宋_GB2312" w:hAnsi="宋体" w:cs="仿宋_GB2312" w:hint="eastAsia"/>
                <w:b/>
                <w:kern w:val="0"/>
                <w:sz w:val="20"/>
                <w:szCs w:val="20"/>
              </w:rPr>
              <w:t>20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回购实施进展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r w:rsidR="0092432E">
              <w:rPr>
                <w:rFonts w:ascii="仿宋_GB2312" w:eastAsia="仿宋_GB2312" w:hAnsi="宋体" w:cs="仿宋_GB2312" w:hint="eastAsia"/>
                <w:b/>
                <w:kern w:val="0"/>
                <w:sz w:val="20"/>
                <w:szCs w:val="20"/>
              </w:rPr>
              <w:t>21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通知债权人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22</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期间过半仍未实施回购</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22</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回购实施结果暨股份变动（有股份注销）</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股票/存托凭证注销申请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22</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回购实施结果暨股份变动（无股份注销）</w:t>
            </w:r>
          </w:p>
        </w:tc>
        <w:tc>
          <w:tcPr>
            <w:tcW w:w="1009" w:type="dxa"/>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47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22</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1810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已回购股份注销（回购完成后3年持有期内的注销）</w:t>
            </w:r>
          </w:p>
        </w:tc>
        <w:tc>
          <w:tcPr>
            <w:tcW w:w="1009" w:type="dxa"/>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r>
              <w:rPr>
                <w:rFonts w:ascii="仿宋_GB2312" w:eastAsia="仿宋_GB2312" w:hAnsi="宋体" w:cs="仿宋_GB2312" w:hint="eastAsia"/>
                <w:kern w:val="0"/>
                <w:sz w:val="20"/>
                <w:szCs w:val="20"/>
              </w:rPr>
              <w:t>股票/存托凭证注销申请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22</w:t>
            </w:r>
            <w:r w:rsidR="0092432E">
              <w:rPr>
                <w:rFonts w:ascii="仿宋_GB2312" w:eastAsia="仿宋_GB2312" w:hAnsi="宋体" w:cs="仿宋_GB2312" w:hint="eastAsia"/>
                <w:b/>
                <w:kern w:val="0"/>
                <w:sz w:val="20"/>
                <w:szCs w:val="20"/>
              </w:rPr>
              <w:t>6</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19</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可转换公司债</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可转债上市</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可转债上市申请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22</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可转债开始转股</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可转换公司债券转股申请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22</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权益分派引起的转股价格调整提示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545"/>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22</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转股价格调整（权益分派）</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1可转债转股价格调整申请</w:t>
            </w:r>
            <w:r>
              <w:rPr>
                <w:rFonts w:ascii="仿宋_GB2312" w:eastAsia="仿宋_GB2312" w:hAnsi="宋体" w:cs="仿宋_GB2312" w:hint="eastAsia"/>
                <w:kern w:val="0"/>
                <w:sz w:val="20"/>
                <w:szCs w:val="20"/>
              </w:rPr>
              <w:br/>
              <w:t>2停复牌业务申请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545"/>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r w:rsidR="0092432E">
              <w:rPr>
                <w:rFonts w:ascii="仿宋_GB2312" w:eastAsia="仿宋_GB2312" w:hAnsi="宋体" w:cs="仿宋_GB2312" w:hint="eastAsia"/>
                <w:b/>
                <w:kern w:val="0"/>
                <w:sz w:val="20"/>
                <w:szCs w:val="20"/>
              </w:rPr>
              <w:t>30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转股价格调整（修正条款）</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1可转债转股价格调整申请</w:t>
            </w:r>
            <w:r>
              <w:rPr>
                <w:rFonts w:ascii="仿宋_GB2312" w:eastAsia="仿宋_GB2312" w:hAnsi="宋体" w:cs="仿宋_GB2312" w:hint="eastAsia"/>
                <w:kern w:val="0"/>
                <w:sz w:val="20"/>
                <w:szCs w:val="20"/>
              </w:rPr>
              <w:br/>
              <w:t>2停复牌业务申请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r w:rsidR="0092432E">
              <w:rPr>
                <w:rFonts w:ascii="仿宋_GB2312" w:eastAsia="仿宋_GB2312" w:hAnsi="宋体" w:cs="仿宋_GB2312" w:hint="eastAsia"/>
                <w:b/>
                <w:kern w:val="0"/>
                <w:sz w:val="20"/>
                <w:szCs w:val="20"/>
              </w:rPr>
              <w:t>31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可转债付息</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*可转债兑息通知</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23</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可转债赎回提示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4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23</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可转债全额赎回暨摘牌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1*可转债赎回通知</w:t>
            </w:r>
          </w:p>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2.代码摘牌申请</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755"/>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23</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可转债赎回/到期兑付结果暨股本变动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23</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可转债转股引起的股份变动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23</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可转债回售提示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23</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可转债回售</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1可转债回售申请</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 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23</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可转债回售结果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可转债回售结果申请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2671"/>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23</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可转债停止交易</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1.公开可转债停止交易申请表</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r w:rsidR="0092432E">
              <w:rPr>
                <w:rFonts w:ascii="仿宋_GB2312" w:eastAsia="仿宋_GB2312" w:hAnsi="宋体" w:cs="仿宋_GB2312" w:hint="eastAsia"/>
                <w:b/>
                <w:kern w:val="0"/>
                <w:sz w:val="20"/>
                <w:szCs w:val="20"/>
              </w:rPr>
              <w:t>40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可转债到期摘牌提示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5"/>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可转债到期兑付及摘牌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1*可转债兑付通知</w:t>
            </w:r>
          </w:p>
          <w:p w:rsidR="00DB2E41" w:rsidRDefault="00DB2E41" w:rsidP="0040680D">
            <w:pPr>
              <w:widowControl/>
              <w:jc w:val="left"/>
              <w:rPr>
                <w:rFonts w:ascii="仿宋_GB2312" w:eastAsia="仿宋_GB2312" w:hAnsi="宋体" w:cs="仿宋_GB2312"/>
                <w:kern w:val="0"/>
                <w:sz w:val="20"/>
                <w:szCs w:val="20"/>
              </w:rPr>
            </w:pPr>
            <w:r>
              <w:rPr>
                <w:rFonts w:ascii="仿宋_GB2312" w:eastAsia="仿宋_GB2312" w:hAnsi="宋体" w:cs="仿宋_GB2312" w:hint="eastAsia"/>
                <w:kern w:val="0"/>
                <w:sz w:val="20"/>
                <w:szCs w:val="20"/>
              </w:rPr>
              <w:t>2代码摘牌申请</w:t>
            </w:r>
          </w:p>
          <w:p w:rsidR="00DB2E41" w:rsidRDefault="00DB2E41" w:rsidP="0040680D">
            <w:pPr>
              <w:widowControl/>
              <w:jc w:val="left"/>
              <w:rPr>
                <w:rFonts w:ascii="仿宋_GB2312" w:eastAsia="仿宋_GB2312" w:hAnsi="宋体"/>
                <w:sz w:val="20"/>
                <w:szCs w:val="20"/>
              </w:rPr>
            </w:pPr>
            <w:r>
              <w:rPr>
                <w:rFonts w:ascii="仿宋_GB2312" w:eastAsia="仿宋_GB2312" w:hAnsi="宋体" w:hint="eastAsia"/>
                <w:sz w:val="20"/>
                <w:szCs w:val="20"/>
              </w:rPr>
              <w:t>3.公开可转债停止交易申请</w:t>
            </w:r>
          </w:p>
          <w:p w:rsidR="00DB2E41" w:rsidRDefault="00DB2E41" w:rsidP="0040680D">
            <w:pPr>
              <w:widowControl/>
              <w:jc w:val="left"/>
              <w:rPr>
                <w:rFonts w:ascii="仿宋_GB2312" w:eastAsia="仿宋_GB2312" w:hAnsi="宋体" w:cs="仿宋_GB2312"/>
                <w:sz w:val="20"/>
                <w:szCs w:val="20"/>
              </w:rPr>
            </w:pPr>
            <w:r>
              <w:rPr>
                <w:rFonts w:ascii="仿宋_GB2312" w:eastAsia="仿宋_GB2312" w:hAnsi="宋体" w:cs="仿宋_GB2312" w:hint="eastAsia"/>
                <w:kern w:val="0"/>
                <w:sz w:val="20"/>
                <w:szCs w:val="20"/>
              </w:rPr>
              <w:t>4.停复牌业务申请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w:t>
            </w:r>
            <w:r w:rsidR="0092432E">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可转债强制转股</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24</w:t>
            </w:r>
            <w:r w:rsidR="0092432E">
              <w:rPr>
                <w:rFonts w:ascii="仿宋_GB2312" w:eastAsia="仿宋_GB2312" w:hAnsi="宋体" w:cs="仿宋_GB2312" w:hint="eastAsia"/>
                <w:b/>
                <w:kern w:val="0"/>
                <w:sz w:val="20"/>
                <w:szCs w:val="20"/>
              </w:rPr>
              <w:t>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可转债持有人会议召开通知</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1919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可转债持有人会议决议</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w:t>
            </w:r>
            <w:r w:rsidR="0092432E">
              <w:rPr>
                <w:rFonts w:ascii="仿宋_GB2312" w:eastAsia="仿宋_GB2312" w:hAnsi="宋体" w:cs="仿宋_GB2312" w:hint="eastAsia"/>
                <w:b/>
                <w:kern w:val="0"/>
                <w:sz w:val="20"/>
                <w:szCs w:val="20"/>
              </w:rPr>
              <w:t>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1920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可转债评级结果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可转换信用评级调整申请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w:t>
            </w:r>
            <w:r w:rsidR="0092432E">
              <w:rPr>
                <w:rFonts w:ascii="仿宋_GB2312" w:eastAsia="仿宋_GB2312" w:hAnsi="宋体" w:cs="仿宋_GB2312" w:hint="eastAsia"/>
                <w:b/>
                <w:kern w:val="0"/>
                <w:sz w:val="20"/>
                <w:szCs w:val="20"/>
              </w:rPr>
              <w:t>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1921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可转债募集说明书摘要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1922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可转债发行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可转债发行申请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1923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可转债网上中签率及网下配售结果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可转债配售数量情况表</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1924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可转债中签结果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545"/>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r w:rsidR="0092432E">
              <w:rPr>
                <w:rFonts w:ascii="仿宋_GB2312" w:eastAsia="仿宋_GB2312" w:hAnsi="宋体" w:cs="仿宋_GB2312" w:hint="eastAsia"/>
                <w:b/>
                <w:kern w:val="0"/>
                <w:sz w:val="20"/>
                <w:szCs w:val="20"/>
              </w:rPr>
              <w:t>50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1925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可转债发行结果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可转债网上网下发行及放弃认购数量申请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r w:rsidR="0092432E">
              <w:rPr>
                <w:rFonts w:ascii="仿宋_GB2312" w:eastAsia="仿宋_GB2312" w:hAnsi="宋体" w:cs="仿宋_GB2312" w:hint="eastAsia"/>
                <w:b/>
                <w:kern w:val="0"/>
                <w:sz w:val="20"/>
                <w:szCs w:val="20"/>
              </w:rPr>
              <w:t>51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1926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可转债中止发行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可转债发行失败申请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252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1927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sidRPr="00DB2E41">
              <w:rPr>
                <w:rFonts w:ascii="仿宋_GB2312" w:eastAsia="仿宋_GB2312" w:hAnsi="宋体" w:cs="仿宋_GB2312" w:hint="eastAsia"/>
                <w:kern w:val="0"/>
                <w:sz w:val="20"/>
                <w:szCs w:val="20"/>
              </w:rPr>
              <w:t>定向可转债转让</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r w:rsidRPr="00DB2E41">
              <w:rPr>
                <w:rFonts w:ascii="仿宋_GB2312" w:eastAsia="仿宋_GB2312" w:hAnsi="宋体" w:cs="仿宋_GB2312" w:hint="eastAsia"/>
                <w:sz w:val="20"/>
                <w:szCs w:val="20"/>
              </w:rPr>
              <w:t>定向可转债转让</w:t>
            </w:r>
            <w:r>
              <w:rPr>
                <w:rFonts w:ascii="仿宋_GB2312" w:eastAsia="仿宋_GB2312" w:hAnsi="宋体" w:cs="仿宋_GB2312" w:hint="eastAsia"/>
                <w:sz w:val="20"/>
                <w:szCs w:val="20"/>
              </w:rPr>
              <w:t>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253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1928</w:t>
            </w:r>
          </w:p>
        </w:tc>
        <w:tc>
          <w:tcPr>
            <w:tcW w:w="1696" w:type="dxa"/>
            <w:shd w:val="clear" w:color="auto" w:fill="auto"/>
            <w:tcMar>
              <w:top w:w="15" w:type="dxa"/>
              <w:left w:w="15" w:type="dxa"/>
              <w:right w:w="15" w:type="dxa"/>
            </w:tcMar>
            <w:vAlign w:val="center"/>
          </w:tcPr>
          <w:p w:rsidR="00DB2E41" w:rsidRDefault="00D956E4" w:rsidP="0040680D">
            <w:pPr>
              <w:widowControl/>
              <w:jc w:val="center"/>
              <w:textAlignment w:val="center"/>
              <w:rPr>
                <w:rFonts w:ascii="仿宋_GB2312" w:eastAsia="仿宋_GB2312" w:hAnsi="宋体" w:cs="仿宋_GB2312"/>
                <w:kern w:val="0"/>
                <w:sz w:val="20"/>
                <w:szCs w:val="20"/>
              </w:rPr>
            </w:pPr>
            <w:r w:rsidRPr="00D956E4">
              <w:rPr>
                <w:rFonts w:ascii="仿宋_GB2312" w:eastAsia="仿宋_GB2312" w:hAnsi="宋体" w:cs="仿宋_GB2312" w:hint="eastAsia"/>
                <w:kern w:val="0"/>
                <w:sz w:val="20"/>
                <w:szCs w:val="20"/>
              </w:rPr>
              <w:t>可转债注销公告</w:t>
            </w:r>
          </w:p>
        </w:tc>
        <w:tc>
          <w:tcPr>
            <w:tcW w:w="1009" w:type="dxa"/>
            <w:shd w:val="clear" w:color="auto" w:fill="auto"/>
            <w:tcMar>
              <w:top w:w="15" w:type="dxa"/>
              <w:left w:w="15" w:type="dxa"/>
              <w:right w:w="15" w:type="dxa"/>
            </w:tcMar>
            <w:vAlign w:val="center"/>
          </w:tcPr>
          <w:p w:rsidR="00DB2E41" w:rsidRDefault="00D956E4"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956E4" w:rsidP="0040680D">
            <w:pPr>
              <w:jc w:val="left"/>
              <w:rPr>
                <w:rFonts w:ascii="仿宋_GB2312" w:eastAsia="仿宋_GB2312" w:hAnsi="宋体" w:cs="仿宋_GB2312"/>
                <w:sz w:val="20"/>
                <w:szCs w:val="20"/>
              </w:rPr>
            </w:pPr>
            <w:r>
              <w:rPr>
                <w:rFonts w:ascii="仿宋_GB2312" w:eastAsia="仿宋_GB2312" w:hAnsi="宋体" w:cs="仿宋_GB2312" w:hint="eastAsia"/>
                <w:sz w:val="20"/>
                <w:szCs w:val="20"/>
              </w:rPr>
              <w:t>*可转债注销通知</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25</w:t>
            </w:r>
            <w:r w:rsidR="0092432E">
              <w:rPr>
                <w:rFonts w:ascii="仿宋_GB2312" w:eastAsia="仿宋_GB2312" w:hAnsi="宋体" w:cs="仿宋_GB2312" w:hint="eastAsia"/>
                <w:b/>
                <w:kern w:val="0"/>
                <w:sz w:val="20"/>
                <w:szCs w:val="20"/>
              </w:rPr>
              <w:t>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1999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与可转债有关的其它事项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25</w:t>
            </w:r>
            <w:r w:rsidR="0092432E">
              <w:rPr>
                <w:rFonts w:ascii="仿宋_GB2312" w:eastAsia="仿宋_GB2312" w:hAnsi="宋体" w:cs="仿宋_GB2312" w:hint="eastAsia"/>
                <w:b/>
                <w:kern w:val="0"/>
                <w:sz w:val="20"/>
                <w:szCs w:val="20"/>
              </w:rPr>
              <w:t>5</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20</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公司债</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已停用</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已停用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b/>
                <w:kern w:val="0"/>
                <w:sz w:val="20"/>
                <w:szCs w:val="20"/>
              </w:rPr>
              <w:t>25</w:t>
            </w:r>
            <w:r w:rsidR="0092432E">
              <w:rPr>
                <w:rFonts w:ascii="仿宋_GB2312" w:eastAsia="仿宋_GB2312" w:hAnsi="宋体" w:cs="仿宋_GB2312" w:hint="eastAsia"/>
                <w:b/>
                <w:kern w:val="0"/>
                <w:sz w:val="20"/>
                <w:szCs w:val="20"/>
              </w:rPr>
              <w:t>6</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sidRPr="00D01426">
              <w:rPr>
                <w:rFonts w:ascii="仿宋_GB2312" w:eastAsia="仿宋_GB2312" w:hAnsi="宋体" w:cs="仿宋_GB2312" w:hint="eastAsia"/>
                <w:b/>
                <w:kern w:val="0"/>
                <w:sz w:val="20"/>
                <w:szCs w:val="20"/>
              </w:rPr>
              <w:t>21</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股权激励及员工持股计划</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股权激励计划草案摘要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25</w:t>
            </w:r>
            <w:r w:rsidR="0092432E">
              <w:rPr>
                <w:rFonts w:ascii="仿宋_GB2312" w:eastAsia="仿宋_GB2312" w:hAnsi="宋体" w:cs="仿宋_GB2312" w:hint="eastAsia"/>
                <w:b/>
                <w:kern w:val="0"/>
                <w:sz w:val="20"/>
                <w:szCs w:val="20"/>
              </w:rPr>
              <w:t>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股权激励计划草案摘要修订</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25</w:t>
            </w:r>
            <w:r w:rsidR="0092432E">
              <w:rPr>
                <w:rFonts w:ascii="仿宋_GB2312" w:eastAsia="仿宋_GB2312" w:hAnsi="宋体" w:cs="仿宋_GB2312" w:hint="eastAsia"/>
                <w:b/>
                <w:kern w:val="0"/>
                <w:sz w:val="20"/>
                <w:szCs w:val="20"/>
              </w:rPr>
              <w:t>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股权激励计划进展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25</w:t>
            </w:r>
            <w:r w:rsidR="0092432E">
              <w:rPr>
                <w:rFonts w:ascii="仿宋_GB2312" w:eastAsia="仿宋_GB2312" w:hAnsi="宋体" w:cs="仿宋_GB2312" w:hint="eastAsia"/>
                <w:b/>
                <w:kern w:val="0"/>
                <w:sz w:val="20"/>
                <w:szCs w:val="20"/>
              </w:rPr>
              <w:t>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股权激励计划终止</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lastRenderedPageBreak/>
              <w:t>2</w:t>
            </w:r>
            <w:r w:rsidR="0092432E">
              <w:rPr>
                <w:rFonts w:ascii="仿宋_GB2312" w:eastAsia="仿宋_GB2312" w:hAnsi="宋体" w:cs="仿宋_GB2312" w:hint="eastAsia"/>
                <w:b/>
                <w:kern w:val="0"/>
                <w:sz w:val="20"/>
                <w:szCs w:val="20"/>
              </w:rPr>
              <w:t>60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股权激励计划股份回购开始</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0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261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股权激励回购股份变更性质</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无限售条件流通股/存托凭证证券类别变更申请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262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股权激励计划授予</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263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限制性股票授予结果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其他股本结构变动申请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264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限制性股票解锁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股票/存托凭证上市申请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265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股票期权开始行权</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*股权激励计划股票/存托凭证期权自主行权业务通知</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755"/>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266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股票期权行权结果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1股票/存托凭证上市申请</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2其他股本结构变动申请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267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2114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股权激励计划实施完成</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268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2130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员工持股计划草案</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269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2131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员工持股计划完成股票购买</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270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2132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员工持股计划变更</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271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2133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员工持股计划终止</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272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2134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员工持股计划展期</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273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2135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员工持股计划完成</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274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2136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员工持股计划实施进展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lastRenderedPageBreak/>
              <w:t>275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Pr="00631001" w:rsidRDefault="00DB2E41" w:rsidP="0040680D">
            <w:pPr>
              <w:widowControl/>
              <w:jc w:val="center"/>
              <w:textAlignment w:val="center"/>
              <w:rPr>
                <w:rFonts w:ascii="仿宋_GB2312" w:eastAsia="仿宋_GB2312" w:hAnsi="宋体" w:cs="仿宋_GB2312"/>
                <w:kern w:val="0"/>
                <w:sz w:val="20"/>
                <w:szCs w:val="20"/>
              </w:rPr>
            </w:pPr>
            <w:r w:rsidRPr="00631001">
              <w:rPr>
                <w:rFonts w:ascii="仿宋_GB2312" w:eastAsia="仿宋_GB2312" w:hAnsi="宋体" w:cs="仿宋_GB2312" w:hint="eastAsia"/>
                <w:kern w:val="0"/>
                <w:sz w:val="20"/>
                <w:szCs w:val="20"/>
              </w:rPr>
              <w:t>2137</w:t>
            </w:r>
          </w:p>
        </w:tc>
        <w:tc>
          <w:tcPr>
            <w:tcW w:w="1696" w:type="dxa"/>
            <w:shd w:val="clear" w:color="auto" w:fill="auto"/>
            <w:tcMar>
              <w:top w:w="15" w:type="dxa"/>
              <w:left w:w="15" w:type="dxa"/>
              <w:right w:w="15" w:type="dxa"/>
            </w:tcMar>
            <w:vAlign w:val="center"/>
          </w:tcPr>
          <w:p w:rsidR="00DB2E41" w:rsidRPr="00631001" w:rsidRDefault="00DB2E41" w:rsidP="0040680D">
            <w:pPr>
              <w:widowControl/>
              <w:jc w:val="center"/>
              <w:textAlignment w:val="center"/>
              <w:rPr>
                <w:rFonts w:ascii="仿宋_GB2312" w:eastAsia="仿宋_GB2312" w:hAnsi="宋体" w:cs="仿宋_GB2312"/>
                <w:kern w:val="0"/>
                <w:sz w:val="20"/>
                <w:szCs w:val="20"/>
              </w:rPr>
            </w:pPr>
            <w:r w:rsidRPr="00631001">
              <w:rPr>
                <w:rFonts w:ascii="仿宋_GB2312" w:eastAsia="仿宋_GB2312" w:hAnsi="宋体" w:cs="仿宋_GB2312" w:hint="eastAsia"/>
                <w:kern w:val="0"/>
                <w:sz w:val="20"/>
                <w:szCs w:val="20"/>
              </w:rPr>
              <w:t>激励股份回购注销</w:t>
            </w:r>
          </w:p>
        </w:tc>
        <w:tc>
          <w:tcPr>
            <w:tcW w:w="1009" w:type="dxa"/>
            <w:shd w:val="clear" w:color="auto" w:fill="auto"/>
            <w:tcMar>
              <w:top w:w="15" w:type="dxa"/>
              <w:left w:w="15" w:type="dxa"/>
              <w:right w:w="15" w:type="dxa"/>
            </w:tcMar>
            <w:vAlign w:val="center"/>
          </w:tcPr>
          <w:p w:rsidR="00DB2E41" w:rsidRPr="00631001" w:rsidRDefault="00DB2E41" w:rsidP="0040680D">
            <w:pPr>
              <w:widowControl/>
              <w:jc w:val="center"/>
              <w:textAlignment w:val="top"/>
              <w:rPr>
                <w:rFonts w:ascii="仿宋_GB2312" w:eastAsia="仿宋_GB2312" w:hAnsi="宋体" w:cs="仿宋_GB2312"/>
                <w:b/>
                <w:kern w:val="0"/>
                <w:sz w:val="20"/>
                <w:szCs w:val="20"/>
              </w:rPr>
            </w:pPr>
            <w:r w:rsidRPr="00631001">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Pr="00631001" w:rsidRDefault="00DB2E41" w:rsidP="0040680D">
            <w:pPr>
              <w:widowControl/>
              <w:jc w:val="left"/>
              <w:textAlignment w:val="center"/>
              <w:rPr>
                <w:rFonts w:ascii="仿宋_GB2312" w:eastAsia="仿宋_GB2312" w:hAnsi="宋体" w:cs="仿宋_GB2312"/>
                <w:kern w:val="0"/>
                <w:sz w:val="20"/>
                <w:szCs w:val="20"/>
              </w:rPr>
            </w:pPr>
            <w:r w:rsidRPr="00631001">
              <w:rPr>
                <w:rFonts w:ascii="仿宋_GB2312" w:eastAsia="仿宋_GB2312" w:hAnsi="宋体" w:cs="仿宋_GB2312" w:hint="eastAsia"/>
                <w:kern w:val="0"/>
                <w:sz w:val="20"/>
                <w:szCs w:val="20"/>
              </w:rPr>
              <w:t>*股权激励限制性股票回购注销通知</w:t>
            </w:r>
          </w:p>
          <w:p w:rsidR="00DB2E41" w:rsidRPr="0063100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b/>
                <w:kern w:val="0"/>
                <w:sz w:val="20"/>
                <w:szCs w:val="20"/>
              </w:rPr>
              <w:t>276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2199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与股权激励有关的其他事项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277</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22</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股权分置改革</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董事会公告股改方案</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278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A股相关股东会议召开通知</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279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股改方案获得国资部门批文</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30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股改沟通</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股改方案修订暨沟通结果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股改股东大会催告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A股相关股东大会催告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A股相关股东会议表决结果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A股相关股东会议延期</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A股相关股东会议取消</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3085"/>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2211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股改方案实施</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1股权分置改革实施申请</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2*股权分置改革现金对价登记通知</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3*股权分置改革股份对价通知</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288</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23</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诉讼和仲裁</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2301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诉讼</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289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2302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诉讼进展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DB2E41"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w:t>
            </w:r>
            <w:r w:rsidR="0092432E">
              <w:rPr>
                <w:rFonts w:ascii="仿宋_GB2312" w:eastAsia="仿宋_GB2312" w:hAnsi="宋体" w:cs="仿宋_GB2312" w:hint="eastAsia"/>
                <w:b/>
                <w:kern w:val="0"/>
                <w:sz w:val="20"/>
                <w:szCs w:val="20"/>
              </w:rPr>
              <w:t>90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2303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诉讼结果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2304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仲裁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2305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仲裁进展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2306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仲裁结果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294</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24</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股东股份被质押冻结或司法拍卖</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2401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股份被质押</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2402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股份被冻结</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2403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股份质押解除</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2404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股份冻结解除</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2405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股份被</w:t>
            </w:r>
            <w:bookmarkStart w:id="0" w:name="_GoBack"/>
            <w:bookmarkEnd w:id="0"/>
            <w:r>
              <w:rPr>
                <w:rFonts w:ascii="仿宋_GB2312" w:eastAsia="仿宋_GB2312" w:hAnsi="宋体" w:cs="仿宋_GB2312" w:hint="eastAsia"/>
                <w:kern w:val="0"/>
                <w:sz w:val="20"/>
                <w:szCs w:val="20"/>
              </w:rPr>
              <w:t>司法拍卖</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2406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股份司法拍卖进展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2408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5%以上股份权利受限或解除</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301</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25</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破产与重整</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申请重整、和解或破产清算</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撤回重整、和解或破产清算的申请</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法院受理</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法院不予受理</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债权确认通知</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306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召开债权人/出资人会议的通知</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指定破产管理人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法院裁定重整、和解或破产清算</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0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重整、和解或破产清算实施的相关进展</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0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法院裁定重整、和解或破产清算计划实施完成</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2512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法院宣告破产</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w:t>
            </w:r>
            <w:r>
              <w:rPr>
                <w:rFonts w:ascii="仿宋_GB2312" w:eastAsia="仿宋_GB2312" w:hAnsi="宋体" w:cs="仿宋_GB2312"/>
                <w:b/>
                <w:kern w:val="0"/>
                <w:sz w:val="20"/>
                <w:szCs w:val="20"/>
              </w:rPr>
              <w:t>1</w:t>
            </w:r>
            <w:r>
              <w:rPr>
                <w:rFonts w:ascii="仿宋_GB2312" w:eastAsia="仿宋_GB2312" w:hAnsi="宋体" w:cs="仿宋_GB2312" w:hint="eastAsia"/>
                <w:b/>
                <w:kern w:val="0"/>
                <w:sz w:val="20"/>
                <w:szCs w:val="20"/>
              </w:rPr>
              <w:t>2</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26</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其他重大事项</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重大亏损或重大损失</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发生重大债务或重大债权到期未获清偿</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或有重大违约责任或大额赔偿责任</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计提大额资产减值准备</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计提大额资产减值准备转回</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公司决定解散</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重大债权未提取足额坏账准备</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主要资产被查封、扣押、冻结或拍卖</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主要业务陷入停顿</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321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公司涉嫌违法违规被其他机构调查</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w:t>
            </w:r>
            <w:r>
              <w:rPr>
                <w:rFonts w:ascii="仿宋_GB2312" w:eastAsia="仿宋_GB2312" w:hAnsi="宋体" w:cs="仿宋_GB2312"/>
                <w:b/>
                <w:kern w:val="0"/>
                <w:sz w:val="20"/>
                <w:szCs w:val="20"/>
              </w:rPr>
              <w:t>2</w:t>
            </w:r>
            <w:r>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重大行政、刑事处罚</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公司法定代表人或者总经理无法履行职责</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董监高被调查、处罚或被采取强制措施</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2614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公司被证监会立案调查</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2615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重要前期会计差错更正</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2616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生产经营、外部条件发生重大变化</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47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2618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公司获高新技术企业或公司产品获高新技术产品认证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2619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获得财政补贴</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330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2620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获得其他补贴</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331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kern w:val="0"/>
                <w:sz w:val="20"/>
                <w:szCs w:val="20"/>
              </w:rPr>
              <w:t>2621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行业及经营风险的提示公告</w:t>
            </w:r>
          </w:p>
        </w:tc>
        <w:tc>
          <w:tcPr>
            <w:tcW w:w="1009" w:type="dxa"/>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highlight w:val="yellow"/>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w:t>
            </w:r>
            <w:r>
              <w:rPr>
                <w:rFonts w:ascii="仿宋_GB2312" w:eastAsia="仿宋_GB2312" w:hAnsi="宋体" w:cs="仿宋_GB2312"/>
                <w:b/>
                <w:kern w:val="0"/>
                <w:sz w:val="20"/>
                <w:szCs w:val="20"/>
              </w:rPr>
              <w:t>3</w:t>
            </w:r>
            <w:r>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2699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其他重大事项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noWrap/>
            <w:tcMar>
              <w:top w:w="15" w:type="dxa"/>
              <w:left w:w="15" w:type="dxa"/>
              <w:right w:w="15" w:type="dxa"/>
            </w:tcMar>
            <w:vAlign w:val="center"/>
          </w:tcPr>
          <w:p w:rsidR="00DB2E41" w:rsidRDefault="00DB2E41" w:rsidP="0040680D">
            <w:pPr>
              <w:jc w:val="left"/>
              <w:rPr>
                <w:rFonts w:ascii="仿宋_GB2312" w:eastAsia="仿宋_GB2312" w:hAnsi="宋体" w:cs="仿宋_GB2312"/>
                <w:sz w:val="22"/>
                <w:szCs w:val="22"/>
              </w:rPr>
            </w:pPr>
          </w:p>
        </w:tc>
        <w:tc>
          <w:tcPr>
            <w:tcW w:w="747" w:type="dxa"/>
            <w:shd w:val="clear" w:color="auto" w:fill="auto"/>
            <w:noWrap/>
            <w:tcMar>
              <w:top w:w="15" w:type="dxa"/>
              <w:left w:w="15" w:type="dxa"/>
              <w:right w:w="15" w:type="dxa"/>
            </w:tcMar>
            <w:vAlign w:val="center"/>
          </w:tcPr>
          <w:p w:rsidR="00DB2E41" w:rsidRDefault="00DB2E41" w:rsidP="0040680D">
            <w:pPr>
              <w:rPr>
                <w:rFonts w:ascii="仿宋_GB2312" w:eastAsia="仿宋_GB2312" w:hAnsi="宋体" w:cs="仿宋_GB2312"/>
                <w:sz w:val="22"/>
                <w:szCs w:val="22"/>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333</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27</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公司重要基本信息变化</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变更公司名称</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334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变更证券简称</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证券简称更名申请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335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变更证券代码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证券代码变更申请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336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变更注册资本</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337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变更注册地址</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6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338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主要办公地址和联系电话变更</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339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公司章程发生修订</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DB2E41"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w:t>
            </w:r>
            <w:r w:rsidR="0092432E">
              <w:rPr>
                <w:rFonts w:ascii="仿宋_GB2312" w:eastAsia="仿宋_GB2312" w:hAnsi="宋体" w:cs="仿宋_GB2312" w:hint="eastAsia"/>
                <w:b/>
                <w:kern w:val="0"/>
                <w:sz w:val="20"/>
                <w:szCs w:val="20"/>
              </w:rPr>
              <w:t>40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变更会计师事务所</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341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续聘会计师事务所</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w:t>
            </w:r>
            <w:r>
              <w:rPr>
                <w:rFonts w:ascii="仿宋_GB2312" w:eastAsia="仿宋_GB2312" w:hAnsi="宋体" w:cs="仿宋_GB2312"/>
                <w:b/>
                <w:kern w:val="0"/>
                <w:sz w:val="20"/>
                <w:szCs w:val="20"/>
              </w:rPr>
              <w:t>4</w:t>
            </w:r>
            <w:r>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变更会计政策或者会计估计</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343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变更保荐机构</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344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变更保荐代表人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345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公司董事长/法定代表人辞职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6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346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2714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公司董事、监事、高级管理人员（董事长和董秘除外）辞职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347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2715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董事会秘书辞职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348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2716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上市时未盈利公司实现盈利</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r>
              <w:rPr>
                <w:rFonts w:ascii="仿宋_GB2312" w:eastAsia="仿宋_GB2312" w:hAnsi="宋体" w:cs="仿宋_GB2312" w:hint="eastAsia"/>
                <w:sz w:val="20"/>
                <w:szCs w:val="20"/>
              </w:rPr>
              <w:t>上市公司取消特别标识U申请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349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2799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其他应披露的基本信息变化</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857"/>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350</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28</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风险警示</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2801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实施其他风险警示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1上市股票/存托凭证实施其他风险警示申请</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857"/>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351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2802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实施退市风险警示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1上市股票/存托凭证实施退市风险警示申请</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w:t>
            </w:r>
            <w:r>
              <w:rPr>
                <w:rFonts w:ascii="仿宋_GB2312" w:eastAsia="仿宋_GB2312" w:hAnsi="宋体" w:cs="仿宋_GB2312"/>
                <w:b/>
                <w:kern w:val="0"/>
                <w:sz w:val="20"/>
                <w:szCs w:val="20"/>
              </w:rPr>
              <w:t>5</w:t>
            </w:r>
            <w:r>
              <w:rPr>
                <w:rFonts w:ascii="仿宋_GB2312" w:eastAsia="仿宋_GB2312" w:hAnsi="宋体" w:cs="仿宋_GB2312" w:hint="eastAsia"/>
                <w:b/>
                <w:kern w:val="0"/>
                <w:sz w:val="20"/>
                <w:szCs w:val="20"/>
              </w:rPr>
              <w:t>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2803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申请撤销其他风险警示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353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2804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申请撤销退市风险警示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3663"/>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354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2805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撤销其他风险警示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1上市股票/存托凭证撤销其他风险警示申请</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 xml:space="preserve">2 </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2887"/>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355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2806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撤销退市风险警示</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1上市股票/存托凭证撤销退市风险警示申请</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356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2807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撤销申请未获批准</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357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2808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可能被实施退市风险警示的风险提示</w:t>
            </w:r>
          </w:p>
        </w:tc>
        <w:tc>
          <w:tcPr>
            <w:tcW w:w="1009" w:type="dxa"/>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358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2899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与风险警示有关的其他事项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noWrap/>
            <w:tcMar>
              <w:top w:w="15" w:type="dxa"/>
              <w:left w:w="15" w:type="dxa"/>
              <w:right w:w="15" w:type="dxa"/>
            </w:tcMar>
            <w:vAlign w:val="center"/>
          </w:tcPr>
          <w:p w:rsidR="00DB2E41" w:rsidRDefault="00DB2E41" w:rsidP="0040680D">
            <w:pPr>
              <w:jc w:val="left"/>
              <w:rPr>
                <w:rFonts w:ascii="仿宋_GB2312" w:eastAsia="仿宋_GB2312" w:hAnsi="宋体" w:cs="仿宋_GB2312"/>
                <w:sz w:val="22"/>
                <w:szCs w:val="22"/>
              </w:rPr>
            </w:pPr>
          </w:p>
        </w:tc>
        <w:tc>
          <w:tcPr>
            <w:tcW w:w="747" w:type="dxa"/>
            <w:shd w:val="clear" w:color="auto" w:fill="auto"/>
            <w:noWrap/>
            <w:tcMar>
              <w:top w:w="15" w:type="dxa"/>
              <w:left w:w="15" w:type="dxa"/>
              <w:right w:w="15" w:type="dxa"/>
            </w:tcMar>
            <w:vAlign w:val="center"/>
          </w:tcPr>
          <w:p w:rsidR="00DB2E41" w:rsidRDefault="00DB2E41" w:rsidP="0040680D">
            <w:pPr>
              <w:rPr>
                <w:rFonts w:ascii="仿宋_GB2312" w:eastAsia="仿宋_GB2312" w:hAnsi="宋体" w:cs="仿宋_GB2312"/>
                <w:sz w:val="22"/>
                <w:szCs w:val="22"/>
              </w:rPr>
            </w:pPr>
          </w:p>
        </w:tc>
      </w:tr>
      <w:tr w:rsidR="00631001" w:rsidTr="00AB04BD">
        <w:trPr>
          <w:trHeight w:val="2540"/>
        </w:trPr>
        <w:tc>
          <w:tcPr>
            <w:tcW w:w="969" w:type="dxa"/>
            <w:shd w:val="clear" w:color="auto" w:fill="auto"/>
            <w:tcMar>
              <w:top w:w="15" w:type="dxa"/>
              <w:left w:w="15" w:type="dxa"/>
              <w:right w:w="15" w:type="dxa"/>
            </w:tcMar>
            <w:vAlign w:val="center"/>
          </w:tcPr>
          <w:p w:rsidR="00631001" w:rsidRDefault="00631001" w:rsidP="00631001">
            <w:pP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lastRenderedPageBreak/>
              <w:t xml:space="preserve">   359</w:t>
            </w:r>
          </w:p>
        </w:tc>
        <w:tc>
          <w:tcPr>
            <w:tcW w:w="964" w:type="dxa"/>
            <w:vMerge w:val="restart"/>
            <w:shd w:val="clear" w:color="auto" w:fill="auto"/>
            <w:tcMar>
              <w:top w:w="15" w:type="dxa"/>
              <w:left w:w="15" w:type="dxa"/>
              <w:right w:w="15" w:type="dxa"/>
            </w:tcMar>
            <w:vAlign w:val="center"/>
          </w:tcPr>
          <w:p w:rsidR="00631001" w:rsidRDefault="0063100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29</w:t>
            </w:r>
          </w:p>
        </w:tc>
        <w:tc>
          <w:tcPr>
            <w:tcW w:w="964" w:type="dxa"/>
            <w:vMerge w:val="restart"/>
            <w:shd w:val="clear" w:color="auto" w:fill="auto"/>
            <w:tcMar>
              <w:top w:w="15" w:type="dxa"/>
              <w:left w:w="15" w:type="dxa"/>
              <w:right w:w="15" w:type="dxa"/>
            </w:tcMar>
            <w:vAlign w:val="center"/>
          </w:tcPr>
          <w:p w:rsidR="00631001" w:rsidRDefault="0063100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暂停、恢复和终止上市</w:t>
            </w:r>
          </w:p>
        </w:tc>
        <w:tc>
          <w:tcPr>
            <w:tcW w:w="964" w:type="dxa"/>
            <w:shd w:val="clear" w:color="auto" w:fill="auto"/>
            <w:tcMar>
              <w:top w:w="15" w:type="dxa"/>
              <w:left w:w="15" w:type="dxa"/>
              <w:right w:w="15" w:type="dxa"/>
            </w:tcMar>
            <w:vAlign w:val="center"/>
          </w:tcPr>
          <w:p w:rsidR="00631001" w:rsidRDefault="00631001" w:rsidP="0040680D">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2905</w:t>
            </w:r>
          </w:p>
        </w:tc>
        <w:tc>
          <w:tcPr>
            <w:tcW w:w="1696" w:type="dxa"/>
            <w:shd w:val="clear" w:color="auto" w:fill="auto"/>
            <w:tcMar>
              <w:top w:w="15" w:type="dxa"/>
              <w:left w:w="15" w:type="dxa"/>
              <w:right w:w="15" w:type="dxa"/>
            </w:tcMar>
            <w:vAlign w:val="center"/>
          </w:tcPr>
          <w:p w:rsidR="00631001" w:rsidRDefault="00631001" w:rsidP="0040680D">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终止上市风险提示</w:t>
            </w:r>
          </w:p>
        </w:tc>
        <w:tc>
          <w:tcPr>
            <w:tcW w:w="1009" w:type="dxa"/>
            <w:shd w:val="clear" w:color="auto" w:fill="auto"/>
            <w:tcMar>
              <w:top w:w="15" w:type="dxa"/>
              <w:left w:w="15" w:type="dxa"/>
              <w:right w:w="15" w:type="dxa"/>
            </w:tcMar>
            <w:vAlign w:val="center"/>
          </w:tcPr>
          <w:p w:rsidR="00631001" w:rsidRDefault="00631001" w:rsidP="0040680D">
            <w:pPr>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631001" w:rsidRDefault="0063100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631001" w:rsidRDefault="0063100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2906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终止上市公告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股票/存托凭证终止上市申请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2910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进入退市整理期公告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1股票/存托凭证进入退市整理期交易申请</w:t>
            </w:r>
            <w:r>
              <w:rPr>
                <w:rFonts w:ascii="仿宋_GB2312" w:eastAsia="仿宋_GB2312" w:hAnsi="宋体" w:cs="仿宋_GB2312" w:hint="eastAsia"/>
                <w:kern w:val="0"/>
                <w:sz w:val="20"/>
                <w:szCs w:val="20"/>
              </w:rPr>
              <w:br/>
              <w:t>2停复牌业务申请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2911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退市整理期间提示公告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072"/>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2912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终止退市整理期公告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1股票/存托凭证终止上市申请</w:t>
            </w:r>
            <w:r>
              <w:rPr>
                <w:rFonts w:ascii="仿宋_GB2312" w:eastAsia="仿宋_GB2312" w:hAnsi="宋体" w:cs="仿宋_GB2312" w:hint="eastAsia"/>
                <w:kern w:val="0"/>
                <w:sz w:val="20"/>
                <w:szCs w:val="20"/>
              </w:rPr>
              <w:br/>
              <w:t>2停复牌业务申请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30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2913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重新上市</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0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2999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与终止上市相关的其它事项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noWrap/>
            <w:tcMar>
              <w:top w:w="15" w:type="dxa"/>
              <w:left w:w="15" w:type="dxa"/>
              <w:right w:w="15" w:type="dxa"/>
            </w:tcMar>
            <w:vAlign w:val="center"/>
          </w:tcPr>
          <w:p w:rsidR="00DB2E41" w:rsidRDefault="00DB2E41" w:rsidP="0040680D">
            <w:pPr>
              <w:jc w:val="left"/>
              <w:rPr>
                <w:rFonts w:ascii="仿宋_GB2312" w:eastAsia="仿宋_GB2312" w:hAnsi="宋体" w:cs="仿宋_GB2312"/>
                <w:sz w:val="22"/>
                <w:szCs w:val="22"/>
              </w:rPr>
            </w:pPr>
          </w:p>
        </w:tc>
        <w:tc>
          <w:tcPr>
            <w:tcW w:w="747" w:type="dxa"/>
            <w:shd w:val="clear" w:color="auto" w:fill="auto"/>
            <w:noWrap/>
            <w:tcMar>
              <w:top w:w="15" w:type="dxa"/>
              <w:left w:w="15" w:type="dxa"/>
              <w:right w:w="15" w:type="dxa"/>
            </w:tcMar>
            <w:vAlign w:val="center"/>
          </w:tcPr>
          <w:p w:rsidR="00DB2E41" w:rsidRDefault="00DB2E41" w:rsidP="0040680D">
            <w:pPr>
              <w:rPr>
                <w:rFonts w:ascii="仿宋_GB2312" w:eastAsia="仿宋_GB2312" w:hAnsi="宋体" w:cs="仿宋_GB2312"/>
                <w:sz w:val="22"/>
                <w:szCs w:val="22"/>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366</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30</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补充更正公告</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定期报告的更正</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临时公告的更正</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定期报告的补充</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369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3004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临时公告的补充</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370</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31</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规范运作</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征集委托投票权</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371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公司治理专项报告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372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收到监管部门函件及回复</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373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监管部门检查报告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374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按监管部门要求的整改报告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375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社会责任报告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376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独立董事述职报告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27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377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内控报告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378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内控审计报告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379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内控实施方案</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380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投资者说明会</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381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3112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投资者关系管理</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382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3199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与规范运作有关的其他事项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383</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32</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中介机构报告</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3201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保荐机构报告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384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3205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财务顾问报告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27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385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3206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法律意见</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386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3207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审计或评估机构报告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387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3299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其他中介机构报告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388</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33</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停复牌提示性公告</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3301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停复牌提示性公告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停复牌业务申请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389</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34</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仅上网披露的文件/材料</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3401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股东大会会议资料</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390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3402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H股市场公告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48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391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3403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XBRL实例文档</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392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3404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定期报告全文修订说明</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2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393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3499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其它仅上网披露的文件/材料</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394</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35</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优先股</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优先股发行预案</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b/>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lastRenderedPageBreak/>
              <w:t>395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优先股发行募集说明书</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b/>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396</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3503</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优先股发行情况报告书</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b/>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397</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3504</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非公开发行优先股挂牌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非公开发行优先股挂牌申请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99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398</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3505</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优先股公开发行</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公开发行优先股定价发行申请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1230"/>
        </w:trPr>
        <w:tc>
          <w:tcPr>
            <w:tcW w:w="969" w:type="dxa"/>
            <w:shd w:val="clear" w:color="auto" w:fill="auto"/>
            <w:tcMar>
              <w:top w:w="15" w:type="dxa"/>
              <w:left w:w="15" w:type="dxa"/>
              <w:right w:w="15" w:type="dxa"/>
            </w:tcMar>
            <w:vAlign w:val="center"/>
          </w:tcPr>
          <w:p w:rsidR="00DB2E41" w:rsidRDefault="0092432E"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399</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3506</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优先股公开发行网下发行结果及网上中签率</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公开发行优先股发行价格及配售情况申请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400</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3507</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优先股公开发行中签结果</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401</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3508</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优先股上市</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公开发行优先股上市申请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2043"/>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402</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3509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优先股股息分派</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1优先股股息派发申请</w:t>
            </w:r>
          </w:p>
          <w:p w:rsidR="00DB2E41" w:rsidRDefault="00DB2E41" w:rsidP="0040680D">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2*非公开发行优先股红利派发通知</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403</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3510</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优先股赎回</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widowControl/>
              <w:jc w:val="left"/>
              <w:textAlignment w:val="top"/>
              <w:rPr>
                <w:rFonts w:ascii="仿宋_GB2312" w:eastAsia="仿宋_GB2312" w:hAnsi="宋体" w:cs="仿宋_GB2312"/>
                <w:sz w:val="20"/>
                <w:szCs w:val="20"/>
              </w:rPr>
            </w:pPr>
            <w:r>
              <w:rPr>
                <w:rFonts w:ascii="仿宋_GB2312" w:eastAsia="仿宋_GB2312" w:hAnsi="宋体" w:cs="仿宋_GB2312" w:hint="eastAsia"/>
                <w:kern w:val="0"/>
                <w:sz w:val="20"/>
                <w:szCs w:val="20"/>
              </w:rPr>
              <w:t>优先股赎回申请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404</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3511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优先股回售</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tcPr>
          <w:p w:rsidR="00DB2E41" w:rsidRDefault="00DB2E41" w:rsidP="0040680D">
            <w:pPr>
              <w:widowControl/>
              <w:jc w:val="left"/>
              <w:textAlignment w:val="top"/>
              <w:rPr>
                <w:rFonts w:ascii="仿宋_GB2312" w:eastAsia="仿宋_GB2312" w:hAnsi="宋体" w:cs="仿宋_GB2312"/>
                <w:sz w:val="20"/>
                <w:szCs w:val="20"/>
              </w:rPr>
            </w:pPr>
            <w:r>
              <w:rPr>
                <w:rFonts w:ascii="仿宋_GB2312" w:eastAsia="仿宋_GB2312" w:hAnsi="宋体" w:cs="仿宋_GB2312" w:hint="eastAsia"/>
                <w:kern w:val="0"/>
                <w:sz w:val="20"/>
                <w:szCs w:val="20"/>
              </w:rPr>
              <w:t>优先股回售申请</w:t>
            </w: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75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405</w:t>
            </w: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vMerge/>
            <w:shd w:val="clear" w:color="auto" w:fill="auto"/>
            <w:tcMar>
              <w:top w:w="15" w:type="dxa"/>
              <w:left w:w="15" w:type="dxa"/>
              <w:right w:w="15" w:type="dxa"/>
            </w:tcMar>
            <w:vAlign w:val="center"/>
          </w:tcPr>
          <w:p w:rsidR="00DB2E41" w:rsidRDefault="00DB2E41" w:rsidP="0040680D">
            <w:pPr>
              <w:jc w:val="center"/>
              <w:rPr>
                <w:rFonts w:ascii="仿宋_GB2312" w:eastAsia="仿宋_GB2312" w:hAnsi="宋体" w:cs="仿宋_GB2312"/>
                <w:b/>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Cs/>
                <w:sz w:val="20"/>
                <w:szCs w:val="20"/>
              </w:rPr>
            </w:pPr>
            <w:r>
              <w:rPr>
                <w:rFonts w:ascii="仿宋_GB2312" w:eastAsia="仿宋_GB2312" w:hAnsi="宋体" w:cs="仿宋_GB2312" w:hint="eastAsia"/>
                <w:bCs/>
                <w:kern w:val="0"/>
                <w:sz w:val="20"/>
                <w:szCs w:val="20"/>
              </w:rPr>
              <w:t>3599</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与优先股有关的其他事项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b/>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406</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99</w:t>
            </w:r>
          </w:p>
        </w:tc>
        <w:tc>
          <w:tcPr>
            <w:tcW w:w="964" w:type="dxa"/>
            <w:vMerge w:val="restart"/>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其他披露事项</w:t>
            </w: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9901</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rPr>
              <w:t>其他披露事项</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r w:rsidR="00DB2E41" w:rsidTr="0040680D">
        <w:trPr>
          <w:trHeight w:val="510"/>
        </w:trPr>
        <w:tc>
          <w:tcPr>
            <w:tcW w:w="969" w:type="dxa"/>
            <w:shd w:val="clear" w:color="auto" w:fill="auto"/>
            <w:tcMar>
              <w:top w:w="15" w:type="dxa"/>
              <w:left w:w="15" w:type="dxa"/>
              <w:right w:w="15" w:type="dxa"/>
            </w:tcMar>
            <w:vAlign w:val="center"/>
          </w:tcPr>
          <w:p w:rsidR="00DB2E41" w:rsidRDefault="0092432E" w:rsidP="0092432E">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407</w:t>
            </w:r>
          </w:p>
        </w:tc>
        <w:tc>
          <w:tcPr>
            <w:tcW w:w="964" w:type="dxa"/>
            <w:vMerge/>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p>
        </w:tc>
        <w:tc>
          <w:tcPr>
            <w:tcW w:w="964" w:type="dxa"/>
            <w:vMerge/>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p>
        </w:tc>
        <w:tc>
          <w:tcPr>
            <w:tcW w:w="964"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9902</w:t>
            </w:r>
          </w:p>
        </w:tc>
        <w:tc>
          <w:tcPr>
            <w:tcW w:w="1696"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B转H上市提示性公告</w:t>
            </w:r>
          </w:p>
        </w:tc>
        <w:tc>
          <w:tcPr>
            <w:tcW w:w="1009" w:type="dxa"/>
            <w:shd w:val="clear" w:color="auto" w:fill="auto"/>
            <w:tcMar>
              <w:top w:w="15" w:type="dxa"/>
              <w:left w:w="15" w:type="dxa"/>
              <w:right w:w="15" w:type="dxa"/>
            </w:tcMar>
            <w:vAlign w:val="center"/>
          </w:tcPr>
          <w:p w:rsidR="00DB2E41" w:rsidRDefault="00DB2E41" w:rsidP="0040680D">
            <w:pPr>
              <w:widowControl/>
              <w:jc w:val="center"/>
              <w:textAlignment w:val="center"/>
              <w:rPr>
                <w:rFonts w:ascii="仿宋_GB2312" w:eastAsia="仿宋_GB2312" w:hAnsi="宋体" w:cs="仿宋_GB2312"/>
                <w:b/>
                <w:kern w:val="0"/>
                <w:sz w:val="20"/>
                <w:szCs w:val="20"/>
              </w:rPr>
            </w:pPr>
            <w:r>
              <w:rPr>
                <w:rFonts w:ascii="仿宋_GB2312" w:eastAsia="仿宋_GB2312" w:hAnsi="宋体" w:cs="仿宋_GB2312" w:hint="eastAsia"/>
                <w:b/>
                <w:kern w:val="0"/>
                <w:sz w:val="20"/>
                <w:szCs w:val="20"/>
              </w:rPr>
              <w:t>√</w:t>
            </w:r>
          </w:p>
        </w:tc>
        <w:tc>
          <w:tcPr>
            <w:tcW w:w="1015"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c>
          <w:tcPr>
            <w:tcW w:w="747" w:type="dxa"/>
            <w:shd w:val="clear" w:color="auto" w:fill="auto"/>
            <w:tcMar>
              <w:top w:w="15" w:type="dxa"/>
              <w:left w:w="15" w:type="dxa"/>
              <w:right w:w="15" w:type="dxa"/>
            </w:tcMar>
            <w:vAlign w:val="center"/>
          </w:tcPr>
          <w:p w:rsidR="00DB2E41" w:rsidRDefault="00DB2E41" w:rsidP="0040680D">
            <w:pPr>
              <w:jc w:val="left"/>
              <w:rPr>
                <w:rFonts w:ascii="仿宋_GB2312" w:eastAsia="仿宋_GB2312" w:hAnsi="宋体" w:cs="仿宋_GB2312"/>
                <w:sz w:val="20"/>
                <w:szCs w:val="20"/>
              </w:rPr>
            </w:pPr>
          </w:p>
        </w:tc>
      </w:tr>
    </w:tbl>
    <w:p w:rsidR="00502FED" w:rsidRDefault="00502FED" w:rsidP="00502FED">
      <w:pPr>
        <w:widowControl/>
        <w:jc w:val="left"/>
        <w:rPr>
          <w:rFonts w:ascii="仿宋_GB2312" w:eastAsia="仿宋_GB2312"/>
          <w:sz w:val="28"/>
          <w:szCs w:val="28"/>
        </w:rPr>
      </w:pPr>
    </w:p>
    <w:p w:rsidR="00B87067" w:rsidRDefault="00B87067" w:rsidP="00502FED">
      <w:pPr>
        <w:widowControl/>
        <w:jc w:val="left"/>
        <w:rPr>
          <w:rFonts w:ascii="仿宋_GB2312" w:eastAsia="仿宋_GB2312"/>
          <w:sz w:val="28"/>
          <w:szCs w:val="28"/>
        </w:rPr>
      </w:pPr>
    </w:p>
    <w:p w:rsidR="00B87067" w:rsidRDefault="00B87067" w:rsidP="00B87067">
      <w:pPr>
        <w:spacing w:line="600" w:lineRule="exact"/>
        <w:rPr>
          <w:rFonts w:ascii="宋体" w:eastAsia="仿宋_GB2312" w:hAnsi="宋体"/>
          <w:b/>
          <w:sz w:val="28"/>
          <w:szCs w:val="28"/>
        </w:rPr>
      </w:pPr>
      <w:r>
        <w:rPr>
          <w:rFonts w:ascii="仿宋_GB2312" w:eastAsia="仿宋_GB2312" w:hAnsi="宋体" w:hint="eastAsia"/>
          <w:b/>
          <w:sz w:val="28"/>
          <w:szCs w:val="28"/>
        </w:rPr>
        <w:lastRenderedPageBreak/>
        <w:t>附件2：</w:t>
      </w:r>
    </w:p>
    <w:p w:rsidR="00B87067" w:rsidRPr="0028167D" w:rsidRDefault="00B87067" w:rsidP="00B87067">
      <w:pPr>
        <w:spacing w:line="600" w:lineRule="exact"/>
        <w:jc w:val="center"/>
        <w:rPr>
          <w:rFonts w:ascii="仿宋_GB2312" w:eastAsia="仿宋_GB2312" w:hAnsi="宋体"/>
          <w:sz w:val="28"/>
          <w:szCs w:val="28"/>
        </w:rPr>
      </w:pPr>
      <w:r w:rsidRPr="00611514">
        <w:rPr>
          <w:rFonts w:ascii="仿宋_GB2312" w:eastAsia="仿宋_GB2312" w:hAnsi="宋体" w:hint="eastAsia"/>
          <w:sz w:val="28"/>
          <w:szCs w:val="28"/>
        </w:rPr>
        <w:t>上市公司公告电子文件编制规范</w:t>
      </w:r>
    </w:p>
    <w:p w:rsidR="00B87067" w:rsidRDefault="00B87067" w:rsidP="00B87067">
      <w:pPr>
        <w:spacing w:line="600" w:lineRule="exact"/>
        <w:ind w:firstLine="562"/>
        <w:rPr>
          <w:rFonts w:ascii="仿宋_GB2312" w:eastAsia="仿宋_GB2312" w:hAnsi="宋体"/>
          <w:b/>
          <w:sz w:val="28"/>
          <w:szCs w:val="28"/>
        </w:rPr>
      </w:pPr>
      <w:r>
        <w:rPr>
          <w:rFonts w:ascii="仿宋_GB2312" w:eastAsia="仿宋_GB2312" w:hAnsi="宋体" w:hint="eastAsia"/>
          <w:b/>
          <w:sz w:val="28"/>
          <w:szCs w:val="28"/>
        </w:rPr>
        <w:t>一、临时公告</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1、公告标题</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标题居中，字体选择黑体、加粗，建议字体大小为小二号或二号；同时应注意标题上方的证券代码、证券简称准确无误，公告编号保持连续。</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2、公告正文</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正文颜色为黑色，字体选择宋体，字体大小为小四号或四号；上传的公告文件必须为最终状态，不可留有修订痕迹。</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3、公告格式</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公司公告应主要采用WORD格式，中介机构报告格式仅限于WORD、PDF、TIF和XBRL格式，若有EXCEL格式表格或其他图片格式请粘贴进WORD文档或转换成WORD、PDF格式，不可直接上传EXCEL表格，不可上传影像文件以及WPS、PPT等格式的文件。</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4、其他</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公告标题中召开会议的届次和正文的届次表述统一；避免标题中的错别字及文中的年份/日期等错误；注意公告最后落款时间的正确。</w:t>
      </w:r>
    </w:p>
    <w:p w:rsidR="00B87067" w:rsidRDefault="00B87067" w:rsidP="00B87067">
      <w:pPr>
        <w:spacing w:line="600" w:lineRule="exact"/>
        <w:ind w:firstLine="562"/>
        <w:rPr>
          <w:rFonts w:ascii="仿宋_GB2312" w:eastAsia="仿宋_GB2312" w:hAnsi="宋体"/>
          <w:b/>
          <w:sz w:val="28"/>
          <w:szCs w:val="28"/>
        </w:rPr>
      </w:pPr>
      <w:r>
        <w:rPr>
          <w:rFonts w:ascii="仿宋_GB2312" w:eastAsia="仿宋_GB2312" w:hAnsi="宋体" w:hint="eastAsia"/>
          <w:b/>
          <w:sz w:val="28"/>
          <w:szCs w:val="28"/>
        </w:rPr>
        <w:t>二、定期报告</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定期报告正文中插入的表格较多，应注意每张表格在页面中完整显示，不应超出页边距范围，表格中的数字应避免换行。</w:t>
      </w:r>
    </w:p>
    <w:p w:rsidR="00B87067" w:rsidRDefault="00B87067" w:rsidP="00B87067">
      <w:pPr>
        <w:spacing w:line="600" w:lineRule="exact"/>
        <w:ind w:firstLine="562"/>
        <w:rPr>
          <w:rFonts w:ascii="仿宋_GB2312" w:eastAsia="仿宋_GB2312" w:hAnsi="宋体"/>
          <w:b/>
          <w:sz w:val="28"/>
          <w:szCs w:val="28"/>
        </w:rPr>
      </w:pPr>
      <w:r>
        <w:rPr>
          <w:rFonts w:ascii="仿宋_GB2312" w:eastAsia="仿宋_GB2312" w:hAnsi="宋体" w:hint="eastAsia"/>
          <w:b/>
          <w:sz w:val="28"/>
          <w:szCs w:val="28"/>
        </w:rPr>
        <w:t>三、其他注意事项</w:t>
      </w:r>
    </w:p>
    <w:p w:rsidR="00B87067" w:rsidRDefault="00B87067" w:rsidP="00B87067">
      <w:pPr>
        <w:spacing w:line="600" w:lineRule="exact"/>
        <w:ind w:firstLine="560"/>
        <w:rPr>
          <w:rFonts w:ascii="仿宋_GB2312" w:eastAsia="仿宋_GB2312" w:hAnsi="宋体"/>
          <w:sz w:val="28"/>
          <w:szCs w:val="28"/>
        </w:rPr>
      </w:pPr>
      <w:r>
        <w:rPr>
          <w:rFonts w:ascii="仿宋_GB2312" w:eastAsia="仿宋_GB2312" w:hAnsi="宋体" w:hint="eastAsia"/>
          <w:sz w:val="28"/>
          <w:szCs w:val="28"/>
        </w:rPr>
        <w:t>1、整个公告中不应出现空白页，不可有超链接字符。</w:t>
      </w:r>
    </w:p>
    <w:p w:rsidR="00B87067" w:rsidRDefault="00B87067" w:rsidP="00B87067">
      <w:pPr>
        <w:spacing w:line="600" w:lineRule="exact"/>
        <w:ind w:firstLine="560"/>
        <w:rPr>
          <w:rFonts w:ascii="仿宋_GB2312" w:eastAsia="仿宋_GB2312"/>
          <w:sz w:val="28"/>
          <w:szCs w:val="28"/>
        </w:rPr>
      </w:pPr>
      <w:r>
        <w:rPr>
          <w:rFonts w:ascii="仿宋_GB2312" w:eastAsia="仿宋_GB2312" w:hAnsi="宋体" w:hint="eastAsia"/>
          <w:sz w:val="28"/>
          <w:szCs w:val="28"/>
        </w:rPr>
        <w:lastRenderedPageBreak/>
        <w:t>2、公司治理文件（例如股东大会、董事会及监事会议事规则、董事会专门委员会工作细则等），如无需股东大会审议的，应与董事会决议公告同时提交；如需股东大会审议的，在提交董事会决议时无需单独提交（应写入股东大会会议资料中），待股东大会通过后再提交最终版。</w:t>
      </w:r>
    </w:p>
    <w:p w:rsidR="00FD51EF" w:rsidRPr="00B87067" w:rsidRDefault="00FD51EF">
      <w:pPr>
        <w:widowControl/>
        <w:jc w:val="left"/>
        <w:rPr>
          <w:rFonts w:ascii="仿宋_GB2312" w:eastAsia="仿宋_GB2312"/>
          <w:sz w:val="28"/>
          <w:szCs w:val="28"/>
        </w:rPr>
      </w:pPr>
    </w:p>
    <w:sectPr w:rsidR="00FD51EF" w:rsidRPr="00B87067" w:rsidSect="00FD51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99" w:rsidRDefault="00E57999" w:rsidP="00FD51EF">
      <w:r>
        <w:separator/>
      </w:r>
    </w:p>
  </w:endnote>
  <w:endnote w:type="continuationSeparator" w:id="0">
    <w:p w:rsidR="00E57999" w:rsidRDefault="00E57999" w:rsidP="00FD5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13485"/>
    </w:sdtPr>
    <w:sdtContent>
      <w:p w:rsidR="00FD51EF" w:rsidRDefault="002E1E5F">
        <w:pPr>
          <w:pStyle w:val="a5"/>
          <w:jc w:val="center"/>
        </w:pPr>
        <w:r w:rsidRPr="002E1E5F">
          <w:fldChar w:fldCharType="begin"/>
        </w:r>
        <w:r w:rsidR="00A571B1">
          <w:instrText xml:space="preserve"> PAGE   \* MERGEFORMAT </w:instrText>
        </w:r>
        <w:r w:rsidRPr="002E1E5F">
          <w:fldChar w:fldCharType="separate"/>
        </w:r>
        <w:r w:rsidR="001E36A7" w:rsidRPr="001E36A7">
          <w:rPr>
            <w:noProof/>
            <w:lang w:val="zh-CN"/>
          </w:rPr>
          <w:t>7</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99" w:rsidRDefault="00E57999" w:rsidP="00FD51EF">
      <w:r>
        <w:separator/>
      </w:r>
    </w:p>
  </w:footnote>
  <w:footnote w:type="continuationSeparator" w:id="0">
    <w:p w:rsidR="00E57999" w:rsidRDefault="00E57999" w:rsidP="00FD5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9B479C"/>
    <w:rsid w:val="0000268C"/>
    <w:rsid w:val="00032428"/>
    <w:rsid w:val="000343D6"/>
    <w:rsid w:val="000854C4"/>
    <w:rsid w:val="000A51EA"/>
    <w:rsid w:val="000D2601"/>
    <w:rsid w:val="000E1AEA"/>
    <w:rsid w:val="000F556D"/>
    <w:rsid w:val="000F7F7A"/>
    <w:rsid w:val="00146177"/>
    <w:rsid w:val="001514A5"/>
    <w:rsid w:val="00160F01"/>
    <w:rsid w:val="001A6AE1"/>
    <w:rsid w:val="001B4DB0"/>
    <w:rsid w:val="001E36A7"/>
    <w:rsid w:val="002015B3"/>
    <w:rsid w:val="00246826"/>
    <w:rsid w:val="00271295"/>
    <w:rsid w:val="00274D4F"/>
    <w:rsid w:val="0028167D"/>
    <w:rsid w:val="00297A57"/>
    <w:rsid w:val="002E1E5F"/>
    <w:rsid w:val="002E5EB2"/>
    <w:rsid w:val="003519B2"/>
    <w:rsid w:val="003617E0"/>
    <w:rsid w:val="0036353A"/>
    <w:rsid w:val="0037304D"/>
    <w:rsid w:val="003C6DD4"/>
    <w:rsid w:val="003D5EFE"/>
    <w:rsid w:val="003E585B"/>
    <w:rsid w:val="004B5073"/>
    <w:rsid w:val="00502FED"/>
    <w:rsid w:val="00523D72"/>
    <w:rsid w:val="005512FC"/>
    <w:rsid w:val="00554CFE"/>
    <w:rsid w:val="00574B5B"/>
    <w:rsid w:val="00575D81"/>
    <w:rsid w:val="00577B9C"/>
    <w:rsid w:val="00581124"/>
    <w:rsid w:val="00581EC2"/>
    <w:rsid w:val="00585302"/>
    <w:rsid w:val="00611514"/>
    <w:rsid w:val="0061752B"/>
    <w:rsid w:val="00631001"/>
    <w:rsid w:val="00646964"/>
    <w:rsid w:val="00654593"/>
    <w:rsid w:val="00667B75"/>
    <w:rsid w:val="006A4149"/>
    <w:rsid w:val="00730B89"/>
    <w:rsid w:val="00767978"/>
    <w:rsid w:val="007C18B2"/>
    <w:rsid w:val="007C6BE9"/>
    <w:rsid w:val="008203FF"/>
    <w:rsid w:val="008621BB"/>
    <w:rsid w:val="00862DDF"/>
    <w:rsid w:val="008A5670"/>
    <w:rsid w:val="008D39A6"/>
    <w:rsid w:val="009156B9"/>
    <w:rsid w:val="00916428"/>
    <w:rsid w:val="0092432E"/>
    <w:rsid w:val="00953BE5"/>
    <w:rsid w:val="00967E0B"/>
    <w:rsid w:val="00977AC4"/>
    <w:rsid w:val="009825C5"/>
    <w:rsid w:val="009A7125"/>
    <w:rsid w:val="009E53AC"/>
    <w:rsid w:val="00A571B1"/>
    <w:rsid w:val="00A60022"/>
    <w:rsid w:val="00AF7B64"/>
    <w:rsid w:val="00B0251B"/>
    <w:rsid w:val="00B04B3C"/>
    <w:rsid w:val="00B217D6"/>
    <w:rsid w:val="00B47BBC"/>
    <w:rsid w:val="00B83B18"/>
    <w:rsid w:val="00B87067"/>
    <w:rsid w:val="00C23E05"/>
    <w:rsid w:val="00C23ED9"/>
    <w:rsid w:val="00C5281C"/>
    <w:rsid w:val="00CA2CA8"/>
    <w:rsid w:val="00CC7EC8"/>
    <w:rsid w:val="00D01426"/>
    <w:rsid w:val="00D074F8"/>
    <w:rsid w:val="00D4185F"/>
    <w:rsid w:val="00D77BD4"/>
    <w:rsid w:val="00D91F5D"/>
    <w:rsid w:val="00D93C54"/>
    <w:rsid w:val="00D956E4"/>
    <w:rsid w:val="00DB2E41"/>
    <w:rsid w:val="00DC17B3"/>
    <w:rsid w:val="00E17FBC"/>
    <w:rsid w:val="00E33770"/>
    <w:rsid w:val="00E57999"/>
    <w:rsid w:val="00E902E9"/>
    <w:rsid w:val="00E92635"/>
    <w:rsid w:val="00ED28CD"/>
    <w:rsid w:val="00F927EF"/>
    <w:rsid w:val="00FD51EF"/>
    <w:rsid w:val="03A539A0"/>
    <w:rsid w:val="08D23791"/>
    <w:rsid w:val="0A25045F"/>
    <w:rsid w:val="1A9B479C"/>
    <w:rsid w:val="1C8D24BA"/>
    <w:rsid w:val="2BA34462"/>
    <w:rsid w:val="35B05222"/>
    <w:rsid w:val="3FEE3B61"/>
    <w:rsid w:val="6E6C088A"/>
    <w:rsid w:val="744B6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qFormat="1"/>
    <w:lsdException w:name="footer" w:uiPriority="99" w:qFormat="1"/>
    <w:lsdException w:name="caption" w:semiHidden="1" w:unhideWhenUsed="1" w:qFormat="1"/>
    <w:lsdException w:name="annotation reference"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E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FD51EF"/>
    <w:pPr>
      <w:jc w:val="left"/>
    </w:pPr>
    <w:rPr>
      <w:rFonts w:ascii="Calibri" w:hAnsi="Calibri"/>
      <w:szCs w:val="22"/>
    </w:rPr>
  </w:style>
  <w:style w:type="paragraph" w:styleId="a4">
    <w:name w:val="Balloon Text"/>
    <w:basedOn w:val="a"/>
    <w:link w:val="Char0"/>
    <w:qFormat/>
    <w:rsid w:val="00FD51EF"/>
    <w:rPr>
      <w:sz w:val="18"/>
      <w:szCs w:val="18"/>
    </w:rPr>
  </w:style>
  <w:style w:type="paragraph" w:styleId="a5">
    <w:name w:val="footer"/>
    <w:basedOn w:val="a"/>
    <w:link w:val="Char1"/>
    <w:uiPriority w:val="99"/>
    <w:qFormat/>
    <w:rsid w:val="00FD51EF"/>
    <w:pPr>
      <w:tabs>
        <w:tab w:val="center" w:pos="4153"/>
        <w:tab w:val="right" w:pos="8306"/>
      </w:tabs>
      <w:snapToGrid w:val="0"/>
      <w:jc w:val="left"/>
    </w:pPr>
    <w:rPr>
      <w:sz w:val="18"/>
      <w:szCs w:val="18"/>
    </w:rPr>
  </w:style>
  <w:style w:type="paragraph" w:styleId="a6">
    <w:name w:val="header"/>
    <w:basedOn w:val="a"/>
    <w:link w:val="Char2"/>
    <w:qFormat/>
    <w:rsid w:val="00FD51EF"/>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nhideWhenUsed/>
    <w:qFormat/>
    <w:rsid w:val="00FD51EF"/>
    <w:rPr>
      <w:sz w:val="21"/>
      <w:szCs w:val="21"/>
    </w:rPr>
  </w:style>
  <w:style w:type="character" w:customStyle="1" w:styleId="Char2">
    <w:name w:val="页眉 Char"/>
    <w:basedOn w:val="a0"/>
    <w:link w:val="a6"/>
    <w:qFormat/>
    <w:rsid w:val="00FD51EF"/>
    <w:rPr>
      <w:rFonts w:ascii="Times New Roman" w:eastAsia="宋体" w:hAnsi="Times New Roman" w:cs="Times New Roman"/>
      <w:kern w:val="2"/>
      <w:sz w:val="18"/>
      <w:szCs w:val="18"/>
    </w:rPr>
  </w:style>
  <w:style w:type="character" w:customStyle="1" w:styleId="Char1">
    <w:name w:val="页脚 Char"/>
    <w:basedOn w:val="a0"/>
    <w:link w:val="a5"/>
    <w:uiPriority w:val="99"/>
    <w:qFormat/>
    <w:rsid w:val="00FD51EF"/>
    <w:rPr>
      <w:rFonts w:ascii="Times New Roman" w:eastAsia="宋体" w:hAnsi="Times New Roman" w:cs="Times New Roman"/>
      <w:kern w:val="2"/>
      <w:sz w:val="18"/>
      <w:szCs w:val="18"/>
    </w:rPr>
  </w:style>
  <w:style w:type="character" w:customStyle="1" w:styleId="Char0">
    <w:name w:val="批注框文本 Char"/>
    <w:basedOn w:val="a0"/>
    <w:link w:val="a4"/>
    <w:qFormat/>
    <w:rsid w:val="00FD51EF"/>
    <w:rPr>
      <w:rFonts w:ascii="Times New Roman" w:eastAsia="宋体" w:hAnsi="Times New Roman" w:cs="Times New Roman"/>
      <w:kern w:val="2"/>
      <w:sz w:val="18"/>
      <w:szCs w:val="18"/>
    </w:rPr>
  </w:style>
  <w:style w:type="paragraph" w:styleId="a8">
    <w:name w:val="annotation subject"/>
    <w:basedOn w:val="a3"/>
    <w:next w:val="a3"/>
    <w:link w:val="Char3"/>
    <w:qFormat/>
    <w:rsid w:val="00502FED"/>
    <w:rPr>
      <w:rFonts w:ascii="Times New Roman" w:hAnsi="Times New Roman"/>
      <w:b/>
      <w:bCs/>
      <w:szCs w:val="24"/>
    </w:rPr>
  </w:style>
  <w:style w:type="character" w:customStyle="1" w:styleId="Char">
    <w:name w:val="批注文字 Char"/>
    <w:basedOn w:val="a0"/>
    <w:link w:val="a3"/>
    <w:rsid w:val="00502FED"/>
    <w:rPr>
      <w:rFonts w:ascii="Calibri" w:eastAsia="宋体" w:hAnsi="Calibri" w:cs="Times New Roman"/>
      <w:kern w:val="2"/>
      <w:sz w:val="21"/>
      <w:szCs w:val="22"/>
    </w:rPr>
  </w:style>
  <w:style w:type="character" w:customStyle="1" w:styleId="Char3">
    <w:name w:val="批注主题 Char"/>
    <w:basedOn w:val="Char"/>
    <w:link w:val="a8"/>
    <w:rsid w:val="00502FED"/>
    <w:rPr>
      <w:rFonts w:ascii="Times New Roman" w:hAnsi="Times New Roman"/>
      <w:b/>
      <w:bCs/>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3353B-C4B8-4264-B3B5-5FAEB564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2384</Words>
  <Characters>13593</Characters>
  <Application>Microsoft Office Word</Application>
  <DocSecurity>0</DocSecurity>
  <Lines>113</Lines>
  <Paragraphs>31</Paragraphs>
  <ScaleCrop>false</ScaleCrop>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2023-02-20T05:19:00Z</cp:lastPrinted>
  <dcterms:created xsi:type="dcterms:W3CDTF">2023-02-23T03:03:00Z</dcterms:created>
  <dcterms:modified xsi:type="dcterms:W3CDTF">2023-02-24T08:01:00Z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460D9CD7890541E580C40F2904921536</vt:lpwstr>
  </property>
</Properties>
</file>