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DD" w:rsidRPr="00750B50" w:rsidRDefault="00D03DDD" w:rsidP="00750B50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750B50">
        <w:rPr>
          <w:rFonts w:ascii="黑体" w:eastAsia="黑体" w:hAnsi="黑体" w:hint="eastAsia"/>
          <w:b/>
          <w:bCs/>
          <w:sz w:val="36"/>
          <w:szCs w:val="36"/>
        </w:rPr>
        <w:t>第</w:t>
      </w:r>
      <w:r w:rsidR="0091421A" w:rsidRPr="00750B50">
        <w:rPr>
          <w:rFonts w:ascii="黑体" w:eastAsia="黑体" w:hAnsi="黑体" w:hint="eastAsia"/>
          <w:b/>
          <w:bCs/>
          <w:sz w:val="36"/>
          <w:szCs w:val="36"/>
        </w:rPr>
        <w:t>四十</w:t>
      </w:r>
      <w:r w:rsidR="00FB7BFB">
        <w:rPr>
          <w:rFonts w:ascii="黑体" w:eastAsia="黑体" w:hAnsi="黑体" w:hint="eastAsia"/>
          <w:b/>
          <w:bCs/>
          <w:sz w:val="36"/>
          <w:szCs w:val="36"/>
        </w:rPr>
        <w:t>七</w:t>
      </w:r>
      <w:bookmarkStart w:id="0" w:name="_GoBack"/>
      <w:bookmarkEnd w:id="0"/>
      <w:r w:rsidR="0091421A" w:rsidRPr="00750B50">
        <w:rPr>
          <w:rFonts w:ascii="黑体" w:eastAsia="黑体" w:hAnsi="黑体" w:hint="eastAsia"/>
          <w:b/>
          <w:bCs/>
          <w:sz w:val="36"/>
          <w:szCs w:val="36"/>
        </w:rPr>
        <w:t xml:space="preserve">号 </w:t>
      </w:r>
      <w:r w:rsidRPr="00750B50">
        <w:rPr>
          <w:rFonts w:ascii="黑体" w:eastAsia="黑体" w:hAnsi="黑体" w:hint="eastAsia"/>
          <w:b/>
          <w:bCs/>
          <w:sz w:val="36"/>
          <w:szCs w:val="36"/>
        </w:rPr>
        <w:t>上市公司股东及董监高增持股份</w:t>
      </w:r>
      <w:r w:rsidR="006E72C7" w:rsidRPr="00750B50">
        <w:rPr>
          <w:rFonts w:ascii="黑体" w:eastAsia="黑体" w:hAnsi="黑体" w:hint="eastAsia"/>
          <w:b/>
          <w:bCs/>
          <w:sz w:val="36"/>
          <w:szCs w:val="36"/>
        </w:rPr>
        <w:t>情况</w:t>
      </w:r>
      <w:r w:rsidR="00B66958">
        <w:rPr>
          <w:rFonts w:ascii="黑体" w:eastAsia="黑体" w:hAnsi="黑体" w:hint="eastAsia"/>
          <w:b/>
          <w:bCs/>
          <w:sz w:val="36"/>
          <w:szCs w:val="36"/>
        </w:rPr>
        <w:t>、</w:t>
      </w:r>
      <w:r w:rsidRPr="00750B50">
        <w:rPr>
          <w:rFonts w:ascii="黑体" w:eastAsia="黑体" w:hAnsi="黑体" w:hint="eastAsia"/>
          <w:b/>
          <w:bCs/>
          <w:sz w:val="36"/>
          <w:szCs w:val="36"/>
        </w:rPr>
        <w:t>计划</w:t>
      </w:r>
      <w:r w:rsidR="00B66958">
        <w:rPr>
          <w:rFonts w:ascii="黑体" w:eastAsia="黑体" w:hAnsi="黑体" w:hint="eastAsia"/>
          <w:b/>
          <w:bCs/>
          <w:sz w:val="36"/>
          <w:szCs w:val="36"/>
        </w:rPr>
        <w:t>、</w:t>
      </w:r>
      <w:r w:rsidRPr="00750B50">
        <w:rPr>
          <w:rFonts w:ascii="黑体" w:eastAsia="黑体" w:hAnsi="黑体" w:hint="eastAsia"/>
          <w:b/>
          <w:bCs/>
          <w:sz w:val="36"/>
          <w:szCs w:val="36"/>
        </w:rPr>
        <w:t>进展</w:t>
      </w:r>
      <w:r w:rsidR="00B66958">
        <w:rPr>
          <w:rFonts w:ascii="黑体" w:eastAsia="黑体" w:hAnsi="黑体" w:hint="eastAsia"/>
          <w:b/>
          <w:bCs/>
          <w:sz w:val="36"/>
          <w:szCs w:val="36"/>
        </w:rPr>
        <w:t>、</w:t>
      </w:r>
      <w:r w:rsidRPr="00750B50">
        <w:rPr>
          <w:rFonts w:ascii="黑体" w:eastAsia="黑体" w:hAnsi="黑体" w:hint="eastAsia"/>
          <w:b/>
          <w:bCs/>
          <w:sz w:val="36"/>
          <w:szCs w:val="36"/>
        </w:rPr>
        <w:t>结果公告</w:t>
      </w:r>
    </w:p>
    <w:p w:rsidR="001248DF" w:rsidRPr="00750B50" w:rsidRDefault="001248DF" w:rsidP="00750B50"/>
    <w:p w:rsidR="00D03DDD" w:rsidRPr="003B737D" w:rsidRDefault="003B737D" w:rsidP="00D03DDD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 w:rsidRPr="003B737D">
        <w:rPr>
          <w:rFonts w:ascii="仿宋_GB2312" w:eastAsia="仿宋_GB2312" w:hAnsi="宋体" w:hint="eastAsia"/>
          <w:b/>
          <w:sz w:val="30"/>
          <w:szCs w:val="30"/>
        </w:rPr>
        <w:t>适用情形：</w:t>
      </w:r>
    </w:p>
    <w:p w:rsidR="00EF4C7B" w:rsidRPr="00D730DE" w:rsidRDefault="00EF4C7B" w:rsidP="00EF4C7B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1.</w:t>
      </w:r>
      <w:r w:rsidR="00891384" w:rsidRPr="00D730DE">
        <w:rPr>
          <w:rFonts w:ascii="仿宋_GB2312" w:eastAsia="仿宋_GB2312" w:hint="eastAsia"/>
          <w:color w:val="000000"/>
          <w:sz w:val="30"/>
          <w:szCs w:val="30"/>
        </w:rPr>
        <w:t>本所《上市公司自律监管指引第</w:t>
      </w:r>
      <w:r w:rsidR="00891384" w:rsidRPr="00D730DE">
        <w:rPr>
          <w:rFonts w:ascii="仿宋_GB2312" w:eastAsia="仿宋_GB2312"/>
          <w:color w:val="000000"/>
          <w:sz w:val="30"/>
          <w:szCs w:val="30"/>
        </w:rPr>
        <w:t>8</w:t>
      </w:r>
      <w:r w:rsidR="00891384" w:rsidRPr="00D730DE">
        <w:rPr>
          <w:rFonts w:ascii="仿宋_GB2312" w:eastAsia="仿宋_GB2312" w:hint="eastAsia"/>
          <w:color w:val="000000"/>
          <w:sz w:val="30"/>
          <w:szCs w:val="30"/>
        </w:rPr>
        <w:t>号——股份变动管理》规定的大股东在未披露股份增持计划的情况下，首次披露其股份增持情况并且拟继续增持的，</w:t>
      </w:r>
      <w:r w:rsidR="00750B50">
        <w:rPr>
          <w:rFonts w:ascii="仿宋_GB2312" w:eastAsia="仿宋_GB2312" w:hint="eastAsia"/>
          <w:color w:val="000000"/>
          <w:sz w:val="30"/>
          <w:szCs w:val="30"/>
        </w:rPr>
        <w:t>或者在增持前拟提前披露增持计划的，</w:t>
      </w:r>
      <w:r w:rsidR="00891384" w:rsidRPr="00D730DE">
        <w:rPr>
          <w:rFonts w:ascii="仿宋_GB2312" w:eastAsia="仿宋_GB2312" w:hint="eastAsia"/>
          <w:color w:val="000000"/>
          <w:sz w:val="30"/>
          <w:szCs w:val="30"/>
        </w:rPr>
        <w:t>适用本公告格式</w:t>
      </w:r>
      <w:r>
        <w:rPr>
          <w:rFonts w:ascii="仿宋_GB2312" w:eastAsia="仿宋_GB2312" w:hint="eastAsia"/>
          <w:color w:val="000000"/>
          <w:sz w:val="30"/>
          <w:szCs w:val="30"/>
        </w:rPr>
        <w:t>进行披露</w:t>
      </w:r>
      <w:r w:rsidRPr="00D730DE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FF63C2" w:rsidRPr="00D730DE" w:rsidRDefault="00EF4C7B" w:rsidP="00EF4C7B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.</w:t>
      </w:r>
      <w:r w:rsidR="00750B50" w:rsidRPr="007C57A6">
        <w:rPr>
          <w:rFonts w:ascii="仿宋_GB2312" w:eastAsia="仿宋_GB2312" w:hint="eastAsia"/>
          <w:color w:val="000000"/>
          <w:sz w:val="30"/>
          <w:szCs w:val="30"/>
        </w:rPr>
        <w:t>上市公司其他股东</w:t>
      </w:r>
      <w:r w:rsidR="00750B50">
        <w:rPr>
          <w:rFonts w:ascii="仿宋_GB2312" w:eastAsia="仿宋_GB2312" w:hint="eastAsia"/>
          <w:color w:val="000000"/>
          <w:sz w:val="30"/>
          <w:szCs w:val="30"/>
        </w:rPr>
        <w:t>及</w:t>
      </w:r>
      <w:r w:rsidR="00725957" w:rsidRPr="00D730DE">
        <w:rPr>
          <w:rFonts w:ascii="仿宋_GB2312" w:eastAsia="仿宋_GB2312" w:hint="eastAsia"/>
          <w:color w:val="000000"/>
          <w:sz w:val="30"/>
          <w:szCs w:val="30"/>
        </w:rPr>
        <w:t>董事、监事、高级管理人员（以下简称董监高）披露拟通过证券交易所集中竞价交易增持股</w:t>
      </w:r>
      <w:proofErr w:type="gramStart"/>
      <w:r w:rsidR="00725957" w:rsidRPr="00D730DE">
        <w:rPr>
          <w:rFonts w:ascii="仿宋_GB2312" w:eastAsia="仿宋_GB2312" w:hint="eastAsia"/>
          <w:color w:val="000000"/>
          <w:sz w:val="30"/>
          <w:szCs w:val="30"/>
        </w:rPr>
        <w:t>份计划</w:t>
      </w:r>
      <w:proofErr w:type="gramEnd"/>
      <w:r w:rsidR="00725957" w:rsidRPr="00D730DE">
        <w:rPr>
          <w:rFonts w:ascii="仿宋_GB2312" w:eastAsia="仿宋_GB2312" w:hint="eastAsia"/>
          <w:color w:val="000000"/>
          <w:sz w:val="30"/>
          <w:szCs w:val="30"/>
        </w:rPr>
        <w:t>的，</w:t>
      </w:r>
      <w:r w:rsidR="00750B50">
        <w:rPr>
          <w:rFonts w:ascii="仿宋_GB2312" w:eastAsia="仿宋_GB2312" w:hint="eastAsia"/>
          <w:color w:val="000000"/>
          <w:sz w:val="30"/>
          <w:szCs w:val="30"/>
        </w:rPr>
        <w:t>参照</w:t>
      </w:r>
      <w:r w:rsidR="00725957" w:rsidRPr="00D730DE">
        <w:rPr>
          <w:rFonts w:ascii="仿宋_GB2312" w:eastAsia="仿宋_GB2312" w:hint="eastAsia"/>
          <w:color w:val="000000"/>
          <w:sz w:val="30"/>
          <w:szCs w:val="30"/>
        </w:rPr>
        <w:t>适用本公告格式。</w:t>
      </w:r>
    </w:p>
    <w:p w:rsidR="00D0367C" w:rsidRDefault="00920D41" w:rsidP="00EC6FC1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</w:t>
      </w:r>
      <w:r w:rsidR="00FF63C2" w:rsidRPr="00EC6FC1">
        <w:rPr>
          <w:rFonts w:ascii="仿宋_GB2312" w:eastAsia="仿宋_GB2312" w:hint="eastAsia"/>
          <w:color w:val="000000"/>
          <w:sz w:val="30"/>
          <w:szCs w:val="30"/>
        </w:rPr>
        <w:t>.</w:t>
      </w:r>
      <w:r w:rsidR="00D03DDD" w:rsidRPr="00D03DDD">
        <w:rPr>
          <w:rFonts w:ascii="仿宋_GB2312" w:eastAsia="仿宋_GB2312"/>
          <w:color w:val="000000"/>
          <w:sz w:val="30"/>
          <w:szCs w:val="30"/>
        </w:rPr>
        <w:t>A+H股上市公司的</w:t>
      </w:r>
      <w:r w:rsidR="00D03DDD" w:rsidRPr="00D03DDD">
        <w:rPr>
          <w:rFonts w:ascii="仿宋_GB2312" w:eastAsia="仿宋_GB2312" w:hint="eastAsia"/>
          <w:color w:val="000000"/>
          <w:sz w:val="30"/>
          <w:szCs w:val="30"/>
        </w:rPr>
        <w:t>相关股东或董监高仅增持</w:t>
      </w:r>
      <w:r w:rsidR="00D03DDD" w:rsidRPr="00D03DDD">
        <w:rPr>
          <w:rFonts w:ascii="仿宋_GB2312" w:eastAsia="仿宋_GB2312"/>
          <w:color w:val="000000"/>
          <w:sz w:val="30"/>
          <w:szCs w:val="30"/>
        </w:rPr>
        <w:t>H股股份的，不适用本</w:t>
      </w:r>
      <w:r w:rsidR="007E3EA4">
        <w:rPr>
          <w:rFonts w:ascii="仿宋_GB2312" w:eastAsia="仿宋_GB2312" w:hint="eastAsia"/>
          <w:color w:val="000000"/>
          <w:sz w:val="30"/>
          <w:szCs w:val="30"/>
        </w:rPr>
        <w:t>公告格式</w:t>
      </w:r>
      <w:r w:rsidR="00D03DDD" w:rsidRPr="00D03DDD">
        <w:rPr>
          <w:rFonts w:ascii="仿宋_GB2312" w:eastAsia="仿宋_GB2312"/>
          <w:color w:val="000000"/>
          <w:sz w:val="30"/>
          <w:szCs w:val="30"/>
        </w:rPr>
        <w:t>，但应当遵守A股和H股市场同步信息披露的相关规定。</w:t>
      </w:r>
    </w:p>
    <w:p w:rsidR="005365AD" w:rsidRDefault="005365AD" w:rsidP="00D0367C">
      <w:pPr>
        <w:autoSpaceDE w:val="0"/>
        <w:autoSpaceDN w:val="0"/>
        <w:adjustRightInd w:val="0"/>
        <w:spacing w:line="54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D03DDD" w:rsidRDefault="00D0367C" w:rsidP="00D03DDD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:rsidR="00D03DDD" w:rsidRPr="00D03DDD" w:rsidRDefault="00D03DDD" w:rsidP="00D03DDD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:rsidR="00C75D82" w:rsidRDefault="00C75D82" w:rsidP="00D03DDD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X</w:t>
      </w:r>
      <w:r>
        <w:rPr>
          <w:rFonts w:ascii="仿宋_GB2312" w:eastAsia="仿宋_GB2312" w:hAnsi="宋体"/>
          <w:color w:val="000000"/>
          <w:sz w:val="30"/>
          <w:szCs w:val="30"/>
        </w:rPr>
        <w:t>XXX</w:t>
      </w:r>
      <w:r w:rsidR="00D03DDD" w:rsidRPr="00D03DDD">
        <w:rPr>
          <w:rFonts w:ascii="仿宋_GB2312" w:eastAsia="仿宋_GB2312" w:hAnsi="宋体" w:hint="eastAsia"/>
          <w:color w:val="000000"/>
          <w:sz w:val="30"/>
          <w:szCs w:val="30"/>
        </w:rPr>
        <w:t>股份有限公司股东及</w:t>
      </w:r>
      <w:proofErr w:type="gramStart"/>
      <w:r w:rsidR="00D03DDD" w:rsidRPr="00D03DDD">
        <w:rPr>
          <w:rFonts w:ascii="仿宋_GB2312" w:eastAsia="仿宋_GB2312" w:hAnsi="宋体" w:hint="eastAsia"/>
          <w:color w:val="000000"/>
          <w:sz w:val="30"/>
          <w:szCs w:val="30"/>
        </w:rPr>
        <w:t>董监高增</w:t>
      </w:r>
      <w:proofErr w:type="gramEnd"/>
      <w:r w:rsidR="00D03DDD" w:rsidRPr="00D03DDD">
        <w:rPr>
          <w:rFonts w:ascii="仿宋_GB2312" w:eastAsia="仿宋_GB2312" w:hAnsi="宋体" w:hint="eastAsia"/>
          <w:color w:val="000000"/>
          <w:sz w:val="30"/>
          <w:szCs w:val="30"/>
        </w:rPr>
        <w:t>持股份</w:t>
      </w:r>
    </w:p>
    <w:p w:rsidR="00D03DDD" w:rsidRPr="00D03DDD" w:rsidRDefault="00F1594E" w:rsidP="00D03DDD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情况</w:t>
      </w:r>
      <w:r w:rsidR="00D03DDD" w:rsidRPr="00D03DDD">
        <w:rPr>
          <w:rFonts w:ascii="仿宋_GB2312" w:eastAsia="仿宋_GB2312" w:hAnsi="宋体"/>
          <w:color w:val="000000"/>
          <w:sz w:val="30"/>
          <w:szCs w:val="30"/>
        </w:rPr>
        <w:t>/</w:t>
      </w:r>
      <w:r w:rsidR="00D03DDD" w:rsidRPr="00D03DDD">
        <w:rPr>
          <w:rFonts w:ascii="仿宋_GB2312" w:eastAsia="仿宋_GB2312" w:hAnsi="宋体" w:hint="eastAsia"/>
          <w:color w:val="000000"/>
          <w:sz w:val="30"/>
          <w:szCs w:val="30"/>
        </w:rPr>
        <w:t>计划</w:t>
      </w:r>
      <w:r w:rsidR="00D03DDD" w:rsidRPr="00D03DDD">
        <w:rPr>
          <w:rFonts w:ascii="仿宋_GB2312" w:eastAsia="仿宋_GB2312" w:hAnsi="宋体"/>
          <w:color w:val="000000"/>
          <w:sz w:val="30"/>
          <w:szCs w:val="30"/>
        </w:rPr>
        <w:t>/进展/结果公告</w:t>
      </w:r>
    </w:p>
    <w:p w:rsidR="00D0367C" w:rsidRDefault="00D0367C" w:rsidP="00D0367C">
      <w:pPr>
        <w:snapToGrid w:val="0"/>
        <w:spacing w:line="54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102AFA" w:rsidRDefault="00D0367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本公司董事会</w:t>
      </w:r>
      <w:r w:rsidR="00D03DDD" w:rsidRPr="00D03DDD"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全体董事及相关股东保证本公告内容不存在任何虚假记载、误导性陈述或者重大遗漏，并对其内容的真实性、准确性和完整性承担</w:t>
      </w:r>
      <w:r w:rsidR="00B55FA1">
        <w:rPr>
          <w:rFonts w:ascii="仿宋_GB2312" w:eastAsia="仿宋_GB2312" w:hAnsi="宋体" w:hint="eastAsia"/>
          <w:color w:val="000000"/>
          <w:sz w:val="30"/>
          <w:szCs w:val="30"/>
        </w:rPr>
        <w:t>法律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责任。</w:t>
      </w:r>
    </w:p>
    <w:p w:rsidR="00102AFA" w:rsidRDefault="00D0367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如有董事对临时公告内容的真实性、准确性和完整性无法保证或存在异议的，公司应当在公告中作特别提示。</w:t>
      </w:r>
    </w:p>
    <w:p w:rsidR="00D03DDD" w:rsidRPr="00D03DDD" w:rsidRDefault="00D03DDD" w:rsidP="00B55FA1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D03DDD">
        <w:rPr>
          <w:rFonts w:ascii="仿宋_GB2312" w:eastAsia="仿宋_GB2312" w:hAnsi="宋体" w:hint="eastAsia"/>
          <w:b/>
          <w:sz w:val="30"/>
          <w:szCs w:val="30"/>
        </w:rPr>
        <w:lastRenderedPageBreak/>
        <w:t>重要内容提示：</w:t>
      </w:r>
    </w:p>
    <w:p w:rsidR="004378FF" w:rsidRPr="009F577D" w:rsidRDefault="008D4932" w:rsidP="00D0367C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首次</w:t>
      </w:r>
      <w:r w:rsidR="00D03DDD" w:rsidRPr="00D03DDD">
        <w:rPr>
          <w:rFonts w:ascii="仿宋_GB2312" w:eastAsia="仿宋_GB2312" w:hint="eastAsia"/>
          <w:color w:val="000000"/>
          <w:sz w:val="30"/>
          <w:szCs w:val="30"/>
        </w:rPr>
        <w:t>增持的时间及方式、增持的数量及比例</w:t>
      </w:r>
    </w:p>
    <w:p w:rsidR="00D0367C" w:rsidRDefault="00D03DDD" w:rsidP="00D0367C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 w:rsidRPr="00D03DDD">
        <w:rPr>
          <w:rFonts w:ascii="仿宋_GB2312" w:eastAsia="仿宋_GB2312" w:hint="eastAsia"/>
          <w:color w:val="000000"/>
          <w:sz w:val="30"/>
          <w:szCs w:val="30"/>
        </w:rPr>
        <w:t>增</w:t>
      </w:r>
      <w:proofErr w:type="gramStart"/>
      <w:r w:rsidRPr="00D03DDD">
        <w:rPr>
          <w:rFonts w:ascii="仿宋_GB2312" w:eastAsia="仿宋_GB2312" w:hint="eastAsia"/>
          <w:color w:val="00000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int="eastAsia"/>
          <w:color w:val="000000"/>
          <w:sz w:val="30"/>
          <w:szCs w:val="30"/>
        </w:rPr>
        <w:t>的数量或金额规模、增持方式、</w:t>
      </w:r>
      <w:r w:rsidR="00665746">
        <w:rPr>
          <w:rFonts w:ascii="仿宋_GB2312" w:eastAsia="仿宋_GB2312" w:hint="eastAsia"/>
          <w:color w:val="000000"/>
          <w:sz w:val="30"/>
          <w:szCs w:val="30"/>
        </w:rPr>
        <w:t>实施</w:t>
      </w:r>
      <w:r w:rsidRPr="00D03DDD">
        <w:rPr>
          <w:rFonts w:ascii="仿宋_GB2312" w:eastAsia="仿宋_GB2312" w:hint="eastAsia"/>
          <w:color w:val="000000"/>
          <w:sz w:val="30"/>
          <w:szCs w:val="30"/>
        </w:rPr>
        <w:t>期限等基本情况</w:t>
      </w:r>
    </w:p>
    <w:p w:rsidR="00665746" w:rsidRPr="009F577D" w:rsidRDefault="00D60FA7" w:rsidP="00D0367C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相关增</w:t>
      </w:r>
      <w:proofErr w:type="gramStart"/>
      <w:r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持计划</w:t>
      </w:r>
      <w:proofErr w:type="gramEnd"/>
      <w:r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的</w:t>
      </w:r>
      <w:r w:rsidR="0087749E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其他</w:t>
      </w:r>
      <w:r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实施</w:t>
      </w:r>
      <w:r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条件（如有）</w:t>
      </w:r>
    </w:p>
    <w:p w:rsidR="00D0367C" w:rsidRPr="009F577D" w:rsidRDefault="00D03DDD" w:rsidP="00D0367C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 w:rsidRPr="00D03DDD">
        <w:rPr>
          <w:rFonts w:ascii="仿宋_GB2312" w:eastAsia="仿宋_GB2312" w:hint="eastAsia"/>
          <w:color w:val="000000"/>
          <w:sz w:val="30"/>
          <w:szCs w:val="30"/>
        </w:rPr>
        <w:t>增</w:t>
      </w:r>
      <w:proofErr w:type="gramStart"/>
      <w:r w:rsidRPr="00D03DDD">
        <w:rPr>
          <w:rFonts w:ascii="仿宋_GB2312" w:eastAsia="仿宋_GB2312" w:hint="eastAsia"/>
          <w:color w:val="00000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int="eastAsia"/>
          <w:color w:val="000000"/>
          <w:sz w:val="30"/>
          <w:szCs w:val="30"/>
        </w:rPr>
        <w:t>的进展</w:t>
      </w:r>
      <w:r w:rsidRPr="00D03DDD">
        <w:rPr>
          <w:rFonts w:ascii="仿宋_GB2312" w:eastAsia="仿宋_GB2312"/>
          <w:color w:val="000000"/>
          <w:sz w:val="30"/>
          <w:szCs w:val="30"/>
        </w:rPr>
        <w:t>/结果</w:t>
      </w:r>
      <w:r w:rsidRPr="00D03DDD">
        <w:rPr>
          <w:rFonts w:ascii="仿宋_GB2312" w:eastAsia="仿宋_GB2312" w:hint="eastAsia"/>
          <w:color w:val="000000"/>
          <w:sz w:val="30"/>
          <w:szCs w:val="30"/>
        </w:rPr>
        <w:t>相关风险提示</w:t>
      </w:r>
    </w:p>
    <w:p w:rsidR="00C77A19" w:rsidRPr="00C77A19" w:rsidRDefault="00C77A19" w:rsidP="00B50D8B">
      <w:pPr>
        <w:widowControl/>
        <w:spacing w:line="600" w:lineRule="exact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102AFA" w:rsidRPr="00D730DE" w:rsidRDefault="00725957" w:rsidP="00B55FA1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outlineLvl w:val="0"/>
        <w:rPr>
          <w:rFonts w:ascii="黑体" w:eastAsia="黑体" w:hAnsi="黑体"/>
          <w:b/>
          <w:sz w:val="30"/>
          <w:szCs w:val="30"/>
        </w:rPr>
      </w:pPr>
      <w:r w:rsidRPr="00D730DE">
        <w:rPr>
          <w:rFonts w:ascii="黑体" w:eastAsia="黑体" w:hAnsi="黑体" w:hint="eastAsia"/>
          <w:b/>
          <w:sz w:val="30"/>
          <w:szCs w:val="30"/>
        </w:rPr>
        <w:t>一、增</w:t>
      </w:r>
      <w:proofErr w:type="gramStart"/>
      <w:r w:rsidRPr="00D730DE">
        <w:rPr>
          <w:rFonts w:ascii="黑体" w:eastAsia="黑体" w:hAnsi="黑体" w:hint="eastAsia"/>
          <w:b/>
          <w:sz w:val="30"/>
          <w:szCs w:val="30"/>
        </w:rPr>
        <w:t>持主体</w:t>
      </w:r>
      <w:proofErr w:type="gramEnd"/>
      <w:r w:rsidRPr="00D730DE">
        <w:rPr>
          <w:rFonts w:ascii="黑体" w:eastAsia="黑体" w:hAnsi="黑体" w:hint="eastAsia"/>
          <w:b/>
          <w:sz w:val="30"/>
          <w:szCs w:val="30"/>
        </w:rPr>
        <w:t>的基本情况</w:t>
      </w:r>
    </w:p>
    <w:p w:rsidR="00D0367C" w:rsidRPr="005B3A96" w:rsidRDefault="00D03DDD" w:rsidP="005B3A96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（一）</w:t>
      </w:r>
      <w:r w:rsidR="002D3A24"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增</w:t>
      </w:r>
      <w:proofErr w:type="gramStart"/>
      <w:r w:rsidR="002D3A24"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持主体</w:t>
      </w:r>
      <w:proofErr w:type="gramEnd"/>
      <w:r w:rsidR="00FB202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的</w:t>
      </w:r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名称</w:t>
      </w:r>
      <w:r w:rsidR="0074695C"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或姓名</w:t>
      </w:r>
      <w:r w:rsidR="00594AE9"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、与上市公司的关系</w:t>
      </w:r>
    </w:p>
    <w:p w:rsidR="00D0367C" w:rsidRPr="005B3A96" w:rsidRDefault="00D03DDD" w:rsidP="005B3A96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（二）</w:t>
      </w:r>
      <w:r w:rsidR="00564897"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增</w:t>
      </w:r>
      <w:proofErr w:type="gramStart"/>
      <w:r w:rsidR="00564897"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持主体</w:t>
      </w:r>
      <w:proofErr w:type="gramEnd"/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已持有股份的数量、</w:t>
      </w:r>
      <w:r w:rsidR="007302E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占公司总股本的比例</w:t>
      </w:r>
      <w:r w:rsidR="007302EF"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等</w:t>
      </w:r>
    </w:p>
    <w:p w:rsidR="00564897" w:rsidRPr="005B3A96" w:rsidRDefault="00D03DDD" w:rsidP="005B3A96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（三）</w:t>
      </w:r>
      <w:r w:rsidR="00515B9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增</w:t>
      </w:r>
      <w:proofErr w:type="gramStart"/>
      <w:r w:rsidR="00515B9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持主体</w:t>
      </w:r>
      <w:proofErr w:type="gramEnd"/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在本次公告之前十二个月内已披露增</w:t>
      </w:r>
      <w:proofErr w:type="gramStart"/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的，</w:t>
      </w:r>
      <w:r w:rsidR="007F359A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披露其完成情况</w:t>
      </w:r>
    </w:p>
    <w:p w:rsidR="00102AFA" w:rsidRDefault="00422CE0" w:rsidP="00D730DE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rPr>
          <w:rFonts w:ascii="楷体" w:eastAsia="楷体" w:hAnsi="楷体" w:cs="宋体-WinCharSetFFFF-H"/>
          <w:color w:val="000000"/>
          <w:kern w:val="0"/>
          <w:sz w:val="24"/>
          <w:szCs w:val="24"/>
        </w:rPr>
      </w:pPr>
      <w:r w:rsidRPr="00A5146E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（编制提醒：</w:t>
      </w:r>
      <w:r w:rsidR="002456D1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股东增</w:t>
      </w:r>
      <w:proofErr w:type="gramStart"/>
      <w:r w:rsidR="002456D1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持过程</w:t>
      </w:r>
      <w:proofErr w:type="gramEnd"/>
      <w:r w:rsidR="002456D1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中严格遵守《上市公司收购管理办法》的相关规定，履行权益变动、收购相关的报告、公告义务）</w:t>
      </w:r>
    </w:p>
    <w:p w:rsidR="00725C60" w:rsidRPr="00D730DE" w:rsidRDefault="00725C60" w:rsidP="00D730DE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rPr>
          <w:rFonts w:ascii="楷体" w:eastAsia="楷体" w:hAnsi="楷体" w:cs="宋体-WinCharSetFFFF-H"/>
          <w:color w:val="000000"/>
          <w:kern w:val="0"/>
          <w:sz w:val="24"/>
          <w:szCs w:val="24"/>
        </w:rPr>
      </w:pPr>
    </w:p>
    <w:p w:rsidR="00102AFA" w:rsidRPr="00D730DE" w:rsidRDefault="00725957" w:rsidP="00B55FA1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outlineLvl w:val="0"/>
        <w:rPr>
          <w:rFonts w:ascii="黑体" w:eastAsia="黑体" w:hAnsi="黑体"/>
          <w:b/>
          <w:sz w:val="30"/>
          <w:szCs w:val="30"/>
        </w:rPr>
      </w:pPr>
      <w:r w:rsidRPr="00D730DE">
        <w:rPr>
          <w:rFonts w:ascii="黑体" w:eastAsia="黑体" w:hAnsi="黑体" w:hint="eastAsia"/>
          <w:b/>
          <w:sz w:val="30"/>
          <w:szCs w:val="30"/>
        </w:rPr>
        <w:t>二、本次增持情况（如适用）</w:t>
      </w:r>
    </w:p>
    <w:p w:rsidR="00671CE3" w:rsidRPr="005B3A96" w:rsidRDefault="00D03DDD" w:rsidP="005B3A96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（一）本次增持的股东、时间、方式、增持的数量及比例；</w:t>
      </w:r>
    </w:p>
    <w:p w:rsidR="00671CE3" w:rsidRPr="005B3A96" w:rsidRDefault="00D03DDD" w:rsidP="005B3A96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（二）增</w:t>
      </w:r>
      <w:proofErr w:type="gramStart"/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持完成</w:t>
      </w:r>
      <w:proofErr w:type="gramEnd"/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前后持股数量及比例（存在一致行动人的持股数量及比例</w:t>
      </w:r>
      <w:r w:rsidR="007F359A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合并计算）；</w:t>
      </w:r>
    </w:p>
    <w:p w:rsidR="00B50D8B" w:rsidRPr="005B3A96" w:rsidRDefault="00D03DDD" w:rsidP="005B3A96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（三）增</w:t>
      </w:r>
      <w:proofErr w:type="gramStart"/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持主体</w:t>
      </w:r>
      <w:proofErr w:type="gramEnd"/>
      <w:r w:rsidRPr="005B3A9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是否提出后续增持计划。</w:t>
      </w:r>
    </w:p>
    <w:p w:rsidR="00D03DDD" w:rsidRDefault="00571DC6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rPr>
          <w:rFonts w:ascii="楷体" w:eastAsia="楷体" w:hAnsi="楷体" w:cs="宋体-WinCharSetFFFF-H"/>
          <w:color w:val="000000"/>
          <w:kern w:val="0"/>
          <w:sz w:val="24"/>
          <w:szCs w:val="24"/>
        </w:rPr>
      </w:pPr>
      <w:r w:rsidRPr="00A5146E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（编制提醒：</w:t>
      </w:r>
      <w:r w:rsidR="00D03DDD" w:rsidRPr="00D03DDD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相关股东在首次增</w:t>
      </w:r>
      <w:proofErr w:type="gramStart"/>
      <w:r w:rsidR="00D03DDD" w:rsidRPr="00D03DDD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持行</w:t>
      </w:r>
      <w:r w:rsidR="005264C2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为</w:t>
      </w:r>
      <w:proofErr w:type="gramEnd"/>
      <w:r w:rsidR="005264C2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发生后无后续增</w:t>
      </w:r>
      <w:proofErr w:type="gramStart"/>
      <w:r w:rsidR="005264C2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持计划</w:t>
      </w:r>
      <w:proofErr w:type="gramEnd"/>
      <w:r w:rsidR="005264C2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的，也应当及时告知上市公司，</w:t>
      </w:r>
      <w:r w:rsidR="002456D1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通过</w:t>
      </w:r>
      <w:r w:rsidR="005264C2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上市公司</w:t>
      </w:r>
      <w:r w:rsidR="002456D1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进行</w:t>
      </w:r>
      <w:r w:rsidR="00D03DDD" w:rsidRPr="00D03DDD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披露</w:t>
      </w:r>
      <w:r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）</w:t>
      </w:r>
    </w:p>
    <w:p w:rsidR="00725C60" w:rsidRPr="00D03DDD" w:rsidRDefault="00725C60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rPr>
          <w:rFonts w:ascii="楷体" w:eastAsia="楷体" w:hAnsi="楷体" w:cs="宋体-WinCharSetFFFF-H"/>
          <w:color w:val="000000"/>
          <w:kern w:val="0"/>
          <w:sz w:val="24"/>
          <w:szCs w:val="24"/>
        </w:rPr>
      </w:pPr>
    </w:p>
    <w:p w:rsidR="00102AFA" w:rsidRPr="00D730DE" w:rsidRDefault="00725957" w:rsidP="00D730DE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D730DE">
        <w:rPr>
          <w:rFonts w:ascii="黑体" w:eastAsia="黑体" w:hAnsi="黑体" w:hint="eastAsia"/>
          <w:b/>
          <w:sz w:val="30"/>
          <w:szCs w:val="30"/>
        </w:rPr>
        <w:t>三、增</w:t>
      </w:r>
      <w:proofErr w:type="gramStart"/>
      <w:r w:rsidRPr="00D730DE">
        <w:rPr>
          <w:rFonts w:ascii="黑体" w:eastAsia="黑体" w:hAnsi="黑体" w:hint="eastAsia"/>
          <w:b/>
          <w:sz w:val="30"/>
          <w:szCs w:val="30"/>
        </w:rPr>
        <w:t>持计划</w:t>
      </w:r>
      <w:proofErr w:type="gramEnd"/>
      <w:r w:rsidRPr="00D730DE">
        <w:rPr>
          <w:rFonts w:ascii="黑体" w:eastAsia="黑体" w:hAnsi="黑体" w:hint="eastAsia"/>
          <w:b/>
          <w:sz w:val="30"/>
          <w:szCs w:val="30"/>
        </w:rPr>
        <w:t>的主要内容（如适用）</w:t>
      </w:r>
    </w:p>
    <w:p w:rsidR="00D03DDD" w:rsidRPr="00D03DDD" w:rsidRDefault="0035703E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lastRenderedPageBreak/>
        <w:t>（一）本次拟增持股份的目的。</w:t>
      </w:r>
      <w:bookmarkStart w:id="1" w:name="OLE_LINK14"/>
      <w:bookmarkStart w:id="2" w:name="OLE_LINK15"/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增</w:t>
      </w:r>
      <w:proofErr w:type="gramStart"/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持目的</w:t>
      </w:r>
      <w:r w:rsidR="0012554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</w:t>
      </w:r>
      <w:proofErr w:type="gramEnd"/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结合上市公司实际经营、未来发展趋势及股价变化等情况，符合客观实际。</w:t>
      </w:r>
      <w:bookmarkEnd w:id="1"/>
      <w:bookmarkEnd w:id="2"/>
    </w:p>
    <w:p w:rsidR="00D03DDD" w:rsidRPr="00D03DDD" w:rsidRDefault="00D03DDD" w:rsidP="00DF47CB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（二）本次拟增持股份的</w:t>
      </w:r>
      <w:r w:rsidR="005B1F64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种类和</w:t>
      </w: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方式。</w:t>
      </w:r>
      <w:r w:rsidR="0052191B" w:rsidRPr="0052191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相关增</w:t>
      </w:r>
      <w:proofErr w:type="gramStart"/>
      <w:r w:rsidR="0052191B" w:rsidRPr="0052191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持主体</w:t>
      </w:r>
      <w:proofErr w:type="gramEnd"/>
      <w:r w:rsidR="00B568C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="009A2EF9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明确</w:t>
      </w:r>
      <w:r w:rsidR="005B1F64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增持股份种类为A股或B股，</w:t>
      </w:r>
      <w:r w:rsidR="00A54115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并且</w:t>
      </w:r>
      <w:r w:rsidR="0052191B" w:rsidRPr="0052191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明确增</w:t>
      </w:r>
      <w:proofErr w:type="gramStart"/>
      <w:r w:rsidR="0052191B" w:rsidRPr="0052191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持方式</w:t>
      </w:r>
      <w:proofErr w:type="gramEnd"/>
      <w:r w:rsidR="00B568C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是</w:t>
      </w:r>
      <w:r w:rsidR="0052191B" w:rsidRPr="0052191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集中竞价交易、大宗交易</w:t>
      </w:r>
      <w:r w:rsidR="00B568C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或者</w:t>
      </w:r>
      <w:r w:rsidR="0052191B" w:rsidRPr="0052191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协议转让等。</w:t>
      </w:r>
    </w:p>
    <w:p w:rsidR="00102AFA" w:rsidRPr="00D730DE" w:rsidRDefault="0035703E" w:rsidP="00D730DE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Theme="minorEastAsia"/>
          <w:color w:val="000000" w:themeColor="text1"/>
          <w:kern w:val="0"/>
          <w:sz w:val="30"/>
          <w:szCs w:val="30"/>
        </w:rPr>
      </w:pPr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（三）本次拟增持股份的数量或金额。</w:t>
      </w:r>
      <w:bookmarkStart w:id="3" w:name="OLE_LINK20"/>
      <w:bookmarkStart w:id="4" w:name="OLE_LINK21"/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增</w:t>
      </w:r>
      <w:proofErr w:type="gramStart"/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持数量</w:t>
      </w:r>
      <w:proofErr w:type="gramEnd"/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或金额</w:t>
      </w:r>
      <w:r w:rsidR="00B568C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="00D366F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明确，</w:t>
      </w:r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如设置数量或金额区间的，</w:t>
      </w:r>
      <w:r w:rsidR="00BE67E0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区间范围</w:t>
      </w:r>
      <w:r w:rsidR="00B568C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="00BE67E0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审慎合理且具有可执行性，</w:t>
      </w:r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其上限和下限</w:t>
      </w:r>
      <w:r w:rsidR="00B568C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明确，</w:t>
      </w:r>
      <w:r w:rsidR="001C711E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上限不得超出下限的</w:t>
      </w:r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1</w:t>
      </w:r>
      <w:r w:rsidR="003866E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倍，且下限不得为</w:t>
      </w:r>
      <w:r w:rsidR="00595AE5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零</w:t>
      </w:r>
      <w:r w:rsidR="00E81948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；</w:t>
      </w:r>
      <w:r w:rsidR="00E81948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限定增</w:t>
      </w:r>
      <w:proofErr w:type="gramStart"/>
      <w:r w:rsidR="00E81948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持数量</w:t>
      </w:r>
      <w:proofErr w:type="gramEnd"/>
      <w:r w:rsidR="00E81948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的，</w:t>
      </w:r>
      <w:r w:rsidR="00C14AD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需要</w:t>
      </w:r>
      <w:r w:rsidR="00E81948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明确说明增</w:t>
      </w:r>
      <w:proofErr w:type="gramStart"/>
      <w:r w:rsidR="00E81948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持数量</w:t>
      </w:r>
      <w:proofErr w:type="gramEnd"/>
      <w:r w:rsidR="00E81948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在发生股份发行、可转债转股等事项时的调整方式</w:t>
      </w:r>
      <w:r w:rsidR="00E81948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。</w:t>
      </w:r>
      <w:bookmarkEnd w:id="3"/>
      <w:bookmarkEnd w:id="4"/>
    </w:p>
    <w:p w:rsidR="005A413E" w:rsidRPr="0023243F" w:rsidRDefault="0035703E" w:rsidP="00A45D92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（四）本次拟增持股份的价格</w:t>
      </w:r>
      <w:r w:rsidR="00B226A7" w:rsidRPr="00B226A7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（如有）</w:t>
      </w:r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。如设置固定价格、价格区间</w:t>
      </w:r>
      <w:r w:rsidR="00A45D92" w:rsidRPr="00A45D92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、定价原则</w:t>
      </w:r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或累计跌幅比例等实施前提的，</w:t>
      </w:r>
      <w:r w:rsidR="00C14AD2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根据公司股票近期价格波动及市场整体趋势予以审慎确定，确保实施增</w:t>
      </w:r>
      <w:proofErr w:type="gramStart"/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有切实可行的价格窗口。</w:t>
      </w:r>
      <w:r w:rsidR="0023243F" w:rsidRPr="00B226A7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如披露的增</w:t>
      </w:r>
      <w:proofErr w:type="gramStart"/>
      <w:r w:rsidR="0023243F" w:rsidRPr="00B226A7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持价格</w:t>
      </w:r>
      <w:proofErr w:type="gramEnd"/>
      <w:r w:rsidR="0023243F" w:rsidRPr="00B226A7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上限明显偏离当时的市场价格，</w:t>
      </w:r>
      <w:r w:rsidR="00C14AD2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="0023243F" w:rsidRPr="00B226A7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详细说明原因。</w:t>
      </w:r>
    </w:p>
    <w:p w:rsidR="00D03DDD" w:rsidRPr="00D03DDD" w:rsidRDefault="0035703E" w:rsidP="00A542F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</w:t>
      </w:r>
      <w:r w:rsidR="00A542F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五</w:t>
      </w:r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）本次增持股</w:t>
      </w:r>
      <w:proofErr w:type="gramStart"/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份计划</w:t>
      </w:r>
      <w:proofErr w:type="gramEnd"/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的实施期限。实施期限根据增</w:t>
      </w:r>
      <w:proofErr w:type="gramStart"/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可行性、投资者预期等因素，限制在合理期限内</w:t>
      </w:r>
      <w:r w:rsidR="00DD5091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。</w:t>
      </w:r>
      <w:r w:rsidR="00DD5091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如实施期限超过</w:t>
      </w:r>
      <w:r w:rsidR="00DD5091" w:rsidRPr="00D03DDD">
        <w:rPr>
          <w:rFonts w:ascii="仿宋_GB2312" w:eastAsia="仿宋_GB2312" w:hAnsi="宋体"/>
          <w:color w:val="000000"/>
          <w:kern w:val="0"/>
          <w:sz w:val="30"/>
          <w:szCs w:val="30"/>
        </w:rPr>
        <w:t>6个月的，</w:t>
      </w:r>
      <w:r w:rsidR="00C14AD2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="00DD5091" w:rsidRPr="00D03DDD">
        <w:rPr>
          <w:rFonts w:ascii="仿宋_GB2312" w:eastAsia="仿宋_GB2312" w:hAnsi="宋体"/>
          <w:color w:val="000000"/>
          <w:kern w:val="0"/>
          <w:sz w:val="30"/>
          <w:szCs w:val="30"/>
        </w:rPr>
        <w:t>结合实际情况说明其理由。</w:t>
      </w:r>
      <w:r w:rsidR="00DD5091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实施期限</w:t>
      </w:r>
      <w:r w:rsidR="00FE4B75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最长不得超过12个月</w:t>
      </w:r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。</w:t>
      </w:r>
    </w:p>
    <w:p w:rsidR="00521DE3" w:rsidRDefault="00D03DDD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Theme="minorEastAsia"/>
          <w:color w:val="000000" w:themeColor="text1"/>
          <w:kern w:val="0"/>
          <w:sz w:val="30"/>
          <w:szCs w:val="30"/>
        </w:rPr>
      </w:pP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</w:t>
      </w:r>
      <w:r w:rsidR="00A542F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六</w:t>
      </w: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）本次拟增持股份的资金安排。</w:t>
      </w:r>
      <w:r w:rsidR="00521DE3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资金来源</w:t>
      </w:r>
      <w:r w:rsidR="00B568CC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需要</w:t>
      </w:r>
      <w:r w:rsidR="00521DE3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明确，可能采用非自有资金实施增持的，</w:t>
      </w:r>
      <w:r w:rsidR="00C14AD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需要</w:t>
      </w:r>
      <w:r w:rsidR="00521DE3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披露相关融资安排。拟通过资产管理计划实施增持的，</w:t>
      </w:r>
      <w:r w:rsidR="00C14AD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需要</w:t>
      </w:r>
      <w:r w:rsidR="00521DE3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披露资产管理计划的类型、金额及存续期限等</w:t>
      </w:r>
      <w:r w:rsidR="00521DE3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。</w:t>
      </w:r>
    </w:p>
    <w:p w:rsidR="00102AFA" w:rsidRPr="00D730DE" w:rsidRDefault="00A542FC" w:rsidP="00B3410A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Theme="minorEastAsia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（七</w:t>
      </w:r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）</w:t>
      </w:r>
      <w:r w:rsidR="00CB14DF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相关增</w:t>
      </w:r>
      <w:proofErr w:type="gramStart"/>
      <w:r w:rsidR="00CB14DF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持计划</w:t>
      </w:r>
      <w:proofErr w:type="gramEnd"/>
      <w:r w:rsidR="00CB14DF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的实施方式和其他条件（如有），</w:t>
      </w:r>
      <w:r w:rsidR="007F359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例如</w:t>
      </w:r>
      <w:r w:rsidR="00CB14DF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lastRenderedPageBreak/>
        <w:t>是否需经行政许可等。增</w:t>
      </w:r>
      <w:proofErr w:type="gramStart"/>
      <w:r w:rsidR="00CB14DF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持计划</w:t>
      </w:r>
      <w:proofErr w:type="gramEnd"/>
      <w:r w:rsidR="00CB14DF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设定了实施条件的，还</w:t>
      </w:r>
      <w:r w:rsidR="00C14AD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需要</w:t>
      </w:r>
      <w:r w:rsidR="00CB14DF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对若设定的条件未成就时，增</w:t>
      </w:r>
      <w:proofErr w:type="gramStart"/>
      <w:r w:rsidR="00CB14DF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持计划</w:t>
      </w:r>
      <w:proofErr w:type="gramEnd"/>
      <w:r w:rsidR="00CB14DF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是否予以实施进行说明</w:t>
      </w:r>
      <w:r w:rsidR="00CB14DF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。</w:t>
      </w:r>
    </w:p>
    <w:p w:rsidR="00CB14DF" w:rsidRDefault="00CB14DF" w:rsidP="00CB14DF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（八）</w:t>
      </w: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持主体</w:t>
      </w:r>
      <w:proofErr w:type="gramEnd"/>
      <w:r w:rsidR="00C14AD2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承诺，在增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实施期间及法定期限内不减持所持有的公司股份。</w:t>
      </w:r>
    </w:p>
    <w:p w:rsidR="00521DE3" w:rsidRPr="00B3410A" w:rsidRDefault="00521DE3" w:rsidP="00D730DE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（九）</w:t>
      </w:r>
      <w:r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相关股东增持前持股比例在30%至50%之间的，明确增</w:t>
      </w:r>
      <w:proofErr w:type="gramStart"/>
      <w:r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持计划</w:t>
      </w:r>
      <w:proofErr w:type="gramEnd"/>
      <w:r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实施期限不超过12个月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且</w:t>
      </w:r>
      <w:r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首次增持与后续增</w:t>
      </w:r>
      <w:proofErr w:type="gramStart"/>
      <w:r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持比例</w:t>
      </w:r>
      <w:proofErr w:type="gramEnd"/>
      <w:r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合计不超过2%</w:t>
      </w:r>
      <w:r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。</w:t>
      </w:r>
    </w:p>
    <w:p w:rsidR="00CB14DF" w:rsidRPr="00CB14DF" w:rsidRDefault="00925360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</w:t>
      </w:r>
      <w:r w:rsidR="00521DE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十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）</w:t>
      </w:r>
      <w:r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增</w:t>
      </w:r>
      <w:proofErr w:type="gramStart"/>
      <w:r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持计划</w:t>
      </w:r>
      <w:proofErr w:type="gramEnd"/>
      <w:r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可能面临的不确定性风险及拟采取的应对措施</w:t>
      </w:r>
      <w:r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。</w:t>
      </w:r>
    </w:p>
    <w:p w:rsidR="00D03DDD" w:rsidRDefault="00D03DDD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</w:t>
      </w:r>
      <w:r w:rsidR="00925360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十</w:t>
      </w:r>
      <w:r w:rsidR="00521DE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一</w:t>
      </w: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）本所要求的其他事项。</w:t>
      </w:r>
    </w:p>
    <w:p w:rsidR="00725C60" w:rsidRDefault="00725C60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102AFA" w:rsidRPr="00D730DE" w:rsidRDefault="00725957" w:rsidP="00D730DE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bookmarkStart w:id="5" w:name="OLE_LINK1"/>
      <w:bookmarkStart w:id="6" w:name="OLE_LINK2"/>
      <w:r w:rsidRPr="00D730DE">
        <w:rPr>
          <w:rFonts w:ascii="黑体" w:eastAsia="黑体" w:hAnsi="黑体" w:hint="eastAsia"/>
          <w:b/>
          <w:sz w:val="30"/>
          <w:szCs w:val="30"/>
        </w:rPr>
        <w:t>四、增</w:t>
      </w:r>
      <w:proofErr w:type="gramStart"/>
      <w:r w:rsidRPr="00D730DE">
        <w:rPr>
          <w:rFonts w:ascii="黑体" w:eastAsia="黑体" w:hAnsi="黑体" w:hint="eastAsia"/>
          <w:b/>
          <w:sz w:val="30"/>
          <w:szCs w:val="30"/>
        </w:rPr>
        <w:t>持计划</w:t>
      </w:r>
      <w:proofErr w:type="gramEnd"/>
      <w:r w:rsidRPr="00D730DE">
        <w:rPr>
          <w:rFonts w:ascii="黑体" w:eastAsia="黑体" w:hAnsi="黑体" w:hint="eastAsia"/>
          <w:b/>
          <w:sz w:val="30"/>
          <w:szCs w:val="30"/>
        </w:rPr>
        <w:t>的实施进展（如适用）</w:t>
      </w:r>
    </w:p>
    <w:bookmarkEnd w:id="5"/>
    <w:bookmarkEnd w:id="6"/>
    <w:p w:rsidR="00D03DDD" w:rsidRPr="00D03DDD" w:rsidRDefault="00D03DDD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</w:t>
      </w:r>
      <w:r w:rsidR="00553C71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一</w:t>
      </w: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）原定增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期间过半，实际增持数量（金额）未过半或未到区间下限</w:t>
      </w:r>
      <w:r w:rsidRPr="00D03DDD">
        <w:rPr>
          <w:rFonts w:ascii="仿宋_GB2312" w:eastAsia="仿宋_GB2312" w:hAnsi="宋体"/>
          <w:color w:val="000000"/>
          <w:kern w:val="0"/>
          <w:sz w:val="30"/>
          <w:szCs w:val="30"/>
        </w:rPr>
        <w:t>50%的，公告说明增持未过半的原因。</w:t>
      </w:r>
    </w:p>
    <w:p w:rsidR="00D03DDD" w:rsidRPr="00D03DDD" w:rsidRDefault="00D03DDD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</w:t>
      </w:r>
      <w:r w:rsidR="00553C71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二</w:t>
      </w: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）原定增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期间过半，仍未实施增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的，公告说明未增持的原因，并于此后每月披露一次增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实施进展。</w:t>
      </w:r>
    </w:p>
    <w:p w:rsidR="00FC7678" w:rsidRDefault="00D03DDD" w:rsidP="00A04860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</w:t>
      </w:r>
      <w:r w:rsidR="00553C71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三</w:t>
      </w: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）上市公司在增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实施期间发生派发红利、送红股、转增股本、增发新股或配股等股本除权、除息事项的，增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持主体</w:t>
      </w:r>
      <w:proofErr w:type="gramEnd"/>
      <w:r w:rsidR="00553C71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可以</w:t>
      </w: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对增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进行相应调整并及时披露。</w:t>
      </w:r>
    </w:p>
    <w:p w:rsidR="00725C60" w:rsidRDefault="00725C60" w:rsidP="00A04860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rPr>
          <w:rFonts w:ascii="楷体" w:eastAsia="楷体" w:hAnsi="楷体" w:cs="宋体-WinCharSetFFFF-H"/>
          <w:color w:val="000000"/>
          <w:kern w:val="0"/>
          <w:sz w:val="24"/>
          <w:szCs w:val="24"/>
        </w:rPr>
      </w:pPr>
    </w:p>
    <w:p w:rsidR="00102AFA" w:rsidRPr="00D730DE" w:rsidRDefault="00AB46AC" w:rsidP="00B55FA1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outlineLvl w:val="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五</w:t>
      </w:r>
      <w:r w:rsidR="00725957" w:rsidRPr="00D730DE">
        <w:rPr>
          <w:rFonts w:ascii="黑体" w:eastAsia="黑体" w:hAnsi="黑体" w:hint="eastAsia"/>
          <w:b/>
          <w:sz w:val="30"/>
          <w:szCs w:val="30"/>
        </w:rPr>
        <w:t>、增</w:t>
      </w:r>
      <w:proofErr w:type="gramStart"/>
      <w:r w:rsidR="00725957" w:rsidRPr="00D730DE">
        <w:rPr>
          <w:rFonts w:ascii="黑体" w:eastAsia="黑体" w:hAnsi="黑体" w:hint="eastAsia"/>
          <w:b/>
          <w:sz w:val="30"/>
          <w:szCs w:val="30"/>
        </w:rPr>
        <w:t>持计划</w:t>
      </w:r>
      <w:proofErr w:type="gramEnd"/>
      <w:r w:rsidR="00725957" w:rsidRPr="00D730DE">
        <w:rPr>
          <w:rFonts w:ascii="黑体" w:eastAsia="黑体" w:hAnsi="黑体" w:hint="eastAsia"/>
          <w:b/>
          <w:sz w:val="30"/>
          <w:szCs w:val="30"/>
        </w:rPr>
        <w:t>的实施结果（如适用）</w:t>
      </w:r>
    </w:p>
    <w:p w:rsidR="00D03DDD" w:rsidRDefault="00D03DDD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（一）增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实施完毕或增持期限届满后的两个交易日内，增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持主体</w:t>
      </w:r>
      <w:proofErr w:type="gramEnd"/>
      <w:r w:rsidR="00C14AD2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发布增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实施结果公告，披露增持数量、金额、比例及本次增持后的实际持股比例。</w:t>
      </w:r>
      <w:r w:rsidR="004273A0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增持期限届满仍未实施增</w:t>
      </w:r>
      <w:proofErr w:type="gramStart"/>
      <w:r w:rsidR="004273A0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持</w:t>
      </w:r>
      <w:r w:rsidR="004273A0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lastRenderedPageBreak/>
        <w:t>或</w:t>
      </w:r>
      <w:r w:rsidR="004273A0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者</w:t>
      </w:r>
      <w:proofErr w:type="gramEnd"/>
      <w:r w:rsidR="004273A0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未达到计划最低</w:t>
      </w:r>
      <w:proofErr w:type="gramStart"/>
      <w:r w:rsidR="004273A0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增持额的</w:t>
      </w:r>
      <w:proofErr w:type="gramEnd"/>
      <w:r w:rsidR="004273A0" w:rsidRPr="009E4D82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原因（如有）。</w:t>
      </w:r>
    </w:p>
    <w:p w:rsidR="00D03DDD" w:rsidRPr="00D03DDD" w:rsidRDefault="00D03DDD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相关股东增持前持股比例在</w:t>
      </w:r>
      <w:r w:rsidRPr="00D03DDD">
        <w:rPr>
          <w:rFonts w:ascii="仿宋_GB2312" w:eastAsia="仿宋_GB2312" w:hAnsi="宋体"/>
          <w:color w:val="000000"/>
          <w:kern w:val="0"/>
          <w:sz w:val="30"/>
          <w:szCs w:val="30"/>
        </w:rPr>
        <w:t>30%以上的，</w:t>
      </w:r>
      <w:r w:rsidR="00C14AD2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还需要</w:t>
      </w:r>
      <w:r w:rsidRPr="00D03DDD">
        <w:rPr>
          <w:rFonts w:ascii="仿宋_GB2312" w:eastAsia="仿宋_GB2312" w:hAnsi="宋体"/>
          <w:color w:val="000000"/>
          <w:kern w:val="0"/>
          <w:sz w:val="30"/>
          <w:szCs w:val="30"/>
        </w:rPr>
        <w:t>聘请律师就本次增</w:t>
      </w:r>
      <w:proofErr w:type="gramStart"/>
      <w:r w:rsidRPr="00D03DDD">
        <w:rPr>
          <w:rFonts w:ascii="仿宋_GB2312" w:eastAsia="仿宋_GB2312" w:hAnsi="宋体"/>
          <w:color w:val="000000"/>
          <w:kern w:val="0"/>
          <w:sz w:val="30"/>
          <w:szCs w:val="30"/>
        </w:rPr>
        <w:t>持行为</w:t>
      </w:r>
      <w:proofErr w:type="gramEnd"/>
      <w:r w:rsidRPr="00D03DDD">
        <w:rPr>
          <w:rFonts w:ascii="仿宋_GB2312" w:eastAsia="仿宋_GB2312" w:hAnsi="宋体"/>
          <w:color w:val="000000"/>
          <w:kern w:val="0"/>
          <w:sz w:val="30"/>
          <w:szCs w:val="30"/>
        </w:rPr>
        <w:t>是否符合《证券法》《上市公司收购管理办法》等有关规定发表专项核查意见</w:t>
      </w:r>
      <w:r w:rsidR="005E7FC2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并披露</w:t>
      </w:r>
      <w:r w:rsidRPr="00D03DDD">
        <w:rPr>
          <w:rFonts w:ascii="仿宋_GB2312" w:eastAsia="仿宋_GB2312" w:hAnsi="宋体"/>
          <w:color w:val="000000"/>
          <w:kern w:val="0"/>
          <w:sz w:val="30"/>
          <w:szCs w:val="30"/>
        </w:rPr>
        <w:t>。</w:t>
      </w:r>
    </w:p>
    <w:p w:rsidR="00D03DDD" w:rsidRDefault="00283FCF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（二）</w:t>
      </w:r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相关股东拟提前终止增</w:t>
      </w:r>
      <w:proofErr w:type="gramStart"/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的，或者增持期限届满仍未达到计划最低</w:t>
      </w:r>
      <w:proofErr w:type="gramStart"/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增持额的</w:t>
      </w:r>
      <w:proofErr w:type="gramEnd"/>
      <w:r w:rsidR="00D03DDD"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，及时披露公告并说明具体原因</w:t>
      </w:r>
      <w:r w:rsidR="0035703E"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。</w:t>
      </w:r>
    </w:p>
    <w:p w:rsidR="00725C60" w:rsidRPr="00D03DDD" w:rsidRDefault="00725C60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102AFA" w:rsidRPr="00D730DE" w:rsidRDefault="00AB46AC" w:rsidP="00B55FA1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outlineLvl w:val="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六</w:t>
      </w:r>
      <w:r w:rsidR="00725957" w:rsidRPr="00D730DE">
        <w:rPr>
          <w:rFonts w:ascii="黑体" w:eastAsia="黑体" w:hAnsi="黑体" w:hint="eastAsia"/>
          <w:b/>
          <w:sz w:val="30"/>
          <w:szCs w:val="30"/>
        </w:rPr>
        <w:t>、增</w:t>
      </w:r>
      <w:proofErr w:type="gramStart"/>
      <w:r w:rsidR="00725957" w:rsidRPr="00D730DE">
        <w:rPr>
          <w:rFonts w:ascii="黑体" w:eastAsia="黑体" w:hAnsi="黑体" w:hint="eastAsia"/>
          <w:b/>
          <w:sz w:val="30"/>
          <w:szCs w:val="30"/>
        </w:rPr>
        <w:t>持计划</w:t>
      </w:r>
      <w:proofErr w:type="gramEnd"/>
      <w:r w:rsidR="00725957" w:rsidRPr="00D730DE">
        <w:rPr>
          <w:rFonts w:ascii="黑体" w:eastAsia="黑体" w:hAnsi="黑体" w:hint="eastAsia"/>
          <w:b/>
          <w:sz w:val="30"/>
          <w:szCs w:val="30"/>
        </w:rPr>
        <w:t>实施的不确定性风险</w:t>
      </w:r>
    </w:p>
    <w:p w:rsidR="00D03DDD" w:rsidRPr="00D03DDD" w:rsidRDefault="0035703E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增</w:t>
      </w:r>
      <w:proofErr w:type="gramStart"/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="00C14AD2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需要</w:t>
      </w:r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详细披露可能面临的不确定性风险及拟采取的应对措施。增</w:t>
      </w:r>
      <w:proofErr w:type="gramStart"/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实施过程中出现下列风险情形之一的，及时公告披露：</w:t>
      </w:r>
    </w:p>
    <w:p w:rsidR="00D03DDD" w:rsidRPr="00D03DDD" w:rsidRDefault="00D03DDD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（一）公司股票价格持续超出增</w:t>
      </w:r>
      <w:proofErr w:type="gramStart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D03DD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披露的价格区间（如有）</w:t>
      </w:r>
      <w:r w:rsidR="00283FCF"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，导致增</w:t>
      </w:r>
      <w:proofErr w:type="gramStart"/>
      <w:r w:rsidR="00283FCF"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="00283FCF"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无法实施的风险；</w:t>
      </w:r>
    </w:p>
    <w:p w:rsidR="00D03DDD" w:rsidRPr="00D03DDD" w:rsidRDefault="00283FCF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（二）增持股份所需资金未能到位，导致增</w:t>
      </w:r>
      <w:proofErr w:type="gramStart"/>
      <w:r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持计划</w:t>
      </w:r>
      <w:proofErr w:type="gramEnd"/>
      <w:r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无法实施的风险；</w:t>
      </w:r>
    </w:p>
    <w:p w:rsidR="00D03DDD" w:rsidRPr="00D03DDD" w:rsidRDefault="00283FCF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（三）采用</w:t>
      </w:r>
      <w:r w:rsidR="00B3410A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非自有资金</w:t>
      </w:r>
      <w:r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增持股</w:t>
      </w:r>
      <w:proofErr w:type="gramStart"/>
      <w:r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份过程</w:t>
      </w:r>
      <w:proofErr w:type="gramEnd"/>
      <w:r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中，已增持股</w:t>
      </w:r>
      <w:proofErr w:type="gramStart"/>
      <w:r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份可能</w:t>
      </w:r>
      <w:proofErr w:type="gramEnd"/>
      <w:r w:rsidRPr="00283FCF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被强行平仓的风险；</w:t>
      </w:r>
    </w:p>
    <w:p w:rsidR="00D03DDD" w:rsidRPr="00D03DDD" w:rsidRDefault="00E00DC6" w:rsidP="005B3A96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E00DC6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（四）其他风险。</w:t>
      </w:r>
    </w:p>
    <w:p w:rsidR="00D03DDD" w:rsidRPr="00D03DDD" w:rsidRDefault="00D03DDD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D03DDD" w:rsidRDefault="0035703E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35703E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特此公告。</w:t>
      </w:r>
    </w:p>
    <w:p w:rsidR="0091421A" w:rsidRPr="00D03DDD" w:rsidRDefault="0091421A" w:rsidP="00D03DD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D03DDD" w:rsidRDefault="00D0367C" w:rsidP="00D03DDD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××××股份有限公司董事会</w:t>
      </w:r>
    </w:p>
    <w:p w:rsidR="00D03DDD" w:rsidRDefault="00D0367C" w:rsidP="00D03DDD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  月  日</w:t>
      </w:r>
    </w:p>
    <w:p w:rsidR="0091421A" w:rsidRDefault="0091421A" w:rsidP="00D03DDD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91421A" w:rsidRPr="008E2FF0" w:rsidRDefault="005B5D85" w:rsidP="0091421A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bookmarkStart w:id="7" w:name="_Hlk62403057"/>
      <w:r>
        <w:rPr>
          <w:rFonts w:ascii="仿宋_GB2312" w:eastAsia="仿宋_GB2312" w:hAnsi="宋体" w:hint="eastAsia"/>
          <w:b/>
          <w:color w:val="000000"/>
          <w:sz w:val="30"/>
          <w:szCs w:val="30"/>
        </w:rPr>
        <w:lastRenderedPageBreak/>
        <w:t>上网公告</w:t>
      </w:r>
      <w:r w:rsidR="0091421A" w:rsidRPr="008E2FF0">
        <w:rPr>
          <w:rFonts w:ascii="仿宋_GB2312" w:eastAsia="仿宋_GB2312" w:hAnsi="宋体" w:hint="eastAsia"/>
          <w:b/>
          <w:color w:val="000000"/>
          <w:sz w:val="30"/>
          <w:szCs w:val="30"/>
        </w:rPr>
        <w:t>文件</w:t>
      </w:r>
    </w:p>
    <w:bookmarkEnd w:id="7"/>
    <w:p w:rsidR="00782D18" w:rsidRDefault="00AE25C7" w:rsidP="000648F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E25C7">
        <w:rPr>
          <w:rFonts w:ascii="仿宋_GB2312" w:eastAsia="仿宋_GB2312" w:hint="eastAsia"/>
          <w:color w:val="000000"/>
          <w:sz w:val="30"/>
          <w:szCs w:val="30"/>
        </w:rPr>
        <w:t>律师专项核查意见（</w:t>
      </w:r>
      <w:r w:rsidR="007D4830">
        <w:rPr>
          <w:rFonts w:ascii="仿宋_GB2312" w:eastAsia="仿宋_GB2312" w:hint="eastAsia"/>
          <w:color w:val="000000"/>
          <w:sz w:val="30"/>
          <w:szCs w:val="30"/>
        </w:rPr>
        <w:t>如适用</w:t>
      </w:r>
      <w:r w:rsidRPr="00AE25C7">
        <w:rPr>
          <w:rFonts w:ascii="仿宋_GB2312" w:eastAsia="仿宋_GB2312" w:hint="eastAsia"/>
          <w:color w:val="000000"/>
          <w:sz w:val="30"/>
          <w:szCs w:val="30"/>
        </w:rPr>
        <w:t>）</w:t>
      </w:r>
    </w:p>
    <w:p w:rsidR="0091421A" w:rsidRDefault="0091421A" w:rsidP="00EA267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766176" w:rsidRPr="004E069A" w:rsidRDefault="00766176"/>
    <w:sectPr w:rsidR="00766176" w:rsidRPr="004E069A" w:rsidSect="00835439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AD69" w16cex:dateUtc="2022-03-01T01:27:00Z"/>
  <w16cex:commentExtensible w16cex:durableId="260AAD68" w16cex:dateUtc="2022-03-01T01:27:00Z"/>
  <w16cex:commentExtensible w16cex:durableId="2609AC16" w16cex:dateUtc="2022-03-01T01:27:00Z"/>
  <w16cex:commentExtensible w16cex:durableId="2609AC17" w16cex:dateUtc="2022-03-01T01:27:00Z"/>
  <w16cex:commentExtensible w16cex:durableId="2609BBEC" w16cex:dateUtc="2022-04-19T14:53:00Z"/>
  <w16cex:commentExtensible w16cex:durableId="2609BC03" w16cex:dateUtc="2022-04-19T14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F0" w:rsidRDefault="00581BF0" w:rsidP="00835439">
      <w:r>
        <w:separator/>
      </w:r>
    </w:p>
  </w:endnote>
  <w:endnote w:type="continuationSeparator" w:id="0">
    <w:p w:rsidR="00581BF0" w:rsidRDefault="00581BF0" w:rsidP="0083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E3" w:rsidRPr="00E37DD4" w:rsidRDefault="00B528E5">
    <w:pPr>
      <w:pStyle w:val="a4"/>
      <w:jc w:val="center"/>
      <w:rPr>
        <w:rFonts w:ascii="Times New Roman" w:hAnsi="Times New Roman" w:cs="Times New Roman"/>
      </w:rPr>
    </w:pPr>
    <w:r w:rsidRPr="00E37DD4">
      <w:rPr>
        <w:rFonts w:ascii="Times New Roman" w:hAnsi="Times New Roman" w:cs="Times New Roman"/>
      </w:rPr>
      <w:fldChar w:fldCharType="begin"/>
    </w:r>
    <w:r w:rsidR="005F3451" w:rsidRPr="00E37DD4">
      <w:rPr>
        <w:rFonts w:ascii="Times New Roman" w:hAnsi="Times New Roman" w:cs="Times New Roman"/>
      </w:rPr>
      <w:instrText xml:space="preserve"> PAGE   \* MERGEFORMAT </w:instrText>
    </w:r>
    <w:r w:rsidRPr="00E37DD4">
      <w:rPr>
        <w:rFonts w:ascii="Times New Roman" w:hAnsi="Times New Roman" w:cs="Times New Roman"/>
      </w:rPr>
      <w:fldChar w:fldCharType="separate"/>
    </w:r>
    <w:r w:rsidR="00920D41" w:rsidRPr="00920D41">
      <w:rPr>
        <w:rFonts w:ascii="Times New Roman" w:hAnsi="Times New Roman" w:cs="Times New Roman"/>
        <w:noProof/>
        <w:lang w:val="zh-CN"/>
      </w:rPr>
      <w:t>5</w:t>
    </w:r>
    <w:r w:rsidRPr="00E37DD4">
      <w:rPr>
        <w:rFonts w:ascii="Times New Roman" w:hAnsi="Times New Roman" w:cs="Times New Roman"/>
      </w:rPr>
      <w:fldChar w:fldCharType="end"/>
    </w:r>
  </w:p>
  <w:p w:rsidR="00FF5DE3" w:rsidRDefault="00581B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F0" w:rsidRDefault="00581BF0" w:rsidP="00835439">
      <w:r>
        <w:separator/>
      </w:r>
    </w:p>
  </w:footnote>
  <w:footnote w:type="continuationSeparator" w:id="0">
    <w:p w:rsidR="00581BF0" w:rsidRDefault="00581BF0" w:rsidP="0083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628B"/>
    <w:multiLevelType w:val="hybridMultilevel"/>
    <w:tmpl w:val="7924DB00"/>
    <w:lvl w:ilvl="0" w:tplc="95961E8E">
      <w:start w:val="1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381E11F9"/>
    <w:multiLevelType w:val="hybridMultilevel"/>
    <w:tmpl w:val="DF00B4B6"/>
    <w:lvl w:ilvl="0" w:tplc="D444DFDE">
      <w:start w:val="1"/>
      <w:numFmt w:val="decimal"/>
      <w:lvlText w:val="%1."/>
      <w:lvlJc w:val="left"/>
      <w:pPr>
        <w:ind w:left="960" w:hanging="360"/>
      </w:pPr>
      <w:rPr>
        <w:rFonts w:hAnsi="Calibr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2E561F7"/>
    <w:multiLevelType w:val="hybridMultilevel"/>
    <w:tmpl w:val="081C88AE"/>
    <w:lvl w:ilvl="0" w:tplc="04090001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3" w15:restartNumberingAfterBreak="0">
    <w:nsid w:val="56C19D3A"/>
    <w:multiLevelType w:val="multilevel"/>
    <w:tmpl w:val="56C19D3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93B7B"/>
    <w:multiLevelType w:val="multilevel"/>
    <w:tmpl w:val="5D293B7B"/>
    <w:lvl w:ilvl="0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7C"/>
    <w:rsid w:val="0001193F"/>
    <w:rsid w:val="000175D7"/>
    <w:rsid w:val="00047783"/>
    <w:rsid w:val="0005659E"/>
    <w:rsid w:val="000648FC"/>
    <w:rsid w:val="00073B0D"/>
    <w:rsid w:val="000B79CA"/>
    <w:rsid w:val="000C2BDC"/>
    <w:rsid w:val="000C6704"/>
    <w:rsid w:val="000D21FE"/>
    <w:rsid w:val="000D3000"/>
    <w:rsid w:val="00102AFA"/>
    <w:rsid w:val="001039A6"/>
    <w:rsid w:val="00103E6F"/>
    <w:rsid w:val="001248DF"/>
    <w:rsid w:val="0012554E"/>
    <w:rsid w:val="0018152D"/>
    <w:rsid w:val="00193B01"/>
    <w:rsid w:val="00196DF7"/>
    <w:rsid w:val="00197F1D"/>
    <w:rsid w:val="001B0544"/>
    <w:rsid w:val="001C335D"/>
    <w:rsid w:val="001C437F"/>
    <w:rsid w:val="001C711E"/>
    <w:rsid w:val="001D36DF"/>
    <w:rsid w:val="00205321"/>
    <w:rsid w:val="00216348"/>
    <w:rsid w:val="002311F5"/>
    <w:rsid w:val="0023243F"/>
    <w:rsid w:val="002456D1"/>
    <w:rsid w:val="00257A8B"/>
    <w:rsid w:val="00283FCF"/>
    <w:rsid w:val="002B4D48"/>
    <w:rsid w:val="002D0359"/>
    <w:rsid w:val="002D3A24"/>
    <w:rsid w:val="002E5C68"/>
    <w:rsid w:val="002F1FCD"/>
    <w:rsid w:val="002F3B7F"/>
    <w:rsid w:val="0035703E"/>
    <w:rsid w:val="0035799E"/>
    <w:rsid w:val="003866ED"/>
    <w:rsid w:val="003B737D"/>
    <w:rsid w:val="003E6AB4"/>
    <w:rsid w:val="003F166A"/>
    <w:rsid w:val="0041037B"/>
    <w:rsid w:val="004210ED"/>
    <w:rsid w:val="00422CE0"/>
    <w:rsid w:val="00423D2D"/>
    <w:rsid w:val="004273A0"/>
    <w:rsid w:val="004378FF"/>
    <w:rsid w:val="00451198"/>
    <w:rsid w:val="00460729"/>
    <w:rsid w:val="004656EA"/>
    <w:rsid w:val="004C11B2"/>
    <w:rsid w:val="004C7AB3"/>
    <w:rsid w:val="004D265F"/>
    <w:rsid w:val="004E069A"/>
    <w:rsid w:val="004E5163"/>
    <w:rsid w:val="00500498"/>
    <w:rsid w:val="00500B52"/>
    <w:rsid w:val="00515B9C"/>
    <w:rsid w:val="0052191B"/>
    <w:rsid w:val="00521DE3"/>
    <w:rsid w:val="0052578B"/>
    <w:rsid w:val="005264C2"/>
    <w:rsid w:val="00527413"/>
    <w:rsid w:val="005365AD"/>
    <w:rsid w:val="00553C71"/>
    <w:rsid w:val="00564897"/>
    <w:rsid w:val="00571A8A"/>
    <w:rsid w:val="00571B18"/>
    <w:rsid w:val="00571DC6"/>
    <w:rsid w:val="00581BF0"/>
    <w:rsid w:val="00583253"/>
    <w:rsid w:val="00593186"/>
    <w:rsid w:val="00594AE9"/>
    <w:rsid w:val="00595AE5"/>
    <w:rsid w:val="005A413E"/>
    <w:rsid w:val="005A5BAD"/>
    <w:rsid w:val="005B1140"/>
    <w:rsid w:val="005B1F64"/>
    <w:rsid w:val="005B3A96"/>
    <w:rsid w:val="005B5D85"/>
    <w:rsid w:val="005D5F1C"/>
    <w:rsid w:val="005E7FC2"/>
    <w:rsid w:val="005F3451"/>
    <w:rsid w:val="005F3729"/>
    <w:rsid w:val="00623F97"/>
    <w:rsid w:val="006468AE"/>
    <w:rsid w:val="006474AB"/>
    <w:rsid w:val="0064785A"/>
    <w:rsid w:val="00661338"/>
    <w:rsid w:val="00663CEE"/>
    <w:rsid w:val="00665746"/>
    <w:rsid w:val="0067047B"/>
    <w:rsid w:val="00671CE3"/>
    <w:rsid w:val="006A0A21"/>
    <w:rsid w:val="006A0B56"/>
    <w:rsid w:val="006D7AF5"/>
    <w:rsid w:val="006E7226"/>
    <w:rsid w:val="006E72C7"/>
    <w:rsid w:val="00725957"/>
    <w:rsid w:val="00725C60"/>
    <w:rsid w:val="0073023D"/>
    <w:rsid w:val="007302EF"/>
    <w:rsid w:val="0074695C"/>
    <w:rsid w:val="00750B50"/>
    <w:rsid w:val="00762617"/>
    <w:rsid w:val="00764495"/>
    <w:rsid w:val="00766176"/>
    <w:rsid w:val="00782D18"/>
    <w:rsid w:val="007C2572"/>
    <w:rsid w:val="007D4830"/>
    <w:rsid w:val="007D5790"/>
    <w:rsid w:val="007E3EA4"/>
    <w:rsid w:val="007F359A"/>
    <w:rsid w:val="0081016A"/>
    <w:rsid w:val="00810FDE"/>
    <w:rsid w:val="00832958"/>
    <w:rsid w:val="00835439"/>
    <w:rsid w:val="008357CE"/>
    <w:rsid w:val="00842323"/>
    <w:rsid w:val="0086243A"/>
    <w:rsid w:val="00876EC0"/>
    <w:rsid w:val="0087749E"/>
    <w:rsid w:val="00891384"/>
    <w:rsid w:val="008B684D"/>
    <w:rsid w:val="008B7DC5"/>
    <w:rsid w:val="008D4932"/>
    <w:rsid w:val="008F6DE0"/>
    <w:rsid w:val="00904E61"/>
    <w:rsid w:val="0091421A"/>
    <w:rsid w:val="00920D41"/>
    <w:rsid w:val="00925360"/>
    <w:rsid w:val="0092722B"/>
    <w:rsid w:val="00953FE5"/>
    <w:rsid w:val="00954785"/>
    <w:rsid w:val="00960070"/>
    <w:rsid w:val="00967F70"/>
    <w:rsid w:val="009A2EF9"/>
    <w:rsid w:val="009A4CAE"/>
    <w:rsid w:val="009B54E4"/>
    <w:rsid w:val="009B723D"/>
    <w:rsid w:val="009C78B6"/>
    <w:rsid w:val="009C7CB0"/>
    <w:rsid w:val="009E06BA"/>
    <w:rsid w:val="009F577D"/>
    <w:rsid w:val="00A04860"/>
    <w:rsid w:val="00A44D98"/>
    <w:rsid w:val="00A45D92"/>
    <w:rsid w:val="00A54115"/>
    <w:rsid w:val="00A542FC"/>
    <w:rsid w:val="00A76699"/>
    <w:rsid w:val="00A858E3"/>
    <w:rsid w:val="00A9718F"/>
    <w:rsid w:val="00AB46AC"/>
    <w:rsid w:val="00AD77BC"/>
    <w:rsid w:val="00AE25C7"/>
    <w:rsid w:val="00B226A7"/>
    <w:rsid w:val="00B2593C"/>
    <w:rsid w:val="00B32B22"/>
    <w:rsid w:val="00B3410A"/>
    <w:rsid w:val="00B508C2"/>
    <w:rsid w:val="00B50D8B"/>
    <w:rsid w:val="00B528E5"/>
    <w:rsid w:val="00B55FA1"/>
    <w:rsid w:val="00B568CC"/>
    <w:rsid w:val="00B64A65"/>
    <w:rsid w:val="00B66958"/>
    <w:rsid w:val="00B878EE"/>
    <w:rsid w:val="00BA6D46"/>
    <w:rsid w:val="00BB4475"/>
    <w:rsid w:val="00BC524B"/>
    <w:rsid w:val="00BE67E0"/>
    <w:rsid w:val="00BF15E4"/>
    <w:rsid w:val="00BF6698"/>
    <w:rsid w:val="00C14AD2"/>
    <w:rsid w:val="00C40413"/>
    <w:rsid w:val="00C60AC6"/>
    <w:rsid w:val="00C75D82"/>
    <w:rsid w:val="00C77A19"/>
    <w:rsid w:val="00CA3320"/>
    <w:rsid w:val="00CA762B"/>
    <w:rsid w:val="00CB14DF"/>
    <w:rsid w:val="00CC3CE8"/>
    <w:rsid w:val="00D0367C"/>
    <w:rsid w:val="00D03DDD"/>
    <w:rsid w:val="00D06088"/>
    <w:rsid w:val="00D163BD"/>
    <w:rsid w:val="00D22B86"/>
    <w:rsid w:val="00D366FB"/>
    <w:rsid w:val="00D46EFD"/>
    <w:rsid w:val="00D5296E"/>
    <w:rsid w:val="00D60FA7"/>
    <w:rsid w:val="00D63999"/>
    <w:rsid w:val="00D6552F"/>
    <w:rsid w:val="00D730DE"/>
    <w:rsid w:val="00D943CA"/>
    <w:rsid w:val="00DC213A"/>
    <w:rsid w:val="00DD5091"/>
    <w:rsid w:val="00DE71D9"/>
    <w:rsid w:val="00DF47CB"/>
    <w:rsid w:val="00DF71D7"/>
    <w:rsid w:val="00E00DC6"/>
    <w:rsid w:val="00E23A28"/>
    <w:rsid w:val="00E335DC"/>
    <w:rsid w:val="00E37DD4"/>
    <w:rsid w:val="00E713D9"/>
    <w:rsid w:val="00E81948"/>
    <w:rsid w:val="00E86B7F"/>
    <w:rsid w:val="00E94B97"/>
    <w:rsid w:val="00EA267C"/>
    <w:rsid w:val="00EC6FC1"/>
    <w:rsid w:val="00EF4C7B"/>
    <w:rsid w:val="00F1594E"/>
    <w:rsid w:val="00F278E2"/>
    <w:rsid w:val="00F4531A"/>
    <w:rsid w:val="00F473B8"/>
    <w:rsid w:val="00F54469"/>
    <w:rsid w:val="00F71719"/>
    <w:rsid w:val="00F767E4"/>
    <w:rsid w:val="00FA1646"/>
    <w:rsid w:val="00FB2026"/>
    <w:rsid w:val="00FB7BFB"/>
    <w:rsid w:val="00FC7678"/>
    <w:rsid w:val="00FE4B75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7529B"/>
  <w15:docId w15:val="{FB996FC3-24F8-495F-95A4-FEF0A8AA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6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rsid w:val="00D0367C"/>
    <w:rPr>
      <w:sz w:val="18"/>
      <w:szCs w:val="18"/>
    </w:rPr>
  </w:style>
  <w:style w:type="character" w:customStyle="1" w:styleId="Char">
    <w:name w:val="列出段落 Char"/>
    <w:link w:val="1"/>
    <w:locked/>
    <w:rsid w:val="00D0367C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D036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0367C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link w:val="Char"/>
    <w:qFormat/>
    <w:rsid w:val="00D0367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6B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E06BA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D7AF5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F577D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2F3B7F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2F3B7F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2F3B7F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3B7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2F3B7F"/>
    <w:rPr>
      <w:rFonts w:ascii="Calibri" w:eastAsia="宋体" w:hAnsi="Calibri" w:cs="Times New Roman"/>
      <w:b/>
      <w:bCs/>
    </w:rPr>
  </w:style>
  <w:style w:type="paragraph" w:styleId="af">
    <w:name w:val="Revision"/>
    <w:hidden/>
    <w:uiPriority w:val="99"/>
    <w:semiHidden/>
    <w:rsid w:val="008D4932"/>
    <w:rPr>
      <w:rFonts w:ascii="Calibri" w:eastAsia="宋体" w:hAnsi="Calibri" w:cs="Times New Roman"/>
    </w:rPr>
  </w:style>
  <w:style w:type="paragraph" w:styleId="af0">
    <w:name w:val="Document Map"/>
    <w:basedOn w:val="a"/>
    <w:link w:val="af1"/>
    <w:uiPriority w:val="99"/>
    <w:semiHidden/>
    <w:unhideWhenUsed/>
    <w:rsid w:val="00B55FA1"/>
    <w:rPr>
      <w:rFonts w:ascii="宋体"/>
      <w:sz w:val="18"/>
      <w:szCs w:val="18"/>
    </w:rPr>
  </w:style>
  <w:style w:type="character" w:customStyle="1" w:styleId="af1">
    <w:name w:val="文档结构图 字符"/>
    <w:basedOn w:val="a0"/>
    <w:link w:val="af0"/>
    <w:uiPriority w:val="99"/>
    <w:semiHidden/>
    <w:rsid w:val="00B55FA1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447B-A967-463B-B3D8-19A6BD2D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陈邹</cp:lastModifiedBy>
  <dcterms:created xsi:type="dcterms:W3CDTF">2021-01-21T11:49:00Z</dcterms:created>
  <dcterms:modified xsi:type="dcterms:W3CDTF">2022-05-05T12:20:00Z</dcterms:modified>
</cp:coreProperties>
</file>