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r>
        <w:t>标题：关于浙文影业集团股份有限公司有关股价波动事项的监管工作函</w:t>
      </w:r>
    </w:p>
    <w:p>
      <w:r>
        <w:t>证券代码：601599</w:t>
      </w:r>
    </w:p>
    <w:p>
      <w:r>
        <w:t>证券简称：浙文影业</w:t>
      </w:r>
    </w:p>
    <w:p>
      <w:r>
        <w:t>监管类型：监管工作函</w:t>
      </w:r>
    </w:p>
    <w:p>
      <w:r>
        <w:t>涉及对象：上市公司</w:t>
      </w:r>
    </w:p>
    <w:p>
      <w:r>
        <w:t>处分日期：2026-11-06</w:t>
      </w:r>
    </w:p>
    <w:p>
      <w:r>
        <w:t>处理事由：关于浙文影业集团股份有限公司有关股价波动事项的监管工作函</w:t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2026-11-06T11:00:00Z</dcterms:created>
  <dc:creator>Apache POI</dc:creator>
</cp:coreProperties>
</file>