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C" w:rsidRDefault="003B7C5C" w:rsidP="003B7C5C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方正大标宋简体" w:eastAsia="方正大标宋简体" w:hAnsi="方正大标宋简体" w:cs="宋体" w:hint="eastAsia"/>
          <w:color w:val="FF0000"/>
          <w:spacing w:val="100"/>
          <w:sz w:val="80"/>
          <w:szCs w:val="80"/>
        </w:rPr>
        <w:t>上海证券交易所</w:t>
      </w:r>
    </w:p>
    <w:p w:rsidR="003B7C5C" w:rsidRDefault="003B7C5C" w:rsidP="003B7C5C">
      <w:pPr>
        <w:pStyle w:val="a3"/>
        <w:spacing w:line="240" w:lineRule="auto"/>
        <w:rPr>
          <w:rFonts w:ascii="仿宋_GB2312" w:eastAsia="仿宋_GB2312"/>
          <w:sz w:val="30"/>
          <w:szCs w:val="30"/>
        </w:rPr>
      </w:pPr>
      <w:bookmarkStart w:id="0" w:name="函号"/>
      <w:bookmarkEnd w:id="0"/>
      <w:r>
        <w:rPr>
          <w:rFonts w:ascii="仿宋_GB2312" w:eastAsia="仿宋_GB2312" w:hint="eastAsia"/>
          <w:sz w:val="30"/>
          <w:szCs w:val="30"/>
        </w:rPr>
        <w:t>上</w:t>
      </w:r>
      <w:proofErr w:type="gramStart"/>
      <w:r>
        <w:rPr>
          <w:rFonts w:ascii="仿宋_GB2312" w:eastAsia="仿宋_GB2312" w:hint="eastAsia"/>
          <w:sz w:val="30"/>
          <w:szCs w:val="30"/>
        </w:rPr>
        <w:t>证公监</w:t>
      </w:r>
      <w:proofErr w:type="gramEnd"/>
      <w:r>
        <w:rPr>
          <w:rFonts w:ascii="仿宋_GB2312" w:eastAsia="仿宋_GB2312" w:hint="eastAsia"/>
          <w:sz w:val="30"/>
          <w:szCs w:val="30"/>
        </w:rPr>
        <w:t>函〔2017〕00</w:t>
      </w:r>
      <w:r w:rsidR="00192240">
        <w:rPr>
          <w:rFonts w:ascii="仿宋_GB2312" w:eastAsia="仿宋_GB2312" w:hint="eastAsia"/>
          <w:sz w:val="30"/>
          <w:szCs w:val="30"/>
        </w:rPr>
        <w:t>31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3B7C5C" w:rsidRDefault="003B7C5C" w:rsidP="003B7C5C">
      <w:pPr>
        <w:pStyle w:val="a3"/>
        <w:spacing w:line="240" w:lineRule="auto"/>
        <w:rPr>
          <w:rFonts w:ascii="黑体" w:eastAsia="黑体" w:hAnsi="黑体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A9ECA" wp14:editId="47BA654D">
                <wp:simplePos x="0" y="0"/>
                <wp:positionH relativeFrom="column">
                  <wp:posOffset>-125730</wp:posOffset>
                </wp:positionH>
                <wp:positionV relativeFrom="paragraph">
                  <wp:posOffset>120650</wp:posOffset>
                </wp:positionV>
                <wp:extent cx="5829300" cy="0"/>
                <wp:effectExtent l="26670" t="25400" r="20955" b="222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9.5pt" to="44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uWQAIAAEoEAAAOAAAAZHJzL2Uyb0RvYy54bWysVMuO0zAU3SPxD5b3nSRtp6RR0xFqWjYD&#10;VJrhA1zbaSwc29iephXiF/iBkdjBiiV7/obhM7h2H1DYIEQXrh/3Hp97z3EmV9tWog23TmhV4uwi&#10;xYgrqplQ6xK/ul30coycJ4oRqRUv8Y47fDV9/GjSmYL3daMl4xYBiHJFZ0rceG+KJHG04S1xF9pw&#10;BYe1ti3xsLTrhFnSAXork36ajpJOW2asptw52K32h3ga8euaU/+yrh33SJYYuPk42jiuwphMJ6RY&#10;W2IaQQ80yD+waIlQcOkJqiKeoDsr/oBqBbXa6dpfUN0muq4F5bEGqCZLf6vmpiGGx1qgOc6c2uT+&#10;Hyx9sVlaJBhoh5EiLUj0cP/l2/uP379+gPHh8yeUhSZ1xhUQO1NLG8qkW3VjrjV97ZDSs4aoNY9k&#10;b3cGEGJGcpYSFs7AVavuuWYQQ+68jh3b1rYNkNALtI3C7E7C8K1HFDYv8/54kIJ+9HiWkOKYaKzz&#10;z7huUZiUWAoVekYKsrl2HqhD6DEkbCu9EFJG3aVCXYkHeTYK0ATs597EVKelYCEsJDi7Xs2kRRsC&#10;HlosUviFjgDsWVgrPDhZirbEeYg5eKvhhM0Vi/d5IuR+DslSBXCoEFgeZnvHvB2n43k+z4e9YX80&#10;7w3Tquo9XcyGvdEie3JZDarZrMreBZ7ZsGgEY1wFqkf3ZsO/c8fhHe19d/LvqTvJOXqsF8ge/yPp&#10;KHFQde+PlWa7pQ2tCWqDYWPw4XGFF/HrOkb9/ARMfwAAAP//AwBQSwMEFAAGAAgAAAAhAPwv8J7c&#10;AAAACQEAAA8AAABkcnMvZG93bnJldi54bWxMj09Lw0AQxe+C32EZwVu7aaElidkUEbwICqnief+Z&#10;pO7Oht1tG/30jniwx3nv8eb3mt3sHTvZmMaAAlbLAphFHcyIvYC318dFCSxliUa6gFbAl02wa6+v&#10;GlmbcMbOnva5Z1SCqZYChpynmvOkB+tlWobJInkfIXqZ6Yw9N1Geqdw7vi6KLfdyRPowyMk+DFZ/&#10;7o9ewPsT73TcqpfNdIjP3+6g9KZTQtzezPd3wLKd838YfvEJHVpiUuGIJjEnYLGqCD2TUdEmCpRV&#10;uQam/gTeNvxyQfsDAAD//wMAUEsBAi0AFAAGAAgAAAAhALaDOJL+AAAA4QEAABMAAAAAAAAAAAAA&#10;AAAAAAAAAFtDb250ZW50X1R5cGVzXS54bWxQSwECLQAUAAYACAAAACEAOP0h/9YAAACUAQAACwAA&#10;AAAAAAAAAAAAAAAvAQAAX3JlbHMvLnJlbHNQSwECLQAUAAYACAAAACEAVroLlkACAABKBAAADgAA&#10;AAAAAAAAAAAAAAAuAgAAZHJzL2Uyb0RvYy54bWxQSwECLQAUAAYACAAAACEA/C/wntwAAAAJAQAA&#10;DwAAAAAAAAAAAAAAAACaBAAAZHJzL2Rvd25yZXYueG1sUEsFBgAAAAAEAAQA8wAAAKMFAAAAAA==&#10;" strokecolor="red" strokeweight="1.06mm">
                <v:stroke joinstyle="miter" endcap="square"/>
              </v:line>
            </w:pict>
          </mc:Fallback>
        </mc:AlternateContent>
      </w:r>
    </w:p>
    <w:p w:rsidR="00192240" w:rsidRDefault="00192240" w:rsidP="00192240">
      <w:pPr>
        <w:jc w:val="center"/>
        <w:rPr>
          <w:rFonts w:ascii="黑体" w:eastAsia="黑体" w:hAnsi="黑体" w:cs="宋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关于对杭州银行股份有限公司副行长</w:t>
      </w:r>
    </w:p>
    <w:p w:rsidR="00192240" w:rsidRDefault="00192240" w:rsidP="00192240">
      <w:pPr>
        <w:jc w:val="center"/>
        <w:rPr>
          <w:rFonts w:ascii="黑体" w:eastAsia="黑体" w:hAnsi="黑体" w:cs="宋体" w:hint="eastAsia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江波予以监管关注的决定</w:t>
      </w:r>
    </w:p>
    <w:p w:rsidR="00192240" w:rsidRDefault="00192240" w:rsidP="00192240">
      <w:pPr>
        <w:pStyle w:val="a3"/>
        <w:spacing w:line="600" w:lineRule="exact"/>
        <w:rPr>
          <w:rFonts w:hint="eastAsia"/>
          <w:b/>
          <w:bCs/>
          <w:sz w:val="28"/>
        </w:rPr>
      </w:pPr>
    </w:p>
    <w:p w:rsidR="00192240" w:rsidRDefault="00192240" w:rsidP="00192240">
      <w:pPr>
        <w:spacing w:line="600" w:lineRule="exact"/>
        <w:ind w:rightChars="1" w:right="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当事人：</w:t>
      </w:r>
    </w:p>
    <w:p w:rsidR="00192240" w:rsidRDefault="00192240" w:rsidP="00192240">
      <w:pPr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江波，时任杭州银行股份有限公司副行长。</w:t>
      </w:r>
    </w:p>
    <w:p w:rsidR="00192240" w:rsidRDefault="00192240" w:rsidP="00192240">
      <w:pPr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192240" w:rsidRDefault="00192240" w:rsidP="00192240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经查明，2016年11月14日至2017年3月8日期间，杭州银行股份有限公司（以下简称杭州银行或公司）副行长江波多次</w:t>
      </w:r>
      <w:bookmarkStart w:id="1" w:name="_GoBack"/>
      <w:bookmarkEnd w:id="1"/>
      <w:r>
        <w:rPr>
          <w:rFonts w:ascii="仿宋_GB2312" w:eastAsia="仿宋_GB2312" w:hAnsi="宋体" w:hint="eastAsia"/>
          <w:sz w:val="30"/>
          <w:szCs w:val="30"/>
        </w:rPr>
        <w:t>买卖公司股票。其中，买入6次，单次最高买入10000股，合计买入股份28000股；卖出2次，单次最高卖出4000股，合计卖出股份8000股。副行长江波在杭州银行上市前持有公司股票480000股，上述股票买卖完成后，江波持有公司股票500000股。江波作为公司高级管理人员，其在六个月内多次买入股票又卖出、卖出股票后又买入的情形，构成短线交易。此外，其上述股份买卖行为未及时向公司报告并在交易所网站公告。</w:t>
      </w:r>
    </w:p>
    <w:p w:rsidR="00192240" w:rsidRDefault="00192240" w:rsidP="00192240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江波的上述行为违反了《证券法》第47条、中国证监会《上市公司董事、监事和高级管理人员所持本公司股份及其变动管理规则》第十一条以及《上海证券交易所股票上市规则》（下称《股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票上市规则》）第3.1.4条、第3.1.6条的规定，也违反了其在《董事（监事、高级管理人员）声明及承诺书》中做出的承诺。</w:t>
      </w:r>
    </w:p>
    <w:p w:rsidR="00192240" w:rsidRDefault="00192240" w:rsidP="00192240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另经查明，江波承诺</w:t>
      </w:r>
      <w:r w:rsidRPr="00192240">
        <w:rPr>
          <w:rFonts w:ascii="仿宋_GB2312" w:eastAsia="仿宋_GB2312" w:hAnsi="宋体" w:hint="eastAsia"/>
          <w:sz w:val="30"/>
          <w:szCs w:val="30"/>
        </w:rPr>
        <w:t>此次</w:t>
      </w:r>
      <w:r>
        <w:rPr>
          <w:rFonts w:ascii="仿宋_GB2312" w:eastAsia="仿宋_GB2312" w:hAnsi="宋体" w:hint="eastAsia"/>
          <w:sz w:val="30"/>
          <w:szCs w:val="30"/>
        </w:rPr>
        <w:t>所买入</w:t>
      </w:r>
      <w:r w:rsidRPr="00192240">
        <w:rPr>
          <w:rFonts w:ascii="仿宋_GB2312" w:eastAsia="仿宋_GB2312" w:hAnsi="宋体" w:hint="eastAsia"/>
          <w:sz w:val="30"/>
          <w:szCs w:val="30"/>
        </w:rPr>
        <w:t>尚未卖出</w:t>
      </w:r>
      <w:r>
        <w:rPr>
          <w:rFonts w:ascii="仿宋_GB2312" w:eastAsia="仿宋_GB2312" w:hAnsi="宋体" w:hint="eastAsia"/>
          <w:sz w:val="30"/>
          <w:szCs w:val="30"/>
        </w:rPr>
        <w:t>的公司股票在公司上市后一年内不转让，该部分股票最终转让后如有收益将全部上缴公司。同时，在不违反相关法律法规的情况下将</w:t>
      </w:r>
      <w:r w:rsidRPr="00192240">
        <w:rPr>
          <w:rFonts w:ascii="仿宋_GB2312" w:eastAsia="仿宋_GB2312" w:hAnsi="宋体" w:hint="eastAsia"/>
          <w:sz w:val="30"/>
          <w:szCs w:val="30"/>
        </w:rPr>
        <w:t>此次已</w:t>
      </w:r>
      <w:r>
        <w:rPr>
          <w:rFonts w:ascii="仿宋_GB2312" w:eastAsia="仿宋_GB2312" w:hAnsi="宋体" w:hint="eastAsia"/>
          <w:sz w:val="30"/>
          <w:szCs w:val="30"/>
        </w:rPr>
        <w:t>卖出的公司股票购回，并在买入完成后24个月内不减持该部分股票，据此可酌情减轻处理。</w:t>
      </w:r>
    </w:p>
    <w:p w:rsidR="00192240" w:rsidRDefault="00192240" w:rsidP="00192240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鉴于上述事实和情节，根据《股票上市规则》第17.1条和《上海证券交易所纪律处分和监管措施实施办法》有关规定，我部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如下监管措施决定：对时任杭州银行股份有限公司副行长江波予以监管关注。</w:t>
      </w:r>
    </w:p>
    <w:p w:rsidR="00192240" w:rsidRDefault="00192240" w:rsidP="00192240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公司董事、监事和高级管理人员应当引以为戒，在从事证券交易等活动时，严格遵守法律、法规、规章等规范性文件和本所业务规则，以及在《董事（监事、高级管理人员）声明及承诺书》中做出的承诺，自觉维护证券市场秩序。</w:t>
      </w:r>
    </w:p>
    <w:p w:rsidR="00192240" w:rsidRDefault="00192240" w:rsidP="00192240">
      <w:pPr>
        <w:spacing w:line="600" w:lineRule="exact"/>
        <w:ind w:rightChars="338" w:right="710" w:firstLineChars="200" w:firstLine="560"/>
        <w:jc w:val="right"/>
        <w:rPr>
          <w:rFonts w:ascii="宋体" w:hAnsi="宋体" w:hint="eastAsia"/>
          <w:sz w:val="28"/>
        </w:rPr>
      </w:pPr>
    </w:p>
    <w:p w:rsidR="00192240" w:rsidRDefault="00192240" w:rsidP="00192240">
      <w:pPr>
        <w:spacing w:line="600" w:lineRule="exact"/>
        <w:ind w:rightChars="338" w:right="710" w:firstLineChars="200" w:firstLine="420"/>
        <w:jc w:val="right"/>
        <w:rPr>
          <w:rFonts w:ascii="宋体" w:hAnsi="宋体" w:hint="eastAsia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2E32D6" wp14:editId="6C60F343">
            <wp:simplePos x="0" y="0"/>
            <wp:positionH relativeFrom="margin">
              <wp:posOffset>2954655</wp:posOffset>
            </wp:positionH>
            <wp:positionV relativeFrom="paragraph">
              <wp:posOffset>94615</wp:posOffset>
            </wp:positionV>
            <wp:extent cx="1801495" cy="1752600"/>
            <wp:effectExtent l="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5930">
                      <a:off x="0" y="0"/>
                      <a:ext cx="18014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240" w:rsidRPr="00802084" w:rsidRDefault="00192240" w:rsidP="00192240">
      <w:pPr>
        <w:spacing w:line="600" w:lineRule="exact"/>
        <w:ind w:rightChars="1" w:right="2" w:firstLineChars="1100" w:firstLine="3300"/>
        <w:jc w:val="left"/>
        <w:rPr>
          <w:rFonts w:ascii="仿宋_GB2312" w:eastAsia="仿宋_GB2312" w:hAnsi="宋体"/>
          <w:sz w:val="30"/>
          <w:szCs w:val="30"/>
        </w:rPr>
      </w:pP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上市公司监管一部</w:t>
      </w:r>
    </w:p>
    <w:p w:rsidR="00192240" w:rsidRDefault="00192240" w:rsidP="00192240">
      <w:pPr>
        <w:spacing w:line="600" w:lineRule="exact"/>
        <w:ind w:rightChars="338" w:right="710" w:firstLineChars="200" w:firstLine="960"/>
        <w:rPr>
          <w:rFonts w:ascii="宋体" w:hAnsi="宋体"/>
          <w:sz w:val="28"/>
        </w:rPr>
      </w:pPr>
      <w:r w:rsidRPr="00826FAA">
        <w:rPr>
          <w:rFonts w:hint="eastAsia"/>
          <w:sz w:val="48"/>
          <w:szCs w:val="48"/>
        </w:rPr>
        <w:t xml:space="preserve">             </w:t>
      </w:r>
      <w:bookmarkStart w:id="2" w:name="大写年份"/>
      <w:bookmarkEnd w:id="2"/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一七年六月二十二日</w:t>
      </w:r>
    </w:p>
    <w:p w:rsidR="00192240" w:rsidRDefault="00192240" w:rsidP="00192240">
      <w:pPr>
        <w:spacing w:line="600" w:lineRule="exact"/>
        <w:ind w:rightChars="338" w:right="710" w:firstLineChars="200" w:firstLine="560"/>
        <w:rPr>
          <w:rFonts w:ascii="宋体" w:hAnsi="宋体"/>
          <w:sz w:val="28"/>
        </w:rPr>
      </w:pPr>
    </w:p>
    <w:p w:rsidR="00192240" w:rsidRDefault="00192240" w:rsidP="00192240">
      <w:pPr>
        <w:spacing w:line="600" w:lineRule="exact"/>
        <w:ind w:rightChars="338" w:right="710" w:firstLineChars="200" w:firstLine="420"/>
        <w:jc w:val="right"/>
        <w:rPr>
          <w:rFonts w:ascii="宋体" w:hAnsi="宋体"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462EE" wp14:editId="5C74087F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715000" cy="0"/>
                <wp:effectExtent l="9525" t="12065" r="9525" b="698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7pt" to="45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4rLgIAADMEAAAOAAAAZHJzL2Uyb0RvYy54bWysU82O0zAQviPxDpbvbZLS7L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5tdZnqYwP3ryJaQ4JRrr&#10;/AuuWxSMEkuhQs9IQba3zgcipDiFhGOlF0LKOHepUFficT7IY4LTUrDgDGHOrlczadGWBOXEL1YF&#10;nsswqzeKRbCGEzY/2p4IebDhcqkCHpQCdI7WQRrvxul4PpqPhr3h4GreG6ZV1Xu+mA17V4vsOq+e&#10;VbNZlb0P1LJh0QjGuArsTjLNhn8ng+ODOQjsLNRzG5LH6LFfQPb0j6TjLMP4DkJYabZf2tOMQZkx&#10;+PiKgvQv92BfvvXpLwAAAP//AwBQSwMEFAAGAAgAAAAhAMcPvDDaAAAABgEAAA8AAABkcnMvZG93&#10;bnJldi54bWxMj8FOwzAQRO9I/IO1SFyq1m6BCkKcCgG5cWkBcd3GSxIRr9PYbQNfzyIOcJyZ1czb&#10;fDX6Th1oiG1gC/OZAUVcBddybeHluZxeg4oJ2WEXmCx8UoRVcXqSY+bCkdd02KRaSQnHDC00KfWZ&#10;1rFqyGOchZ5YsvcweEwih1q7AY9S7ju9MGapPbYsCw32dN9Q9bHZewuxfKVd+TWpJubtog602D08&#10;PaK152fj3S2oRGP6O4YffEGHQpi2Yc8uqs6CPJIsXM0vQUl6Y4wY219DF7n+j198AwAA//8DAFBL&#10;AQItABQABgAIAAAAIQC2gziS/gAAAOEBAAATAAAAAAAAAAAAAAAAAAAAAABbQ29udGVudF9UeXBl&#10;c10ueG1sUEsBAi0AFAAGAAgAAAAhADj9If/WAAAAlAEAAAsAAAAAAAAAAAAAAAAALwEAAF9yZWxz&#10;Ly5yZWxzUEsBAi0AFAAGAAgAAAAhABcnfisuAgAAMwQAAA4AAAAAAAAAAAAAAAAALgIAAGRycy9l&#10;Mm9Eb2MueG1sUEsBAi0AFAAGAAgAAAAhAMcPvDDaAAAABgEAAA8AAAAAAAAAAAAAAAAAiAQAAGRy&#10;cy9kb3ducmV2LnhtbFBLBQYAAAAABAAEAPMAAACPBQAAAAA=&#10;"/>
            </w:pict>
          </mc:Fallback>
        </mc:AlternateContent>
      </w:r>
    </w:p>
    <w:p w:rsidR="00192240" w:rsidRDefault="00192240" w:rsidP="00192240">
      <w:pPr>
        <w:spacing w:line="360" w:lineRule="auto"/>
        <w:ind w:left="540" w:rightChars="1" w:right="2" w:hangingChars="225" w:hanging="54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抄报：中国证监会上市公司监管部</w:t>
      </w:r>
    </w:p>
    <w:p w:rsidR="00192240" w:rsidRDefault="00192240" w:rsidP="00192240">
      <w:pPr>
        <w:spacing w:line="360" w:lineRule="auto"/>
        <w:ind w:left="540" w:rightChars="1" w:right="2" w:hangingChars="225" w:hanging="54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抄送：中国证监会浙江监管局上市处</w:t>
      </w:r>
      <w:bookmarkStart w:id="3" w:name="公司名称1"/>
      <w:bookmarkEnd w:id="3"/>
    </w:p>
    <w:sectPr w:rsidR="0019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A4" w:rsidRDefault="003644A4" w:rsidP="002B0D89">
      <w:r>
        <w:separator/>
      </w:r>
    </w:p>
  </w:endnote>
  <w:endnote w:type="continuationSeparator" w:id="0">
    <w:p w:rsidR="003644A4" w:rsidRDefault="003644A4" w:rsidP="002B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A4" w:rsidRDefault="003644A4" w:rsidP="002B0D89">
      <w:r>
        <w:separator/>
      </w:r>
    </w:p>
  </w:footnote>
  <w:footnote w:type="continuationSeparator" w:id="0">
    <w:p w:rsidR="003644A4" w:rsidRDefault="003644A4" w:rsidP="002B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5C"/>
    <w:rsid w:val="00192240"/>
    <w:rsid w:val="002B0D89"/>
    <w:rsid w:val="003644A4"/>
    <w:rsid w:val="003B7C5C"/>
    <w:rsid w:val="003D027B"/>
    <w:rsid w:val="00C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B7C5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uiPriority w:val="99"/>
    <w:rsid w:val="003B7C5C"/>
    <w:rPr>
      <w:rFonts w:ascii="Arial Narrow" w:hAnsi="Arial Narrow" w:hint="default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3B7C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7C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0D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0D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B7C5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uiPriority w:val="99"/>
    <w:rsid w:val="003B7C5C"/>
    <w:rPr>
      <w:rFonts w:ascii="Arial Narrow" w:hAnsi="Arial Narrow" w:hint="default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3B7C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7C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0D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0D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李娅(文秘盖章)</dc:creator>
  <cp:lastModifiedBy>李娅(秘书)</cp:lastModifiedBy>
  <cp:revision>2</cp:revision>
  <dcterms:created xsi:type="dcterms:W3CDTF">2017-06-22T08:30:00Z</dcterms:created>
  <dcterms:modified xsi:type="dcterms:W3CDTF">2017-06-22T08:30:00Z</dcterms:modified>
</cp:coreProperties>
</file>