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48" w:rsidRDefault="00542448" w:rsidP="00542448">
      <w:pPr>
        <w:jc w:val="center"/>
        <w:rPr>
          <w:rFonts w:ascii="仿宋_GB2312" w:eastAsia="仿宋_GB2312" w:hAnsi="仿宋_GB2312"/>
          <w:b/>
          <w:color w:val="000000"/>
          <w:sz w:val="28"/>
        </w:rPr>
      </w:pPr>
      <w:bookmarkStart w:id="0" w:name="_GoBack"/>
      <w:bookmarkEnd w:id="0"/>
      <w:r>
        <w:rPr>
          <w:rFonts w:ascii="方正大标宋简体" w:eastAsia="方正大标宋简体" w:hAnsi="方正大标宋简体" w:cs="宋体" w:hint="eastAsia"/>
          <w:color w:val="FF0000"/>
          <w:spacing w:val="100"/>
          <w:sz w:val="80"/>
          <w:szCs w:val="80"/>
        </w:rPr>
        <w:t>上海证券交易所</w:t>
      </w:r>
    </w:p>
    <w:p w:rsidR="00542448" w:rsidRPr="00122BD8" w:rsidRDefault="00542448" w:rsidP="00542448">
      <w:pPr>
        <w:jc w:val="center"/>
        <w:rPr>
          <w:rFonts w:ascii="仿宋_GB2312" w:eastAsia="仿宋_GB2312" w:hAnsi="仿宋_GB2312"/>
          <w:b/>
          <w:color w:val="000000"/>
          <w:sz w:val="28"/>
          <w:szCs w:val="28"/>
        </w:rPr>
      </w:pPr>
      <w:r w:rsidRPr="00122BD8">
        <w:rPr>
          <w:rFonts w:ascii="仿宋_GB2312" w:eastAsia="仿宋_GB2312" w:hint="eastAsia"/>
          <w:b/>
          <w:sz w:val="28"/>
          <w:szCs w:val="28"/>
        </w:rPr>
        <w:t>上</w:t>
      </w:r>
      <w:proofErr w:type="gramStart"/>
      <w:r w:rsidRPr="00122BD8">
        <w:rPr>
          <w:rFonts w:ascii="仿宋_GB2312" w:eastAsia="仿宋_GB2312" w:hint="eastAsia"/>
          <w:b/>
          <w:sz w:val="28"/>
          <w:szCs w:val="28"/>
        </w:rPr>
        <w:t>证公监</w:t>
      </w:r>
      <w:proofErr w:type="gramEnd"/>
      <w:r w:rsidRPr="00122BD8">
        <w:rPr>
          <w:rFonts w:ascii="仿宋_GB2312" w:eastAsia="仿宋_GB2312" w:hint="eastAsia"/>
          <w:b/>
          <w:sz w:val="28"/>
          <w:szCs w:val="28"/>
        </w:rPr>
        <w:t>函〔2017〕0062号</w:t>
      </w:r>
    </w:p>
    <w:p w:rsidR="00542448" w:rsidRDefault="00EA0D3B" w:rsidP="00542448">
      <w:pPr>
        <w:pStyle w:val="a5"/>
        <w:spacing w:line="600" w:lineRule="exact"/>
        <w:rPr>
          <w:rFonts w:ascii="宋体" w:hAnsi="宋体" w:cs="宋体"/>
          <w:b/>
          <w:color w:val="FF0000"/>
          <w:sz w:val="52"/>
        </w:rPr>
      </w:pPr>
      <w:r>
        <w:rPr>
          <w:lang w:eastAsia="ar-SA"/>
        </w:rPr>
        <w:pict>
          <v:line id="_x0000_s1029" style="position:absolute;left:0;text-align:left;z-index:251663360" from="-9.9pt,9.5pt" to="449.1pt,9.5pt" strokecolor="red" strokeweight="1.06mm">
            <v:stroke color2="aqua" joinstyle="miter" endcap="square"/>
          </v:line>
        </w:pict>
      </w:r>
    </w:p>
    <w:p w:rsidR="00542448" w:rsidRDefault="00542448" w:rsidP="00542448">
      <w:pPr>
        <w:jc w:val="center"/>
        <w:rPr>
          <w:rFonts w:ascii="黑体" w:eastAsia="黑体" w:hAnsi="黑体" w:cs="宋体"/>
          <w:bCs/>
          <w:sz w:val="44"/>
          <w:szCs w:val="44"/>
        </w:rPr>
      </w:pPr>
      <w:r w:rsidRPr="00E13A32">
        <w:rPr>
          <w:rFonts w:ascii="黑体" w:eastAsia="黑体" w:hAnsi="黑体" w:cs="宋体" w:hint="eastAsia"/>
          <w:bCs/>
          <w:sz w:val="44"/>
          <w:szCs w:val="44"/>
        </w:rPr>
        <w:t>关于对浙江富润股份有限公司</w:t>
      </w:r>
      <w:r>
        <w:rPr>
          <w:rFonts w:ascii="黑体" w:eastAsia="黑体" w:hAnsi="黑体" w:cs="宋体" w:hint="eastAsia"/>
          <w:bCs/>
          <w:sz w:val="44"/>
          <w:szCs w:val="44"/>
        </w:rPr>
        <w:t>、</w:t>
      </w:r>
      <w:r w:rsidRPr="00E116EC">
        <w:rPr>
          <w:rFonts w:ascii="黑体" w:eastAsia="黑体" w:hAnsi="黑体" w:cs="宋体" w:hint="eastAsia"/>
          <w:bCs/>
          <w:sz w:val="44"/>
          <w:szCs w:val="44"/>
        </w:rPr>
        <w:t>宁波</w:t>
      </w:r>
    </w:p>
    <w:p w:rsidR="00542448" w:rsidRDefault="00542448" w:rsidP="00542448">
      <w:pPr>
        <w:jc w:val="center"/>
        <w:rPr>
          <w:rFonts w:ascii="黑体" w:eastAsia="黑体" w:hAnsi="黑体" w:cs="宋体"/>
          <w:bCs/>
          <w:sz w:val="44"/>
          <w:szCs w:val="44"/>
        </w:rPr>
      </w:pPr>
      <w:r w:rsidRPr="00E116EC">
        <w:rPr>
          <w:rFonts w:ascii="黑体" w:eastAsia="黑体" w:hAnsi="黑体" w:cs="宋体" w:hint="eastAsia"/>
          <w:bCs/>
          <w:sz w:val="44"/>
          <w:szCs w:val="44"/>
        </w:rPr>
        <w:t>章鱼控股有限公司</w:t>
      </w:r>
      <w:r w:rsidRPr="00E13A32">
        <w:rPr>
          <w:rFonts w:ascii="黑体" w:eastAsia="黑体" w:hAnsi="黑体" w:cs="宋体" w:hint="eastAsia"/>
          <w:bCs/>
          <w:sz w:val="44"/>
          <w:szCs w:val="44"/>
        </w:rPr>
        <w:t>及有关责任人</w:t>
      </w:r>
    </w:p>
    <w:p w:rsidR="00542448" w:rsidRPr="002D1B51" w:rsidRDefault="00542448" w:rsidP="00542448">
      <w:pPr>
        <w:jc w:val="center"/>
        <w:rPr>
          <w:rFonts w:ascii="黑体" w:eastAsia="黑体" w:hAnsi="黑体" w:cs="宋体"/>
          <w:bCs/>
          <w:sz w:val="44"/>
          <w:szCs w:val="44"/>
        </w:rPr>
      </w:pPr>
      <w:r w:rsidRPr="00E13A32">
        <w:rPr>
          <w:rFonts w:ascii="黑体" w:eastAsia="黑体" w:hAnsi="黑体" w:cs="宋体" w:hint="eastAsia"/>
          <w:bCs/>
          <w:sz w:val="44"/>
          <w:szCs w:val="44"/>
        </w:rPr>
        <w:t>予以监管关注的决定</w:t>
      </w:r>
    </w:p>
    <w:p w:rsidR="00542448" w:rsidRDefault="00542448" w:rsidP="00542448">
      <w:pPr>
        <w:pStyle w:val="a5"/>
        <w:spacing w:line="600" w:lineRule="exact"/>
        <w:rPr>
          <w:b/>
          <w:bCs/>
          <w:sz w:val="28"/>
        </w:rPr>
      </w:pPr>
    </w:p>
    <w:p w:rsidR="00542448" w:rsidRDefault="00542448" w:rsidP="00122BD8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当事人：</w:t>
      </w:r>
    </w:p>
    <w:p w:rsidR="00542448" w:rsidRDefault="00542448" w:rsidP="00122B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33E8A">
        <w:rPr>
          <w:rFonts w:ascii="仿宋_GB2312" w:eastAsia="仿宋_GB2312" w:hint="eastAsia"/>
          <w:sz w:val="30"/>
          <w:szCs w:val="30"/>
        </w:rPr>
        <w:t>浙江富润股份有限公司</w:t>
      </w:r>
      <w:r>
        <w:rPr>
          <w:rFonts w:ascii="仿宋_GB2312" w:eastAsia="仿宋_GB2312" w:hint="eastAsia"/>
          <w:sz w:val="30"/>
          <w:szCs w:val="30"/>
        </w:rPr>
        <w:t>，A股证券简称：浙江富润，A股证券代码：600070；</w:t>
      </w:r>
    </w:p>
    <w:p w:rsidR="00542448" w:rsidRDefault="00542448" w:rsidP="00122B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宁波章鱼控股有限公司，</w:t>
      </w:r>
      <w:r w:rsidRPr="00FF7024">
        <w:rPr>
          <w:rFonts w:ascii="仿宋_GB2312" w:eastAsia="仿宋_GB2312" w:hint="eastAsia"/>
          <w:sz w:val="30"/>
          <w:szCs w:val="30"/>
        </w:rPr>
        <w:t>杭州泰一</w:t>
      </w:r>
      <w:proofErr w:type="gramStart"/>
      <w:r w:rsidRPr="00FF7024">
        <w:rPr>
          <w:rFonts w:ascii="仿宋_GB2312" w:eastAsia="仿宋_GB2312" w:hint="eastAsia"/>
          <w:sz w:val="30"/>
          <w:szCs w:val="30"/>
        </w:rPr>
        <w:t>指尚科技</w:t>
      </w:r>
      <w:proofErr w:type="gramEnd"/>
      <w:r w:rsidRPr="00FF7024">
        <w:rPr>
          <w:rFonts w:ascii="仿宋_GB2312" w:eastAsia="仿宋_GB2312" w:hint="eastAsia"/>
          <w:sz w:val="30"/>
          <w:szCs w:val="30"/>
        </w:rPr>
        <w:t>有限公司</w:t>
      </w:r>
      <w:r>
        <w:rPr>
          <w:rFonts w:ascii="仿宋_GB2312" w:eastAsia="仿宋_GB2312" w:hint="eastAsia"/>
          <w:sz w:val="30"/>
          <w:szCs w:val="30"/>
        </w:rPr>
        <w:t>关联方；</w:t>
      </w:r>
    </w:p>
    <w:p w:rsidR="00542448" w:rsidRDefault="00542448" w:rsidP="00122B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江有归，</w:t>
      </w:r>
      <w:r w:rsidRPr="00FF7024">
        <w:rPr>
          <w:rFonts w:ascii="仿宋_GB2312" w:eastAsia="仿宋_GB2312" w:hint="eastAsia"/>
          <w:sz w:val="30"/>
          <w:szCs w:val="30"/>
        </w:rPr>
        <w:t>杭州泰一</w:t>
      </w:r>
      <w:proofErr w:type="gramStart"/>
      <w:r w:rsidRPr="00FF7024">
        <w:rPr>
          <w:rFonts w:ascii="仿宋_GB2312" w:eastAsia="仿宋_GB2312" w:hint="eastAsia"/>
          <w:sz w:val="30"/>
          <w:szCs w:val="30"/>
        </w:rPr>
        <w:t>指尚科技有限公司</w:t>
      </w:r>
      <w:r>
        <w:rPr>
          <w:rFonts w:ascii="仿宋_GB2312" w:eastAsia="仿宋_GB2312" w:hint="eastAsia"/>
          <w:sz w:val="30"/>
          <w:szCs w:val="30"/>
        </w:rPr>
        <w:t>原实际</w:t>
      </w:r>
      <w:proofErr w:type="gramEnd"/>
      <w:r>
        <w:rPr>
          <w:rFonts w:ascii="仿宋_GB2312" w:eastAsia="仿宋_GB2312" w:hint="eastAsia"/>
          <w:sz w:val="30"/>
          <w:szCs w:val="30"/>
        </w:rPr>
        <w:t>控制人；</w:t>
      </w:r>
    </w:p>
    <w:p w:rsidR="00542448" w:rsidRDefault="00542448" w:rsidP="00122B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B4AA0">
        <w:rPr>
          <w:rFonts w:ascii="仿宋_GB2312" w:eastAsia="仿宋_GB2312" w:hint="eastAsia"/>
          <w:sz w:val="30"/>
          <w:szCs w:val="30"/>
        </w:rPr>
        <w:t>王坚</w:t>
      </w:r>
      <w:r>
        <w:rPr>
          <w:rFonts w:ascii="仿宋_GB2312" w:eastAsia="仿宋_GB2312" w:hint="eastAsia"/>
          <w:sz w:val="30"/>
          <w:szCs w:val="30"/>
        </w:rPr>
        <w:t>，时任</w:t>
      </w:r>
      <w:r w:rsidRPr="00233E8A">
        <w:rPr>
          <w:rFonts w:ascii="仿宋_GB2312" w:eastAsia="仿宋_GB2312" w:hint="eastAsia"/>
          <w:sz w:val="30"/>
          <w:szCs w:val="30"/>
        </w:rPr>
        <w:t>浙江富润股份有限公司</w:t>
      </w:r>
      <w:r>
        <w:rPr>
          <w:rFonts w:ascii="仿宋_GB2312" w:eastAsia="仿宋_GB2312" w:hint="eastAsia"/>
          <w:sz w:val="30"/>
          <w:szCs w:val="30"/>
        </w:rPr>
        <w:t>董事、财务总监。</w:t>
      </w:r>
    </w:p>
    <w:p w:rsidR="00542448" w:rsidRDefault="00542448" w:rsidP="00122B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42448" w:rsidRDefault="00542448" w:rsidP="00122B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经查明，</w:t>
      </w:r>
      <w:r w:rsidRPr="00FF7024">
        <w:rPr>
          <w:rFonts w:ascii="仿宋_GB2312" w:eastAsia="仿宋_GB2312" w:hint="eastAsia"/>
          <w:sz w:val="30"/>
          <w:szCs w:val="30"/>
        </w:rPr>
        <w:t>2016年11月24日，</w:t>
      </w:r>
      <w:r w:rsidRPr="00233E8A">
        <w:rPr>
          <w:rFonts w:ascii="仿宋_GB2312" w:eastAsia="仿宋_GB2312" w:hint="eastAsia"/>
          <w:sz w:val="30"/>
          <w:szCs w:val="30"/>
        </w:rPr>
        <w:t>浙江富润股份有限公司</w:t>
      </w:r>
      <w:r>
        <w:rPr>
          <w:rFonts w:ascii="仿宋_GB2312" w:eastAsia="仿宋_GB2312" w:hint="eastAsia"/>
          <w:sz w:val="30"/>
          <w:szCs w:val="30"/>
        </w:rPr>
        <w:t>（以下简称浙江富润或公司）</w:t>
      </w:r>
      <w:r w:rsidRPr="00FF7024">
        <w:rPr>
          <w:rFonts w:ascii="仿宋_GB2312" w:eastAsia="仿宋_GB2312" w:hint="eastAsia"/>
          <w:sz w:val="30"/>
          <w:szCs w:val="30"/>
        </w:rPr>
        <w:t>向江有归等6名自然人以及嘉兴泰一</w:t>
      </w:r>
      <w:proofErr w:type="gramStart"/>
      <w:r w:rsidRPr="00FF7024">
        <w:rPr>
          <w:rFonts w:ascii="仿宋_GB2312" w:eastAsia="仿宋_GB2312" w:hint="eastAsia"/>
          <w:sz w:val="30"/>
          <w:szCs w:val="30"/>
        </w:rPr>
        <w:t>指尚投资</w:t>
      </w:r>
      <w:proofErr w:type="gramEnd"/>
      <w:r w:rsidRPr="00FF7024">
        <w:rPr>
          <w:rFonts w:ascii="仿宋_GB2312" w:eastAsia="仿宋_GB2312" w:hint="eastAsia"/>
          <w:sz w:val="30"/>
          <w:szCs w:val="30"/>
        </w:rPr>
        <w:t>合伙企业（有限合伙）等12家企业发行股份及支付现金购买其持有的杭州泰一</w:t>
      </w:r>
      <w:proofErr w:type="gramStart"/>
      <w:r w:rsidRPr="00FF7024">
        <w:rPr>
          <w:rFonts w:ascii="仿宋_GB2312" w:eastAsia="仿宋_GB2312" w:hint="eastAsia"/>
          <w:sz w:val="30"/>
          <w:szCs w:val="30"/>
        </w:rPr>
        <w:t>指尚科技</w:t>
      </w:r>
      <w:proofErr w:type="gramEnd"/>
      <w:r w:rsidRPr="00FF7024">
        <w:rPr>
          <w:rFonts w:ascii="仿宋_GB2312" w:eastAsia="仿宋_GB2312" w:hint="eastAsia"/>
          <w:sz w:val="30"/>
          <w:szCs w:val="30"/>
        </w:rPr>
        <w:t>有限公司（以下简称“泰一指尚”）100%股权的事项取得中国证监会核准批复，并于2016年12月27日完成泰</w:t>
      </w:r>
      <w:proofErr w:type="gramStart"/>
      <w:r w:rsidRPr="00FF7024">
        <w:rPr>
          <w:rFonts w:ascii="仿宋_GB2312" w:eastAsia="仿宋_GB2312" w:hint="eastAsia"/>
          <w:sz w:val="30"/>
          <w:szCs w:val="30"/>
        </w:rPr>
        <w:t>一指尚股权</w:t>
      </w:r>
      <w:proofErr w:type="gramEnd"/>
      <w:r w:rsidRPr="00FF7024">
        <w:rPr>
          <w:rFonts w:ascii="仿宋_GB2312" w:eastAsia="仿宋_GB2312" w:hint="eastAsia"/>
          <w:sz w:val="30"/>
          <w:szCs w:val="30"/>
        </w:rPr>
        <w:t>变更工商登记手续。</w:t>
      </w:r>
      <w:r>
        <w:rPr>
          <w:rFonts w:ascii="仿宋_GB2312" w:eastAsia="仿宋_GB2312" w:hint="eastAsia"/>
          <w:sz w:val="30"/>
          <w:szCs w:val="30"/>
        </w:rPr>
        <w:t>本次交易完成后，江有归直接持有浙江富润6.03%的股份，同时持有</w:t>
      </w:r>
      <w:r w:rsidRPr="00FF7024">
        <w:rPr>
          <w:rFonts w:ascii="仿宋_GB2312" w:eastAsia="仿宋_GB2312" w:hint="eastAsia"/>
          <w:sz w:val="30"/>
          <w:szCs w:val="30"/>
        </w:rPr>
        <w:t>宁波章鱼控股</w:t>
      </w:r>
      <w:r w:rsidRPr="00FF7024">
        <w:rPr>
          <w:rFonts w:ascii="仿宋_GB2312" w:eastAsia="仿宋_GB2312" w:hint="eastAsia"/>
          <w:sz w:val="30"/>
          <w:szCs w:val="30"/>
        </w:rPr>
        <w:lastRenderedPageBreak/>
        <w:t>有限公司</w:t>
      </w:r>
      <w:r>
        <w:rPr>
          <w:rFonts w:ascii="仿宋_GB2312" w:eastAsia="仿宋_GB2312" w:hint="eastAsia"/>
          <w:sz w:val="30"/>
          <w:szCs w:val="30"/>
        </w:rPr>
        <w:t>50%的股权。</w:t>
      </w:r>
    </w:p>
    <w:p w:rsidR="00542448" w:rsidRDefault="00542448" w:rsidP="00122B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FF7024">
        <w:rPr>
          <w:rFonts w:ascii="仿宋_GB2312" w:eastAsia="仿宋_GB2312" w:hint="eastAsia"/>
          <w:sz w:val="30"/>
          <w:szCs w:val="30"/>
        </w:rPr>
        <w:t>2016年11月24日和12月1日</w:t>
      </w:r>
      <w:r>
        <w:rPr>
          <w:rFonts w:ascii="仿宋_GB2312" w:eastAsia="仿宋_GB2312" w:hint="eastAsia"/>
          <w:sz w:val="30"/>
          <w:szCs w:val="30"/>
        </w:rPr>
        <w:t>，</w:t>
      </w:r>
      <w:r w:rsidRPr="00FF7024">
        <w:rPr>
          <w:rFonts w:ascii="仿宋_GB2312" w:eastAsia="仿宋_GB2312" w:hint="eastAsia"/>
          <w:sz w:val="30"/>
          <w:szCs w:val="30"/>
        </w:rPr>
        <w:t>宁波章鱼控股有限公司</w:t>
      </w:r>
      <w:r>
        <w:rPr>
          <w:rFonts w:ascii="仿宋_GB2312" w:eastAsia="仿宋_GB2312" w:hint="eastAsia"/>
          <w:sz w:val="30"/>
          <w:szCs w:val="30"/>
        </w:rPr>
        <w:t>分别</w:t>
      </w:r>
      <w:r w:rsidRPr="00FF7024">
        <w:rPr>
          <w:rFonts w:ascii="仿宋_GB2312" w:eastAsia="仿宋_GB2312" w:hint="eastAsia"/>
          <w:sz w:val="30"/>
          <w:szCs w:val="30"/>
        </w:rPr>
        <w:t>违规占用</w:t>
      </w:r>
      <w:r>
        <w:rPr>
          <w:rFonts w:ascii="仿宋_GB2312" w:eastAsia="仿宋_GB2312" w:hint="eastAsia"/>
          <w:sz w:val="30"/>
          <w:szCs w:val="30"/>
        </w:rPr>
        <w:t>前述重组标的泰一</w:t>
      </w:r>
      <w:proofErr w:type="gramStart"/>
      <w:r>
        <w:rPr>
          <w:rFonts w:ascii="仿宋_GB2312" w:eastAsia="仿宋_GB2312" w:hint="eastAsia"/>
          <w:sz w:val="30"/>
          <w:szCs w:val="30"/>
        </w:rPr>
        <w:t>指尚资金</w:t>
      </w:r>
      <w:proofErr w:type="gramEnd"/>
      <w:r>
        <w:rPr>
          <w:rFonts w:ascii="仿宋_GB2312" w:eastAsia="仿宋_GB2312" w:hint="eastAsia"/>
          <w:sz w:val="30"/>
          <w:szCs w:val="30"/>
        </w:rPr>
        <w:t>各</w:t>
      </w:r>
      <w:r w:rsidRPr="00FF7024">
        <w:rPr>
          <w:rFonts w:ascii="仿宋_GB2312" w:eastAsia="仿宋_GB2312" w:hint="eastAsia"/>
          <w:sz w:val="30"/>
          <w:szCs w:val="30"/>
        </w:rPr>
        <w:t>2000万元，</w:t>
      </w:r>
      <w:r>
        <w:rPr>
          <w:rFonts w:ascii="仿宋_GB2312" w:eastAsia="仿宋_GB2312" w:hint="eastAsia"/>
          <w:sz w:val="30"/>
          <w:szCs w:val="30"/>
        </w:rPr>
        <w:t>合计占用金额4000万元，</w:t>
      </w:r>
      <w:r w:rsidRPr="00FF7024">
        <w:rPr>
          <w:rFonts w:ascii="仿宋_GB2312" w:eastAsia="仿宋_GB2312" w:hint="eastAsia"/>
          <w:sz w:val="30"/>
          <w:szCs w:val="30"/>
        </w:rPr>
        <w:t>截至2016年12月31日占用余额为2850万元，上述款项已于2017年1月25日全部收回。</w:t>
      </w:r>
      <w:r>
        <w:rPr>
          <w:rFonts w:ascii="仿宋_GB2312" w:eastAsia="仿宋_GB2312" w:hint="eastAsia"/>
          <w:sz w:val="30"/>
          <w:szCs w:val="30"/>
        </w:rPr>
        <w:t>江有归未及时向浙江富</w:t>
      </w:r>
      <w:proofErr w:type="gramStart"/>
      <w:r>
        <w:rPr>
          <w:rFonts w:ascii="仿宋_GB2312" w:eastAsia="仿宋_GB2312" w:hint="eastAsia"/>
          <w:sz w:val="30"/>
          <w:szCs w:val="30"/>
        </w:rPr>
        <w:t>润提供</w:t>
      </w:r>
      <w:proofErr w:type="gramEnd"/>
      <w:r>
        <w:rPr>
          <w:rFonts w:ascii="仿宋_GB2312" w:eastAsia="仿宋_GB2312" w:hint="eastAsia"/>
          <w:sz w:val="30"/>
          <w:szCs w:val="30"/>
        </w:rPr>
        <w:t>上述资金占用信息，浙江</w:t>
      </w:r>
      <w:proofErr w:type="gramStart"/>
      <w:r>
        <w:rPr>
          <w:rFonts w:ascii="仿宋_GB2312" w:eastAsia="仿宋_GB2312" w:hint="eastAsia"/>
          <w:sz w:val="30"/>
          <w:szCs w:val="30"/>
        </w:rPr>
        <w:t>富润</w:t>
      </w:r>
      <w:r w:rsidRPr="00FF7024">
        <w:rPr>
          <w:rFonts w:ascii="仿宋_GB2312" w:eastAsia="仿宋_GB2312" w:hint="eastAsia"/>
          <w:sz w:val="30"/>
          <w:szCs w:val="30"/>
        </w:rPr>
        <w:t>未在</w:t>
      </w:r>
      <w:proofErr w:type="gramEnd"/>
      <w:r w:rsidRPr="00FF7024">
        <w:rPr>
          <w:rFonts w:ascii="仿宋_GB2312" w:eastAsia="仿宋_GB2312" w:hint="eastAsia"/>
          <w:sz w:val="30"/>
          <w:szCs w:val="30"/>
        </w:rPr>
        <w:t>重大资产重组有关报告中对</w:t>
      </w:r>
      <w:r>
        <w:rPr>
          <w:rFonts w:ascii="仿宋_GB2312" w:eastAsia="仿宋_GB2312" w:hint="eastAsia"/>
          <w:sz w:val="30"/>
          <w:szCs w:val="30"/>
        </w:rPr>
        <w:t>上述资金占用情况进行披露。</w:t>
      </w:r>
    </w:p>
    <w:p w:rsidR="00542448" w:rsidRDefault="00542448" w:rsidP="00122B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综上，公司及控股子公司与关联方的以上非经性资金往来行为违反了《上海证券交易所股票上市规则》（以下简称“《股票上市规则》”）第1.4条、第2.1条等有关规定；公司财务总监未勤勉尽责，对公司的违规行为负有相应责任，违反了《股票上市规则》第2.2条、第3.1.4条、第3.1.5条、第3.2.2条的规定以及在《董事（监事、高级管理人员）声明及承诺书》中做出的承诺。江有</w:t>
      </w:r>
      <w:proofErr w:type="gramStart"/>
      <w:r>
        <w:rPr>
          <w:rFonts w:ascii="仿宋_GB2312" w:eastAsia="仿宋_GB2312" w:hint="eastAsia"/>
          <w:sz w:val="30"/>
          <w:szCs w:val="30"/>
        </w:rPr>
        <w:t>归作为</w:t>
      </w:r>
      <w:proofErr w:type="gramEnd"/>
      <w:r>
        <w:rPr>
          <w:rFonts w:ascii="仿宋_GB2312" w:eastAsia="仿宋_GB2312" w:hint="eastAsia"/>
          <w:sz w:val="30"/>
          <w:szCs w:val="30"/>
        </w:rPr>
        <w:t>重大资产重组交易对方，未及时向浙江富</w:t>
      </w:r>
      <w:proofErr w:type="gramStart"/>
      <w:r>
        <w:rPr>
          <w:rFonts w:ascii="仿宋_GB2312" w:eastAsia="仿宋_GB2312" w:hint="eastAsia"/>
          <w:sz w:val="30"/>
          <w:szCs w:val="30"/>
        </w:rPr>
        <w:t>润提供泰一指尚资金</w:t>
      </w:r>
      <w:proofErr w:type="gramEnd"/>
      <w:r>
        <w:rPr>
          <w:rFonts w:ascii="仿宋_GB2312" w:eastAsia="仿宋_GB2312" w:hint="eastAsia"/>
          <w:sz w:val="30"/>
          <w:szCs w:val="30"/>
        </w:rPr>
        <w:t>占用信息，违反了</w:t>
      </w:r>
      <w:r w:rsidRPr="001F0991">
        <w:rPr>
          <w:rFonts w:ascii="仿宋_GB2312" w:eastAsia="仿宋_GB2312" w:hint="eastAsia"/>
          <w:sz w:val="30"/>
          <w:szCs w:val="30"/>
        </w:rPr>
        <w:t>《上市公司信息披露管理办法》第二条、《上市公司重大资产重组管理办法》第四条</w:t>
      </w:r>
      <w:r>
        <w:rPr>
          <w:rFonts w:ascii="仿宋_GB2312" w:eastAsia="仿宋_GB2312" w:hint="eastAsia"/>
          <w:sz w:val="30"/>
          <w:szCs w:val="30"/>
        </w:rPr>
        <w:t>和《股票上市规则》第1.4条、第2.22条等有关规定。</w:t>
      </w:r>
    </w:p>
    <w:p w:rsidR="00542448" w:rsidRDefault="00542448" w:rsidP="00122B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鉴于上述事实和情节，根据《股票上市规则》第17.1条和《上海证券交易所纪律处分和监管措施实施办法》有关规定，我部做出如下监管措施决定：</w:t>
      </w:r>
    </w:p>
    <w:p w:rsidR="00542448" w:rsidRDefault="00542448" w:rsidP="00122B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</w:t>
      </w:r>
      <w:r w:rsidRPr="00233E8A">
        <w:rPr>
          <w:rFonts w:ascii="仿宋_GB2312" w:eastAsia="仿宋_GB2312" w:hint="eastAsia"/>
          <w:sz w:val="30"/>
          <w:szCs w:val="30"/>
        </w:rPr>
        <w:t>浙江富润股份有限公司</w:t>
      </w:r>
      <w:r>
        <w:rPr>
          <w:rFonts w:ascii="仿宋_GB2312" w:eastAsia="仿宋_GB2312" w:hint="eastAsia"/>
          <w:sz w:val="30"/>
          <w:szCs w:val="30"/>
        </w:rPr>
        <w:t>、江有归、宁波章鱼控股有限公司以及公司时任财务总监</w:t>
      </w:r>
      <w:r w:rsidRPr="00AB4AA0">
        <w:rPr>
          <w:rFonts w:ascii="仿宋_GB2312" w:eastAsia="仿宋_GB2312" w:hint="eastAsia"/>
          <w:sz w:val="30"/>
          <w:szCs w:val="30"/>
        </w:rPr>
        <w:t>王坚</w:t>
      </w:r>
      <w:r>
        <w:rPr>
          <w:rFonts w:ascii="仿宋_GB2312" w:eastAsia="仿宋_GB2312" w:hint="eastAsia"/>
          <w:sz w:val="30"/>
          <w:szCs w:val="30"/>
        </w:rPr>
        <w:t>予以监管关注。</w:t>
      </w:r>
    </w:p>
    <w:p w:rsidR="00542448" w:rsidRDefault="00542448" w:rsidP="00122B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公司应当引以为戒，严格按照法律、法规和《股票上市规则》</w:t>
      </w:r>
      <w:r>
        <w:rPr>
          <w:rFonts w:ascii="仿宋_GB2312" w:eastAsia="仿宋_GB2312" w:hint="eastAsia"/>
          <w:sz w:val="30"/>
          <w:szCs w:val="30"/>
        </w:rPr>
        <w:lastRenderedPageBreak/>
        <w:t>的规定，规范运作，认真履行信息披露义务；董事、监事、高级管理人员应当履行忠实勤勉义务，促使公司规范运作，并保证公司及时、公平、真实、准确和完整地披露所有重大信息。</w:t>
      </w: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122BD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  <w:r w:rsidRPr="00122BD8">
        <w:rPr>
          <w:rFonts w:ascii="宋体" w:hAnsi="宋体"/>
          <w:noProof/>
          <w:sz w:val="28"/>
        </w:rPr>
        <w:drawing>
          <wp:anchor distT="0" distB="0" distL="114300" distR="114300" simplePos="0" relativeHeight="251665408" behindDoc="0" locked="0" layoutInCell="1" allowOverlap="1" wp14:anchorId="463557C8" wp14:editId="0775803B">
            <wp:simplePos x="0" y="0"/>
            <wp:positionH relativeFrom="margin">
              <wp:posOffset>3307620</wp:posOffset>
            </wp:positionH>
            <wp:positionV relativeFrom="paragraph">
              <wp:posOffset>48283</wp:posOffset>
            </wp:positionV>
            <wp:extent cx="1796431" cy="1755971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65930">
                      <a:off x="0" y="0"/>
                      <a:ext cx="1796431" cy="175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448" w:rsidRPr="00802084" w:rsidRDefault="00542448" w:rsidP="00542448">
      <w:pPr>
        <w:spacing w:line="600" w:lineRule="exact"/>
        <w:ind w:rightChars="1" w:right="2"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 w:rsidRPr="00802084">
        <w:rPr>
          <w:rFonts w:ascii="仿宋_GB2312" w:eastAsia="仿宋_GB2312" w:hAnsi="宋体" w:hint="eastAsia"/>
          <w:sz w:val="30"/>
          <w:szCs w:val="30"/>
        </w:rPr>
        <w:t>上海证券交易所</w:t>
      </w:r>
      <w:r>
        <w:rPr>
          <w:rFonts w:ascii="仿宋_GB2312" w:eastAsia="仿宋_GB2312" w:hAnsi="宋体" w:hint="eastAsia"/>
          <w:sz w:val="30"/>
          <w:szCs w:val="30"/>
        </w:rPr>
        <w:t>上市公司监管一部</w:t>
      </w:r>
    </w:p>
    <w:p w:rsidR="00542448" w:rsidRPr="004E2F6D" w:rsidRDefault="00542448" w:rsidP="00122BD8">
      <w:pPr>
        <w:rPr>
          <w:rFonts w:ascii="仿宋_GB2312" w:eastAsia="仿宋_GB2312"/>
          <w:sz w:val="30"/>
          <w:szCs w:val="30"/>
        </w:rPr>
      </w:pPr>
      <w:bookmarkStart w:id="1" w:name="大写年份"/>
      <w:r>
        <w:rPr>
          <w:rFonts w:ascii="仿宋_GB2312" w:eastAsia="仿宋_GB2312" w:hint="eastAsia"/>
          <w:sz w:val="30"/>
          <w:szCs w:val="30"/>
        </w:rPr>
        <w:t xml:space="preserve">                               二</w:t>
      </w:r>
      <w:r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</w:rPr>
        <w:t>一七年九月十二日</w:t>
      </w:r>
      <w:bookmarkEnd w:id="1"/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Default="00542448" w:rsidP="00542448">
      <w:pPr>
        <w:spacing w:line="600" w:lineRule="exact"/>
        <w:ind w:rightChars="338" w:right="710" w:firstLineChars="200" w:firstLine="560"/>
        <w:jc w:val="right"/>
        <w:rPr>
          <w:rFonts w:ascii="宋体" w:hAnsi="宋体"/>
          <w:sz w:val="28"/>
        </w:rPr>
      </w:pPr>
    </w:p>
    <w:p w:rsidR="00542448" w:rsidRPr="00647C9A" w:rsidRDefault="00EA0D3B" w:rsidP="00542448">
      <w:pPr>
        <w:spacing w:line="600" w:lineRule="exact"/>
        <w:ind w:rightChars="338" w:right="710" w:firstLineChars="200" w:firstLine="400"/>
        <w:jc w:val="right"/>
        <w:rPr>
          <w:rFonts w:ascii="宋体" w:hAnsi="宋体"/>
          <w:sz w:val="28"/>
        </w:rPr>
      </w:pPr>
      <w:r>
        <w:rPr>
          <w:rFonts w:ascii="宋体" w:hAnsi="宋体"/>
          <w:noProof/>
          <w:sz w:val="20"/>
        </w:rPr>
        <w:pict>
          <v:line id="_x0000_s1028" style="position:absolute;left:0;text-align:left;z-index:251661312" from="0,25.7pt" to="450pt,25.7pt"/>
        </w:pict>
      </w:r>
    </w:p>
    <w:p w:rsidR="00542448" w:rsidRDefault="00542448">
      <w:pPr>
        <w:spacing w:line="600" w:lineRule="exact"/>
        <w:ind w:rightChars="-27" w:right="-57"/>
        <w:rPr>
          <w:rFonts w:ascii="仿宋_GB2312" w:eastAsia="仿宋_GB2312" w:hAnsi="宋体"/>
          <w:sz w:val="24"/>
        </w:rPr>
      </w:pPr>
      <w:r w:rsidRPr="00B816E3">
        <w:rPr>
          <w:rFonts w:ascii="仿宋_GB2312" w:eastAsia="仿宋_GB2312" w:hAnsi="宋体" w:hint="eastAsia"/>
          <w:sz w:val="24"/>
        </w:rPr>
        <w:t>抄报：中国证监会</w:t>
      </w:r>
      <w:r>
        <w:rPr>
          <w:rFonts w:ascii="仿宋_GB2312" w:eastAsia="仿宋_GB2312" w:hAnsi="宋体" w:hint="eastAsia"/>
          <w:sz w:val="24"/>
        </w:rPr>
        <w:t>上市公司监管部</w:t>
      </w:r>
    </w:p>
    <w:p w:rsidR="00F41F0D" w:rsidRPr="00CD2550" w:rsidRDefault="00542448">
      <w:pPr>
        <w:spacing w:line="600" w:lineRule="exact"/>
        <w:ind w:rightChars="-27" w:right="-57"/>
      </w:pPr>
      <w:r w:rsidRPr="00B816E3">
        <w:rPr>
          <w:rFonts w:ascii="仿宋_GB2312" w:eastAsia="仿宋_GB2312" w:hAnsi="宋体" w:hint="eastAsia"/>
          <w:sz w:val="24"/>
        </w:rPr>
        <w:t>抄送：中国证监会</w:t>
      </w:r>
      <w:r>
        <w:rPr>
          <w:rFonts w:ascii="仿宋_GB2312" w:eastAsia="仿宋_GB2312" w:hAnsi="宋体" w:hint="eastAsia"/>
          <w:sz w:val="24"/>
        </w:rPr>
        <w:t>浙江</w:t>
      </w:r>
      <w:r w:rsidRPr="00B816E3">
        <w:rPr>
          <w:rFonts w:ascii="仿宋_GB2312" w:eastAsia="仿宋_GB2312" w:hAnsi="宋体" w:hint="eastAsia"/>
          <w:sz w:val="24"/>
        </w:rPr>
        <w:t>监管局上市处</w:t>
      </w:r>
    </w:p>
    <w:sectPr w:rsidR="00F41F0D" w:rsidRPr="00CD2550" w:rsidSect="00E15BA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3B" w:rsidRDefault="00EA0D3B" w:rsidP="002C27AC">
      <w:r>
        <w:separator/>
      </w:r>
    </w:p>
  </w:endnote>
  <w:endnote w:type="continuationSeparator" w:id="0">
    <w:p w:rsidR="00EA0D3B" w:rsidRDefault="00EA0D3B" w:rsidP="002C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368900"/>
      <w:docPartObj>
        <w:docPartGallery w:val="Page Numbers (Bottom of Page)"/>
        <w:docPartUnique/>
      </w:docPartObj>
    </w:sdtPr>
    <w:sdtEndPr/>
    <w:sdtContent>
      <w:p w:rsidR="0018122F" w:rsidRDefault="00E116EC">
        <w:pPr>
          <w:pStyle w:val="a4"/>
          <w:jc w:val="center"/>
        </w:pPr>
        <w:r>
          <w:fldChar w:fldCharType="begin"/>
        </w:r>
        <w:r w:rsidR="0018122F">
          <w:instrText xml:space="preserve"> PAGE   \* MERGEFORMAT </w:instrText>
        </w:r>
        <w:r>
          <w:fldChar w:fldCharType="separate"/>
        </w:r>
        <w:r w:rsidR="00122BD8" w:rsidRPr="00122BD8">
          <w:rPr>
            <w:noProof/>
            <w:lang w:val="zh-CN"/>
          </w:rPr>
          <w:t>3</w:t>
        </w:r>
        <w:r>
          <w:fldChar w:fldCharType="end"/>
        </w:r>
      </w:p>
    </w:sdtContent>
  </w:sdt>
  <w:p w:rsidR="00E13A32" w:rsidRDefault="00E13A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3B" w:rsidRDefault="00EA0D3B" w:rsidP="002C27AC">
      <w:r>
        <w:separator/>
      </w:r>
    </w:p>
  </w:footnote>
  <w:footnote w:type="continuationSeparator" w:id="0">
    <w:p w:rsidR="00EA0D3B" w:rsidRDefault="00EA0D3B" w:rsidP="002C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D58"/>
    <w:rsid w:val="000C39C4"/>
    <w:rsid w:val="001046C5"/>
    <w:rsid w:val="00122BD8"/>
    <w:rsid w:val="0018122F"/>
    <w:rsid w:val="002B3CBC"/>
    <w:rsid w:val="002C27AC"/>
    <w:rsid w:val="00492FC6"/>
    <w:rsid w:val="004B4043"/>
    <w:rsid w:val="004E65A6"/>
    <w:rsid w:val="00542448"/>
    <w:rsid w:val="00565329"/>
    <w:rsid w:val="00565F8D"/>
    <w:rsid w:val="005A5000"/>
    <w:rsid w:val="00673690"/>
    <w:rsid w:val="0069382D"/>
    <w:rsid w:val="006B3D58"/>
    <w:rsid w:val="0082407D"/>
    <w:rsid w:val="00974BE3"/>
    <w:rsid w:val="009F7289"/>
    <w:rsid w:val="00A05670"/>
    <w:rsid w:val="00B944DA"/>
    <w:rsid w:val="00C429F3"/>
    <w:rsid w:val="00CD2550"/>
    <w:rsid w:val="00DF240F"/>
    <w:rsid w:val="00E116EC"/>
    <w:rsid w:val="00E13A32"/>
    <w:rsid w:val="00E15BAD"/>
    <w:rsid w:val="00EA0D3B"/>
    <w:rsid w:val="00F1461F"/>
    <w:rsid w:val="00F4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7AC"/>
    <w:rPr>
      <w:sz w:val="18"/>
      <w:szCs w:val="18"/>
    </w:rPr>
  </w:style>
  <w:style w:type="paragraph" w:styleId="a5">
    <w:name w:val="Block Text"/>
    <w:basedOn w:val="a"/>
    <w:rsid w:val="002C27AC"/>
    <w:pPr>
      <w:spacing w:line="360" w:lineRule="auto"/>
      <w:ind w:leftChars="400" w:left="840" w:rightChars="400" w:right="840"/>
      <w:jc w:val="center"/>
    </w:pPr>
    <w:rPr>
      <w:sz w:val="36"/>
    </w:rPr>
  </w:style>
  <w:style w:type="character" w:customStyle="1" w:styleId="afont1">
    <w:name w:val="afont1"/>
    <w:basedOn w:val="a0"/>
    <w:rsid w:val="002C27AC"/>
    <w:rPr>
      <w:rFonts w:ascii="Arial Narrow" w:hAnsi="Arial Narrow" w:hint="default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5A50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50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7AC"/>
    <w:rPr>
      <w:sz w:val="18"/>
      <w:szCs w:val="18"/>
    </w:rPr>
  </w:style>
  <w:style w:type="paragraph" w:styleId="a5">
    <w:name w:val="Block Text"/>
    <w:basedOn w:val="a"/>
    <w:rsid w:val="002C27AC"/>
    <w:pPr>
      <w:spacing w:line="360" w:lineRule="auto"/>
      <w:ind w:leftChars="400" w:left="840" w:rightChars="400" w:right="840"/>
      <w:jc w:val="center"/>
    </w:pPr>
    <w:rPr>
      <w:sz w:val="36"/>
    </w:rPr>
  </w:style>
  <w:style w:type="character" w:customStyle="1" w:styleId="afont1">
    <w:name w:val="afont1"/>
    <w:basedOn w:val="a0"/>
    <w:rsid w:val="002C27AC"/>
    <w:rPr>
      <w:rFonts w:ascii="Arial Narrow" w:hAnsi="Arial Narrow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35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张春芳(复核)</dc:creator>
  <cp:keywords/>
  <dc:description/>
  <cp:lastModifiedBy>朱瑶(修改申请)</cp:lastModifiedBy>
  <cp:revision>15</cp:revision>
  <cp:lastPrinted>2017-09-12T08:01:00Z</cp:lastPrinted>
  <dcterms:created xsi:type="dcterms:W3CDTF">2013-10-31T01:49:00Z</dcterms:created>
  <dcterms:modified xsi:type="dcterms:W3CDTF">2017-09-14T02:57:00Z</dcterms:modified>
</cp:coreProperties>
</file>