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6" w:rsidRDefault="005A31F2">
      <w:pPr>
        <w:spacing w:line="360" w:lineRule="auto"/>
        <w:ind w:rightChars="-27" w:right="-57"/>
        <w:jc w:val="left"/>
        <w:rPr>
          <w:rFonts w:ascii="仿宋_GB2312" w:eastAsia="仿宋_GB2312" w:hAnsi="宋体"/>
          <w:sz w:val="30"/>
          <w:szCs w:val="30"/>
        </w:rPr>
      </w:pPr>
      <w:r>
        <w:rPr>
          <w:rFonts w:ascii="仿宋_GB2312" w:eastAsia="仿宋_GB2312" w:hAnsi="宋体" w:hint="eastAsia"/>
          <w:sz w:val="30"/>
          <w:szCs w:val="30"/>
        </w:rPr>
        <w:t>附件</w:t>
      </w:r>
      <w:r w:rsidR="00FB7A26">
        <w:rPr>
          <w:rFonts w:ascii="仿宋_GB2312" w:eastAsia="仿宋_GB2312" w:hAnsi="宋体" w:hint="eastAsia"/>
          <w:sz w:val="30"/>
          <w:szCs w:val="30"/>
        </w:rPr>
        <w:t>：</w:t>
      </w:r>
    </w:p>
    <w:p w:rsidR="00FB7A26" w:rsidRDefault="00FB7A26">
      <w:pPr>
        <w:spacing w:line="360" w:lineRule="auto"/>
        <w:ind w:rightChars="-27" w:right="-57"/>
        <w:rPr>
          <w:rFonts w:ascii="黑体" w:eastAsia="黑体" w:hAnsi="黑体"/>
          <w:bCs/>
          <w:sz w:val="44"/>
          <w:szCs w:val="44"/>
          <w:lang w:eastAsia="zh-CN"/>
        </w:rPr>
      </w:pPr>
    </w:p>
    <w:p w:rsidR="00FB7A26" w:rsidRDefault="00FB7A26">
      <w:pPr>
        <w:spacing w:line="360" w:lineRule="auto"/>
        <w:jc w:val="center"/>
        <w:rPr>
          <w:rFonts w:ascii="黑体" w:eastAsia="黑体" w:hAnsi="黑体"/>
          <w:bCs/>
          <w:sz w:val="44"/>
          <w:szCs w:val="44"/>
        </w:rPr>
      </w:pPr>
      <w:r w:rsidRPr="005D4199">
        <w:rPr>
          <w:rFonts w:ascii="黑体" w:eastAsia="黑体" w:hAnsi="黑体" w:hint="eastAsia"/>
          <w:bCs/>
          <w:sz w:val="44"/>
          <w:szCs w:val="44"/>
        </w:rPr>
        <w:t>关于对山东新潮能源股份有限公司及有关责任人予以公开谴责的意向书</w:t>
      </w:r>
    </w:p>
    <w:p w:rsidR="00FB7A26" w:rsidRDefault="00FB7A26">
      <w:pPr>
        <w:spacing w:line="360" w:lineRule="auto"/>
        <w:jc w:val="center"/>
        <w:rPr>
          <w:rFonts w:ascii="黑体" w:eastAsia="黑体" w:hAnsi="黑体"/>
          <w:bCs/>
          <w:sz w:val="44"/>
          <w:szCs w:val="44"/>
        </w:rPr>
      </w:pPr>
    </w:p>
    <w:p w:rsidR="00FB7A26" w:rsidRDefault="00FB7A26" w:rsidP="005A31F2">
      <w:pPr>
        <w:snapToGrid w:val="0"/>
        <w:spacing w:line="360" w:lineRule="auto"/>
        <w:rPr>
          <w:rFonts w:ascii="仿宋_GB2312" w:eastAsia="仿宋_GB2312" w:hAnsi="宋体"/>
          <w:sz w:val="30"/>
          <w:szCs w:val="30"/>
          <w:lang w:eastAsia="zh-CN"/>
        </w:rPr>
      </w:pPr>
      <w:r w:rsidRPr="005D4199">
        <w:rPr>
          <w:rFonts w:ascii="仿宋_GB2312" w:eastAsia="仿宋_GB2312" w:hAnsi="宋体" w:hint="eastAsia"/>
          <w:sz w:val="30"/>
          <w:szCs w:val="30"/>
          <w:lang w:eastAsia="zh-CN"/>
        </w:rPr>
        <w:t>山东新潮能源股份有限公司</w:t>
      </w:r>
      <w:r>
        <w:rPr>
          <w:rFonts w:ascii="仿宋_GB2312" w:eastAsia="仿宋_GB2312" w:hAnsi="宋体" w:hint="eastAsia"/>
          <w:sz w:val="30"/>
          <w:szCs w:val="30"/>
          <w:lang w:eastAsia="zh-CN"/>
        </w:rPr>
        <w:t>及时任</w:t>
      </w:r>
      <w:r>
        <w:rPr>
          <w:rFonts w:ascii="仿宋_GB2312" w:eastAsia="仿宋_GB2312" w:hAnsi="宋体"/>
          <w:sz w:val="30"/>
          <w:szCs w:val="30"/>
          <w:lang w:eastAsia="zh-CN"/>
        </w:rPr>
        <w:t>董事长</w:t>
      </w:r>
      <w:r w:rsidRPr="005D4199">
        <w:rPr>
          <w:rFonts w:ascii="仿宋_GB2312" w:eastAsia="仿宋_GB2312" w:hAnsi="宋体" w:hint="eastAsia"/>
          <w:sz w:val="30"/>
          <w:szCs w:val="30"/>
          <w:lang w:eastAsia="zh-CN"/>
        </w:rPr>
        <w:t>黄万珍</w:t>
      </w:r>
      <w:r>
        <w:rPr>
          <w:rFonts w:ascii="仿宋_GB2312" w:eastAsia="仿宋_GB2312" w:hAnsi="宋体" w:hint="eastAsia"/>
          <w:sz w:val="30"/>
          <w:szCs w:val="30"/>
          <w:lang w:eastAsia="zh-CN"/>
        </w:rPr>
        <w:t>、总经理</w:t>
      </w:r>
      <w:r w:rsidRPr="005D4199">
        <w:rPr>
          <w:rFonts w:ascii="仿宋_GB2312" w:eastAsia="仿宋_GB2312" w:hAnsi="宋体" w:hint="eastAsia"/>
          <w:sz w:val="30"/>
          <w:szCs w:val="30"/>
          <w:lang w:eastAsia="zh-CN"/>
        </w:rPr>
        <w:t>胡广军</w:t>
      </w:r>
      <w:r>
        <w:rPr>
          <w:rFonts w:ascii="仿宋_GB2312" w:eastAsia="仿宋_GB2312" w:hAnsi="宋体" w:hint="eastAsia"/>
          <w:sz w:val="30"/>
          <w:szCs w:val="30"/>
          <w:lang w:eastAsia="zh-CN"/>
        </w:rPr>
        <w:t>、监事</w:t>
      </w:r>
      <w:r w:rsidRPr="005D4199">
        <w:rPr>
          <w:rFonts w:ascii="仿宋_GB2312" w:eastAsia="仿宋_GB2312" w:hAnsi="宋体" w:hint="eastAsia"/>
          <w:sz w:val="30"/>
          <w:szCs w:val="30"/>
          <w:lang w:eastAsia="zh-CN"/>
        </w:rPr>
        <w:t>杨毅</w:t>
      </w:r>
      <w:r>
        <w:rPr>
          <w:rFonts w:ascii="仿宋_GB2312" w:eastAsia="仿宋_GB2312" w:hAnsi="宋体" w:hint="eastAsia"/>
          <w:sz w:val="30"/>
          <w:szCs w:val="30"/>
          <w:lang w:eastAsia="zh-CN"/>
        </w:rPr>
        <w:t>：</w:t>
      </w:r>
    </w:p>
    <w:p w:rsidR="00FB7A26" w:rsidRDefault="00FB7A26" w:rsidP="005A31F2">
      <w:pPr>
        <w:snapToGrid w:val="0"/>
        <w:spacing w:line="360" w:lineRule="auto"/>
        <w:ind w:firstLine="601"/>
        <w:rPr>
          <w:rFonts w:ascii="仿宋_GB2312" w:eastAsia="仿宋_GB2312" w:hAnsi="宋体"/>
          <w:sz w:val="30"/>
          <w:szCs w:val="30"/>
          <w:lang w:eastAsia="zh-CN"/>
        </w:rPr>
      </w:pPr>
      <w:r>
        <w:rPr>
          <w:rFonts w:ascii="仿宋_GB2312" w:eastAsia="仿宋_GB2312" w:hAnsi="宋体" w:hint="eastAsia"/>
          <w:sz w:val="30"/>
          <w:szCs w:val="30"/>
          <w:lang w:eastAsia="zh-CN"/>
        </w:rPr>
        <w:t>根据</w:t>
      </w:r>
      <w:r w:rsidRPr="005D4199">
        <w:rPr>
          <w:rFonts w:ascii="仿宋_GB2312" w:eastAsia="仿宋_GB2312" w:hAnsi="宋体" w:hint="eastAsia"/>
          <w:sz w:val="30"/>
          <w:szCs w:val="30"/>
          <w:lang w:eastAsia="zh-CN"/>
        </w:rPr>
        <w:t>中国证监会《行政处罚事先告知书》</w:t>
      </w:r>
      <w:r>
        <w:rPr>
          <w:rFonts w:ascii="仿宋_GB2312" w:eastAsia="仿宋_GB2312" w:hAnsi="宋体" w:hint="eastAsia"/>
          <w:sz w:val="30"/>
          <w:szCs w:val="30"/>
          <w:lang w:eastAsia="zh-CN"/>
        </w:rPr>
        <w:t>（</w:t>
      </w:r>
      <w:r w:rsidRPr="005D4199">
        <w:rPr>
          <w:rFonts w:ascii="仿宋_GB2312" w:eastAsia="仿宋_GB2312" w:hAnsi="宋体" w:hint="eastAsia"/>
          <w:sz w:val="30"/>
          <w:szCs w:val="30"/>
          <w:lang w:eastAsia="zh-CN"/>
        </w:rPr>
        <w:t>处罚字[2021]74号</w:t>
      </w:r>
      <w:r>
        <w:rPr>
          <w:rFonts w:ascii="仿宋_GB2312" w:eastAsia="仿宋_GB2312" w:hAnsi="宋体" w:hint="eastAsia"/>
          <w:sz w:val="30"/>
          <w:szCs w:val="30"/>
          <w:lang w:eastAsia="zh-CN"/>
        </w:rPr>
        <w:t>）</w:t>
      </w:r>
      <w:r>
        <w:rPr>
          <w:rFonts w:ascii="仿宋_GB2312" w:eastAsia="仿宋_GB2312" w:hAnsi="宋体"/>
          <w:sz w:val="30"/>
          <w:szCs w:val="30"/>
          <w:lang w:eastAsia="zh-CN"/>
        </w:rPr>
        <w:t>查明的事实，</w:t>
      </w:r>
      <w:r w:rsidRPr="005D4199">
        <w:rPr>
          <w:rFonts w:ascii="仿宋_GB2312" w:eastAsia="仿宋_GB2312" w:hAnsi="宋体" w:hint="eastAsia"/>
          <w:sz w:val="30"/>
          <w:szCs w:val="30"/>
          <w:lang w:eastAsia="zh-CN"/>
        </w:rPr>
        <w:t>2016年6月1日，北京恒天龙鼎投资管理中心（有限合伙）（以下简称恒天龙鼎）与上海</w:t>
      </w:r>
      <w:r w:rsidRPr="005D4199">
        <w:rPr>
          <w:rFonts w:ascii="微软雅黑" w:eastAsia="微软雅黑" w:hAnsi="微软雅黑" w:cs="微软雅黑" w:hint="eastAsia"/>
          <w:sz w:val="30"/>
          <w:szCs w:val="30"/>
          <w:lang w:eastAsia="zh-CN"/>
        </w:rPr>
        <w:t>珺</w:t>
      </w:r>
      <w:r w:rsidRPr="005D4199">
        <w:rPr>
          <w:rFonts w:ascii="仿宋_GB2312" w:eastAsia="仿宋_GB2312" w:hAnsi="仿宋_GB2312" w:cs="仿宋_GB2312" w:hint="eastAsia"/>
          <w:sz w:val="30"/>
          <w:szCs w:val="30"/>
          <w:lang w:eastAsia="zh-CN"/>
        </w:rPr>
        <w:t>容资产管理有限公司签订《</w:t>
      </w:r>
      <w:r w:rsidRPr="005D4199">
        <w:rPr>
          <w:rFonts w:ascii="微软雅黑" w:eastAsia="微软雅黑" w:hAnsi="微软雅黑" w:cs="微软雅黑" w:hint="eastAsia"/>
          <w:sz w:val="30"/>
          <w:szCs w:val="30"/>
          <w:lang w:eastAsia="zh-CN"/>
        </w:rPr>
        <w:t>珺</w:t>
      </w:r>
      <w:r w:rsidRPr="005D4199">
        <w:rPr>
          <w:rFonts w:ascii="仿宋_GB2312" w:eastAsia="仿宋_GB2312" w:hAnsi="仿宋_GB2312" w:cs="仿宋_GB2312" w:hint="eastAsia"/>
          <w:sz w:val="30"/>
          <w:szCs w:val="30"/>
          <w:lang w:eastAsia="zh-CN"/>
        </w:rPr>
        <w:t>容战略资源</w:t>
      </w:r>
      <w:r w:rsidRPr="005D4199">
        <w:rPr>
          <w:rFonts w:ascii="仿宋_GB2312" w:eastAsia="仿宋_GB2312" w:hAnsi="宋体" w:hint="eastAsia"/>
          <w:sz w:val="30"/>
          <w:szCs w:val="30"/>
          <w:lang w:eastAsia="zh-CN"/>
        </w:rPr>
        <w:t>5号基金基金合同》（以下简称</w:t>
      </w:r>
      <w:r w:rsidRPr="005D4199">
        <w:rPr>
          <w:rFonts w:ascii="微软雅黑" w:eastAsia="微软雅黑" w:hAnsi="微软雅黑" w:cs="微软雅黑" w:hint="eastAsia"/>
          <w:sz w:val="30"/>
          <w:szCs w:val="30"/>
          <w:lang w:eastAsia="zh-CN"/>
        </w:rPr>
        <w:t>珺</w:t>
      </w:r>
      <w:r w:rsidRPr="005D4199">
        <w:rPr>
          <w:rFonts w:ascii="仿宋_GB2312" w:eastAsia="仿宋_GB2312" w:hAnsi="仿宋_GB2312" w:cs="仿宋_GB2312" w:hint="eastAsia"/>
          <w:sz w:val="30"/>
          <w:szCs w:val="30"/>
          <w:lang w:eastAsia="zh-CN"/>
        </w:rPr>
        <w:t>容</w:t>
      </w:r>
      <w:r w:rsidRPr="005D4199">
        <w:rPr>
          <w:rFonts w:ascii="仿宋_GB2312" w:eastAsia="仿宋_GB2312" w:hAnsi="宋体" w:hint="eastAsia"/>
          <w:sz w:val="30"/>
          <w:szCs w:val="30"/>
          <w:lang w:eastAsia="zh-CN"/>
        </w:rPr>
        <w:t>5号）, 恒天龙鼎出资5亿元作为优先级投资人，参与山东新潮能源股份有限公司</w:t>
      </w:r>
      <w:r>
        <w:rPr>
          <w:rFonts w:ascii="仿宋_GB2312" w:eastAsia="仿宋_GB2312" w:hAnsi="宋体" w:hint="eastAsia"/>
          <w:sz w:val="30"/>
          <w:szCs w:val="30"/>
          <w:lang w:eastAsia="zh-CN"/>
        </w:rPr>
        <w:t>（</w:t>
      </w:r>
      <w:r>
        <w:rPr>
          <w:rFonts w:ascii="仿宋_GB2312" w:eastAsia="仿宋_GB2312" w:hAnsi="宋体"/>
          <w:sz w:val="30"/>
          <w:szCs w:val="30"/>
          <w:lang w:eastAsia="zh-CN"/>
        </w:rPr>
        <w:t>以下简称</w:t>
      </w:r>
      <w:r w:rsidRPr="005D4199">
        <w:rPr>
          <w:rFonts w:ascii="仿宋_GB2312" w:eastAsia="仿宋_GB2312" w:hAnsi="宋体" w:hint="eastAsia"/>
          <w:sz w:val="30"/>
          <w:szCs w:val="30"/>
          <w:lang w:eastAsia="zh-CN"/>
        </w:rPr>
        <w:t>新潮能源</w:t>
      </w:r>
      <w:r>
        <w:rPr>
          <w:rFonts w:ascii="仿宋_GB2312" w:eastAsia="仿宋_GB2312" w:hAnsi="宋体" w:hint="eastAsia"/>
          <w:sz w:val="30"/>
          <w:szCs w:val="30"/>
          <w:lang w:eastAsia="zh-CN"/>
        </w:rPr>
        <w:t>或</w:t>
      </w:r>
      <w:r>
        <w:rPr>
          <w:rFonts w:ascii="仿宋_GB2312" w:eastAsia="仿宋_GB2312" w:hAnsi="宋体"/>
          <w:sz w:val="30"/>
          <w:szCs w:val="30"/>
          <w:lang w:eastAsia="zh-CN"/>
        </w:rPr>
        <w:t>公司）</w:t>
      </w:r>
      <w:r w:rsidRPr="005D4199">
        <w:rPr>
          <w:rFonts w:ascii="仿宋_GB2312" w:eastAsia="仿宋_GB2312" w:hAnsi="宋体" w:hint="eastAsia"/>
          <w:sz w:val="30"/>
          <w:szCs w:val="30"/>
          <w:lang w:eastAsia="zh-CN"/>
        </w:rPr>
        <w:t>非公开发行股份收购资产项目。</w:t>
      </w:r>
    </w:p>
    <w:p w:rsidR="00FB7A26" w:rsidRDefault="00FB7A26" w:rsidP="005A31F2">
      <w:pPr>
        <w:snapToGrid w:val="0"/>
        <w:spacing w:line="360" w:lineRule="auto"/>
        <w:ind w:firstLine="600"/>
        <w:rPr>
          <w:rFonts w:ascii="仿宋_GB2312" w:eastAsia="仿宋_GB2312" w:hAnsi="宋体"/>
          <w:sz w:val="30"/>
          <w:szCs w:val="30"/>
          <w:lang w:eastAsia="zh-CN"/>
        </w:rPr>
      </w:pPr>
      <w:r w:rsidRPr="005D4199">
        <w:rPr>
          <w:rFonts w:ascii="仿宋_GB2312" w:eastAsia="仿宋_GB2312" w:hAnsi="宋体" w:hint="eastAsia"/>
          <w:sz w:val="30"/>
          <w:szCs w:val="30"/>
          <w:lang w:eastAsia="zh-CN"/>
        </w:rPr>
        <w:t>2016年6月13日，恒天龙鼎与北京正和兴业投资管理有限公司（以下简称正和兴业）签订《回购协议》，约定正和兴业在恒天龙鼎支付5亿元基金认购价款之日起9个月内一次性回购其基金份额，并约定由三家公司及两名自然人提供无限连带责任保证担保。此后，恒天龙鼎与前述五方签署了《保证合同》。2017年10月，恒天龙鼎向恒天中岩投资管理有限公司（以下简称恒天中岩）转让全部</w:t>
      </w:r>
      <w:r w:rsidRPr="005D4199">
        <w:rPr>
          <w:rFonts w:ascii="微软雅黑" w:eastAsia="微软雅黑" w:hAnsi="微软雅黑" w:cs="微软雅黑" w:hint="eastAsia"/>
          <w:sz w:val="30"/>
          <w:szCs w:val="30"/>
          <w:lang w:eastAsia="zh-CN"/>
        </w:rPr>
        <w:t>珺</w:t>
      </w:r>
      <w:r w:rsidRPr="005D4199">
        <w:rPr>
          <w:rFonts w:ascii="仿宋_GB2312" w:eastAsia="仿宋_GB2312" w:hAnsi="仿宋_GB2312" w:cs="仿宋_GB2312" w:hint="eastAsia"/>
          <w:sz w:val="30"/>
          <w:szCs w:val="30"/>
          <w:lang w:eastAsia="zh-CN"/>
        </w:rPr>
        <w:t>容</w:t>
      </w:r>
      <w:r w:rsidRPr="005D4199">
        <w:rPr>
          <w:rFonts w:ascii="仿宋_GB2312" w:eastAsia="仿宋_GB2312" w:hAnsi="宋体" w:hint="eastAsia"/>
          <w:sz w:val="30"/>
          <w:szCs w:val="30"/>
          <w:lang w:eastAsia="zh-CN"/>
        </w:rPr>
        <w:t>5号基金份额。恒天中岩亦与正和兴业签订《回购协议》，约定正和兴业回购恒天中岩持有的</w:t>
      </w:r>
      <w:r w:rsidRPr="005D4199">
        <w:rPr>
          <w:rFonts w:ascii="微软雅黑" w:eastAsia="微软雅黑" w:hAnsi="微软雅黑" w:cs="微软雅黑" w:hint="eastAsia"/>
          <w:sz w:val="30"/>
          <w:szCs w:val="30"/>
          <w:lang w:eastAsia="zh-CN"/>
        </w:rPr>
        <w:t>珺</w:t>
      </w:r>
      <w:r w:rsidRPr="005D4199">
        <w:rPr>
          <w:rFonts w:ascii="仿宋_GB2312" w:eastAsia="仿宋_GB2312" w:hAnsi="仿宋_GB2312" w:cs="仿宋_GB2312" w:hint="eastAsia"/>
          <w:sz w:val="30"/>
          <w:szCs w:val="30"/>
          <w:lang w:eastAsia="zh-CN"/>
        </w:rPr>
        <w:t>容</w:t>
      </w:r>
      <w:r w:rsidRPr="005D4199">
        <w:rPr>
          <w:rFonts w:ascii="仿宋_GB2312" w:eastAsia="仿宋_GB2312" w:hAnsi="宋体" w:hint="eastAsia"/>
          <w:sz w:val="30"/>
          <w:szCs w:val="30"/>
          <w:lang w:eastAsia="zh-CN"/>
        </w:rPr>
        <w:t>5号基金份额，前述《回购协议》同时</w:t>
      </w:r>
      <w:r w:rsidRPr="005D4199">
        <w:rPr>
          <w:rFonts w:ascii="仿宋_GB2312" w:eastAsia="仿宋_GB2312" w:hAnsi="宋体" w:hint="eastAsia"/>
          <w:sz w:val="30"/>
          <w:szCs w:val="30"/>
          <w:lang w:eastAsia="zh-CN"/>
        </w:rPr>
        <w:lastRenderedPageBreak/>
        <w:t>约定由新潮能源作为保证人提供无限连带责任保证。</w:t>
      </w:r>
    </w:p>
    <w:p w:rsidR="00FB7A26" w:rsidRDefault="00FB7A26" w:rsidP="005A31F2">
      <w:pPr>
        <w:snapToGrid w:val="0"/>
        <w:spacing w:line="360" w:lineRule="auto"/>
        <w:ind w:firstLine="600"/>
        <w:rPr>
          <w:rFonts w:ascii="仿宋_GB2312" w:eastAsia="仿宋_GB2312" w:hAnsi="宋体"/>
          <w:sz w:val="30"/>
          <w:szCs w:val="30"/>
          <w:lang w:eastAsia="zh-CN"/>
        </w:rPr>
      </w:pPr>
      <w:r w:rsidRPr="005D4199">
        <w:rPr>
          <w:rFonts w:ascii="仿宋_GB2312" w:eastAsia="仿宋_GB2312" w:hAnsi="宋体" w:hint="eastAsia"/>
          <w:sz w:val="30"/>
          <w:szCs w:val="30"/>
          <w:lang w:eastAsia="zh-CN"/>
        </w:rPr>
        <w:t>2017年10月14日，新潮能源时任董事长黄万珍、时任总经理胡广军安排时任监事杨毅在《保证合同》上加盖公司公章。前述合同主要内容为：新潮能源作为保证人为正和兴业的履约义务提供担保，担保范围为正和兴业基于《回购协议》所负义务, 担保方式为不可撤销的连带责任保证，保证期间为主合同下的债务履行期限届满之日起两年。</w:t>
      </w:r>
      <w:r>
        <w:rPr>
          <w:rFonts w:ascii="仿宋_GB2312" w:eastAsia="仿宋_GB2312" w:hAnsi="宋体" w:hint="eastAsia"/>
          <w:sz w:val="30"/>
          <w:szCs w:val="30"/>
          <w:lang w:eastAsia="zh-CN"/>
        </w:rPr>
        <w:t>上述</w:t>
      </w:r>
      <w:r>
        <w:rPr>
          <w:rFonts w:ascii="仿宋_GB2312" w:eastAsia="仿宋_GB2312" w:hAnsi="宋体"/>
          <w:sz w:val="30"/>
          <w:szCs w:val="30"/>
          <w:lang w:eastAsia="zh-CN"/>
        </w:rPr>
        <w:t>担保事项</w:t>
      </w:r>
      <w:r>
        <w:rPr>
          <w:rFonts w:ascii="仿宋_GB2312" w:eastAsia="仿宋_GB2312" w:hAnsi="宋体" w:hint="eastAsia"/>
          <w:sz w:val="30"/>
          <w:szCs w:val="30"/>
          <w:lang w:eastAsia="zh-CN"/>
        </w:rPr>
        <w:t>涉及</w:t>
      </w:r>
      <w:r w:rsidRPr="005D4199">
        <w:rPr>
          <w:rFonts w:ascii="仿宋_GB2312" w:eastAsia="仿宋_GB2312" w:hAnsi="宋体" w:hint="eastAsia"/>
          <w:sz w:val="30"/>
          <w:szCs w:val="30"/>
          <w:lang w:eastAsia="zh-CN"/>
        </w:rPr>
        <w:t>金额</w:t>
      </w:r>
      <w:r>
        <w:rPr>
          <w:rFonts w:ascii="仿宋_GB2312" w:eastAsia="仿宋_GB2312" w:hAnsi="宋体" w:hint="eastAsia"/>
          <w:sz w:val="30"/>
          <w:szCs w:val="30"/>
          <w:lang w:eastAsia="zh-CN"/>
        </w:rPr>
        <w:t>为</w:t>
      </w:r>
      <w:r w:rsidRPr="005D4199">
        <w:rPr>
          <w:rFonts w:ascii="仿宋_GB2312" w:eastAsia="仿宋_GB2312" w:hAnsi="宋体" w:hint="eastAsia"/>
          <w:sz w:val="30"/>
          <w:szCs w:val="30"/>
          <w:lang w:eastAsia="zh-CN"/>
        </w:rPr>
        <w:t xml:space="preserve"> 613,337,534.25元，占新潮能源2016年度</w:t>
      </w:r>
      <w:r>
        <w:rPr>
          <w:rFonts w:ascii="仿宋_GB2312" w:eastAsia="仿宋_GB2312" w:hAnsi="宋体" w:hint="eastAsia"/>
          <w:sz w:val="30"/>
          <w:szCs w:val="30"/>
          <w:lang w:eastAsia="zh-CN"/>
        </w:rPr>
        <w:t>末</w:t>
      </w:r>
      <w:r w:rsidRPr="005D4199">
        <w:rPr>
          <w:rFonts w:ascii="仿宋_GB2312" w:eastAsia="仿宋_GB2312" w:hAnsi="宋体" w:hint="eastAsia"/>
          <w:sz w:val="30"/>
          <w:szCs w:val="30"/>
          <w:lang w:eastAsia="zh-CN"/>
        </w:rPr>
        <w:t>经审计净资产的11.24%</w:t>
      </w:r>
      <w:r>
        <w:rPr>
          <w:rFonts w:ascii="仿宋_GB2312" w:eastAsia="仿宋_GB2312" w:hAnsi="宋体" w:hint="eastAsia"/>
          <w:sz w:val="30"/>
          <w:szCs w:val="30"/>
          <w:lang w:eastAsia="zh-CN"/>
        </w:rPr>
        <w:t>，</w:t>
      </w:r>
      <w:r>
        <w:rPr>
          <w:rFonts w:ascii="仿宋_GB2312" w:eastAsia="仿宋_GB2312" w:hAnsi="宋体"/>
          <w:sz w:val="30"/>
          <w:szCs w:val="30"/>
          <w:lang w:eastAsia="zh-CN"/>
        </w:rPr>
        <w:t>已达到</w:t>
      </w:r>
      <w:r>
        <w:rPr>
          <w:rFonts w:ascii="仿宋_GB2312" w:eastAsia="仿宋_GB2312" w:hAnsi="宋体" w:hint="eastAsia"/>
          <w:sz w:val="30"/>
          <w:szCs w:val="30"/>
          <w:lang w:eastAsia="zh-CN"/>
        </w:rPr>
        <w:t>以</w:t>
      </w:r>
      <w:r>
        <w:rPr>
          <w:rFonts w:ascii="仿宋_GB2312" w:eastAsia="仿宋_GB2312" w:hAnsi="宋体"/>
          <w:sz w:val="30"/>
          <w:szCs w:val="30"/>
          <w:lang w:eastAsia="zh-CN"/>
        </w:rPr>
        <w:t>临时公告对外披露</w:t>
      </w:r>
      <w:r>
        <w:rPr>
          <w:rFonts w:ascii="仿宋_GB2312" w:eastAsia="仿宋_GB2312" w:hAnsi="宋体" w:hint="eastAsia"/>
          <w:sz w:val="30"/>
          <w:szCs w:val="30"/>
          <w:lang w:eastAsia="zh-CN"/>
        </w:rPr>
        <w:t>并提请公司</w:t>
      </w:r>
      <w:r>
        <w:rPr>
          <w:rFonts w:ascii="仿宋_GB2312" w:eastAsia="仿宋_GB2312" w:hAnsi="宋体"/>
          <w:sz w:val="30"/>
          <w:szCs w:val="30"/>
          <w:lang w:eastAsia="zh-CN"/>
        </w:rPr>
        <w:t>股东大会审议的标准，但公司在上述事项发生后未</w:t>
      </w:r>
      <w:r>
        <w:rPr>
          <w:rFonts w:ascii="仿宋_GB2312" w:eastAsia="仿宋_GB2312" w:hAnsi="宋体" w:hint="eastAsia"/>
          <w:sz w:val="30"/>
          <w:szCs w:val="30"/>
          <w:lang w:eastAsia="zh-CN"/>
        </w:rPr>
        <w:t>及时</w:t>
      </w:r>
      <w:r>
        <w:rPr>
          <w:rFonts w:ascii="仿宋_GB2312" w:eastAsia="仿宋_GB2312" w:hAnsi="宋体"/>
          <w:sz w:val="30"/>
          <w:szCs w:val="30"/>
          <w:lang w:eastAsia="zh-CN"/>
        </w:rPr>
        <w:t>披露，</w:t>
      </w:r>
      <w:r>
        <w:rPr>
          <w:rFonts w:ascii="仿宋_GB2312" w:eastAsia="仿宋_GB2312" w:hAnsi="宋体" w:hint="eastAsia"/>
          <w:sz w:val="30"/>
          <w:szCs w:val="30"/>
          <w:lang w:eastAsia="zh-CN"/>
        </w:rPr>
        <w:t>也未</w:t>
      </w:r>
      <w:r>
        <w:rPr>
          <w:rFonts w:ascii="仿宋_GB2312" w:eastAsia="仿宋_GB2312" w:hAnsi="宋体"/>
          <w:sz w:val="30"/>
          <w:szCs w:val="30"/>
          <w:lang w:eastAsia="zh-CN"/>
        </w:rPr>
        <w:t>按规定履行</w:t>
      </w:r>
      <w:r>
        <w:rPr>
          <w:rFonts w:ascii="仿宋_GB2312" w:eastAsia="仿宋_GB2312" w:hAnsi="宋体" w:hint="eastAsia"/>
          <w:sz w:val="30"/>
          <w:szCs w:val="30"/>
          <w:lang w:eastAsia="zh-CN"/>
        </w:rPr>
        <w:t>董事会、股东大会决策</w:t>
      </w:r>
      <w:r>
        <w:rPr>
          <w:rFonts w:ascii="仿宋_GB2312" w:eastAsia="仿宋_GB2312" w:hAnsi="宋体"/>
          <w:sz w:val="30"/>
          <w:szCs w:val="30"/>
          <w:lang w:eastAsia="zh-CN"/>
        </w:rPr>
        <w:t>程序，直至</w:t>
      </w:r>
      <w:r w:rsidRPr="005D4199">
        <w:rPr>
          <w:rFonts w:ascii="仿宋_GB2312" w:eastAsia="仿宋_GB2312" w:hAnsi="宋体" w:hint="eastAsia"/>
          <w:sz w:val="30"/>
          <w:szCs w:val="30"/>
          <w:lang w:eastAsia="zh-CN"/>
        </w:rPr>
        <w:t>2018年12月18日</w:t>
      </w:r>
      <w:r>
        <w:rPr>
          <w:rFonts w:ascii="仿宋_GB2312" w:eastAsia="仿宋_GB2312" w:hAnsi="宋体" w:hint="eastAsia"/>
          <w:sz w:val="30"/>
          <w:szCs w:val="30"/>
          <w:lang w:eastAsia="zh-CN"/>
        </w:rPr>
        <w:t>披露</w:t>
      </w:r>
      <w:r>
        <w:rPr>
          <w:rFonts w:ascii="仿宋_GB2312" w:eastAsia="仿宋_GB2312" w:hAnsi="宋体"/>
          <w:sz w:val="30"/>
          <w:szCs w:val="30"/>
          <w:lang w:eastAsia="zh-CN"/>
        </w:rPr>
        <w:t>涉诉公告时，才就上述担保事项对外披露。</w:t>
      </w:r>
      <w:r w:rsidRPr="005D4199">
        <w:rPr>
          <w:rFonts w:ascii="仿宋_GB2312" w:eastAsia="仿宋_GB2312" w:hAnsi="宋体" w:hint="eastAsia"/>
          <w:sz w:val="30"/>
          <w:szCs w:val="30"/>
          <w:lang w:eastAsia="zh-CN"/>
        </w:rPr>
        <w:t>2021年3月22日，恒天中岩</w:t>
      </w:r>
      <w:r>
        <w:rPr>
          <w:rFonts w:ascii="仿宋_GB2312" w:eastAsia="仿宋_GB2312" w:hAnsi="宋体" w:hint="eastAsia"/>
          <w:sz w:val="30"/>
          <w:szCs w:val="30"/>
          <w:lang w:eastAsia="zh-CN"/>
        </w:rPr>
        <w:t>就</w:t>
      </w:r>
      <w:r>
        <w:rPr>
          <w:rFonts w:ascii="仿宋_GB2312" w:eastAsia="仿宋_GB2312" w:hAnsi="宋体"/>
          <w:sz w:val="30"/>
          <w:szCs w:val="30"/>
          <w:lang w:eastAsia="zh-CN"/>
        </w:rPr>
        <w:t>该事项提出撤诉申请。</w:t>
      </w:r>
    </w:p>
    <w:p w:rsidR="00FB7A26" w:rsidRDefault="00FB7A26" w:rsidP="005A31F2">
      <w:pPr>
        <w:snapToGrid w:val="0"/>
        <w:spacing w:line="360" w:lineRule="auto"/>
        <w:ind w:firstLineChars="200" w:firstLine="600"/>
        <w:rPr>
          <w:rFonts w:ascii="仿宋_GB2312" w:eastAsia="仿宋_GB2312" w:hAnsi="宋体"/>
          <w:sz w:val="30"/>
          <w:szCs w:val="30"/>
          <w:lang w:eastAsia="zh-CN"/>
        </w:rPr>
      </w:pPr>
      <w:r w:rsidRPr="004919A5">
        <w:rPr>
          <w:rFonts w:ascii="仿宋_GB2312" w:eastAsia="仿宋_GB2312" w:hAnsi="宋体" w:hint="eastAsia"/>
          <w:sz w:val="30"/>
          <w:szCs w:val="30"/>
          <w:lang w:eastAsia="zh-CN"/>
        </w:rPr>
        <w:t>公司发生</w:t>
      </w:r>
      <w:r w:rsidRPr="004919A5">
        <w:rPr>
          <w:rFonts w:ascii="仿宋_GB2312" w:eastAsia="仿宋_GB2312" w:hAnsi="宋体"/>
          <w:sz w:val="30"/>
          <w:szCs w:val="30"/>
          <w:lang w:eastAsia="zh-CN"/>
        </w:rPr>
        <w:t>对外</w:t>
      </w:r>
      <w:r w:rsidRPr="004919A5">
        <w:rPr>
          <w:rFonts w:ascii="仿宋_GB2312" w:eastAsia="仿宋_GB2312" w:hAnsi="宋体" w:hint="eastAsia"/>
          <w:sz w:val="30"/>
          <w:szCs w:val="30"/>
          <w:lang w:eastAsia="zh-CN"/>
        </w:rPr>
        <w:t>担保</w:t>
      </w:r>
      <w:r w:rsidRPr="004919A5">
        <w:rPr>
          <w:rFonts w:ascii="仿宋_GB2312" w:eastAsia="仿宋_GB2312" w:hAnsi="宋体"/>
          <w:sz w:val="30"/>
          <w:szCs w:val="30"/>
          <w:lang w:eastAsia="zh-CN"/>
        </w:rPr>
        <w:t>事项</w:t>
      </w:r>
      <w:r w:rsidRPr="004919A5">
        <w:rPr>
          <w:rFonts w:ascii="仿宋_GB2312" w:eastAsia="仿宋_GB2312" w:hAnsi="宋体" w:hint="eastAsia"/>
          <w:sz w:val="30"/>
          <w:szCs w:val="30"/>
          <w:lang w:eastAsia="zh-CN"/>
        </w:rPr>
        <w:t>，应当以临时公告的形式及时对外披露</w:t>
      </w:r>
      <w:r w:rsidRPr="004919A5">
        <w:rPr>
          <w:rFonts w:ascii="仿宋_GB2312" w:eastAsia="仿宋_GB2312" w:hAnsi="宋体"/>
          <w:sz w:val="30"/>
          <w:szCs w:val="30"/>
          <w:lang w:eastAsia="zh-CN"/>
        </w:rPr>
        <w:t>，但公司未</w:t>
      </w:r>
      <w:r w:rsidRPr="004919A5">
        <w:rPr>
          <w:rFonts w:ascii="仿宋_GB2312" w:eastAsia="仿宋_GB2312" w:hAnsi="宋体" w:hint="eastAsia"/>
          <w:sz w:val="30"/>
          <w:szCs w:val="30"/>
          <w:lang w:eastAsia="zh-CN"/>
        </w:rPr>
        <w:t>在</w:t>
      </w:r>
      <w:r w:rsidRPr="004919A5">
        <w:rPr>
          <w:rFonts w:ascii="仿宋_GB2312" w:eastAsia="仿宋_GB2312" w:hAnsi="宋体"/>
          <w:sz w:val="30"/>
          <w:szCs w:val="30"/>
          <w:lang w:eastAsia="zh-CN"/>
        </w:rPr>
        <w:t>担保事项发生时</w:t>
      </w:r>
      <w:r w:rsidRPr="004919A5">
        <w:rPr>
          <w:rFonts w:ascii="仿宋_GB2312" w:eastAsia="仿宋_GB2312" w:hAnsi="宋体" w:hint="eastAsia"/>
          <w:sz w:val="30"/>
          <w:szCs w:val="30"/>
          <w:lang w:eastAsia="zh-CN"/>
        </w:rPr>
        <w:t>及时履行信息披露义务。公司未能建立有效的信息沟通和传导机制，内部</w:t>
      </w:r>
      <w:r w:rsidRPr="004919A5">
        <w:rPr>
          <w:rFonts w:ascii="仿宋_GB2312" w:eastAsia="仿宋_GB2312" w:hAnsi="宋体"/>
          <w:sz w:val="30"/>
          <w:szCs w:val="30"/>
          <w:lang w:eastAsia="zh-CN"/>
        </w:rPr>
        <w:t>信息</w:t>
      </w:r>
      <w:r w:rsidRPr="004919A5">
        <w:rPr>
          <w:rFonts w:ascii="仿宋_GB2312" w:eastAsia="仿宋_GB2312" w:hAnsi="宋体" w:hint="eastAsia"/>
          <w:sz w:val="30"/>
          <w:szCs w:val="30"/>
          <w:lang w:eastAsia="zh-CN"/>
        </w:rPr>
        <w:t>披露</w:t>
      </w:r>
      <w:r w:rsidRPr="004919A5">
        <w:rPr>
          <w:rFonts w:ascii="仿宋_GB2312" w:eastAsia="仿宋_GB2312" w:hAnsi="宋体"/>
          <w:sz w:val="30"/>
          <w:szCs w:val="30"/>
          <w:lang w:eastAsia="zh-CN"/>
        </w:rPr>
        <w:t>管理制度</w:t>
      </w:r>
      <w:r w:rsidRPr="004919A5">
        <w:rPr>
          <w:rFonts w:ascii="仿宋_GB2312" w:eastAsia="仿宋_GB2312" w:hAnsi="宋体" w:hint="eastAsia"/>
          <w:sz w:val="30"/>
          <w:szCs w:val="30"/>
          <w:lang w:eastAsia="zh-CN"/>
        </w:rPr>
        <w:t>执行</w:t>
      </w:r>
      <w:r w:rsidRPr="004919A5">
        <w:rPr>
          <w:rFonts w:ascii="仿宋_GB2312" w:eastAsia="仿宋_GB2312" w:hAnsi="宋体"/>
          <w:sz w:val="30"/>
          <w:szCs w:val="30"/>
          <w:lang w:eastAsia="zh-CN"/>
        </w:rPr>
        <w:t>不到位，</w:t>
      </w:r>
      <w:r w:rsidRPr="004919A5">
        <w:rPr>
          <w:rFonts w:ascii="仿宋_GB2312" w:eastAsia="仿宋_GB2312" w:hAnsi="宋体" w:hint="eastAsia"/>
          <w:sz w:val="30"/>
          <w:szCs w:val="30"/>
          <w:lang w:eastAsia="zh-CN"/>
        </w:rPr>
        <w:t>致使相关</w:t>
      </w:r>
      <w:r w:rsidRPr="004919A5">
        <w:rPr>
          <w:rFonts w:ascii="仿宋_GB2312" w:eastAsia="仿宋_GB2312" w:hAnsi="宋体"/>
          <w:sz w:val="30"/>
          <w:szCs w:val="30"/>
          <w:lang w:eastAsia="zh-CN"/>
        </w:rPr>
        <w:t>担保</w:t>
      </w:r>
      <w:r w:rsidRPr="004919A5">
        <w:rPr>
          <w:rFonts w:ascii="仿宋_GB2312" w:eastAsia="仿宋_GB2312" w:hAnsi="宋体" w:hint="eastAsia"/>
          <w:sz w:val="30"/>
          <w:szCs w:val="30"/>
          <w:lang w:eastAsia="zh-CN"/>
        </w:rPr>
        <w:t>事项</w:t>
      </w:r>
      <w:r w:rsidRPr="004919A5">
        <w:rPr>
          <w:rFonts w:ascii="仿宋_GB2312" w:eastAsia="仿宋_GB2312" w:hAnsi="宋体"/>
          <w:sz w:val="30"/>
          <w:szCs w:val="30"/>
          <w:lang w:eastAsia="zh-CN"/>
        </w:rPr>
        <w:t>未能及时对外</w:t>
      </w:r>
      <w:r w:rsidRPr="004919A5">
        <w:rPr>
          <w:rFonts w:ascii="仿宋_GB2312" w:eastAsia="仿宋_GB2312" w:hAnsi="宋体" w:hint="eastAsia"/>
          <w:sz w:val="30"/>
          <w:szCs w:val="30"/>
          <w:lang w:eastAsia="zh-CN"/>
        </w:rPr>
        <w:t>披露</w:t>
      </w:r>
      <w:r w:rsidRPr="004919A5">
        <w:rPr>
          <w:rFonts w:ascii="仿宋_GB2312" w:eastAsia="仿宋_GB2312" w:hAnsi="宋体"/>
          <w:sz w:val="30"/>
          <w:szCs w:val="30"/>
          <w:lang w:eastAsia="zh-CN"/>
        </w:rPr>
        <w:t>，损害投资者知情权。</w:t>
      </w:r>
      <w:r w:rsidRPr="004919A5">
        <w:rPr>
          <w:rFonts w:ascii="仿宋_GB2312" w:eastAsia="仿宋_GB2312" w:hAnsi="宋体" w:hint="eastAsia"/>
          <w:sz w:val="30"/>
          <w:szCs w:val="30"/>
          <w:lang w:eastAsia="zh-CN"/>
        </w:rPr>
        <w:t>同时，</w:t>
      </w:r>
      <w:r w:rsidRPr="004919A5">
        <w:rPr>
          <w:rFonts w:ascii="仿宋_GB2312" w:eastAsia="仿宋_GB2312" w:hAnsi="宋体"/>
          <w:sz w:val="30"/>
          <w:szCs w:val="30"/>
          <w:lang w:eastAsia="zh-CN"/>
        </w:rPr>
        <w:t>公司未能</w:t>
      </w:r>
      <w:r w:rsidRPr="004919A5">
        <w:rPr>
          <w:rFonts w:ascii="仿宋_GB2312" w:eastAsia="仿宋_GB2312" w:hAnsi="宋体" w:hint="eastAsia"/>
          <w:sz w:val="30"/>
          <w:szCs w:val="30"/>
          <w:lang w:eastAsia="zh-CN"/>
        </w:rPr>
        <w:t>建立健全</w:t>
      </w:r>
      <w:r w:rsidRPr="004919A5">
        <w:rPr>
          <w:rFonts w:ascii="仿宋_GB2312" w:eastAsia="仿宋_GB2312" w:hAnsi="宋体"/>
          <w:sz w:val="30"/>
          <w:szCs w:val="30"/>
          <w:lang w:eastAsia="zh-CN"/>
        </w:rPr>
        <w:t>有效的</w:t>
      </w:r>
      <w:r w:rsidRPr="004919A5">
        <w:rPr>
          <w:rFonts w:ascii="仿宋_GB2312" w:eastAsia="仿宋_GB2312" w:hAnsi="宋体" w:hint="eastAsia"/>
          <w:sz w:val="30"/>
          <w:szCs w:val="30"/>
          <w:lang w:eastAsia="zh-CN"/>
        </w:rPr>
        <w:t>合同</w:t>
      </w:r>
      <w:r w:rsidRPr="004919A5">
        <w:rPr>
          <w:rFonts w:ascii="仿宋_GB2312" w:eastAsia="仿宋_GB2312" w:hAnsi="宋体"/>
          <w:sz w:val="30"/>
          <w:szCs w:val="30"/>
          <w:lang w:eastAsia="zh-CN"/>
        </w:rPr>
        <w:t>管理、公章管理等重要内部机制，</w:t>
      </w:r>
      <w:r w:rsidRPr="004919A5">
        <w:rPr>
          <w:rFonts w:ascii="仿宋_GB2312" w:eastAsia="仿宋_GB2312" w:hAnsi="宋体" w:hint="eastAsia"/>
          <w:sz w:val="30"/>
          <w:szCs w:val="30"/>
          <w:lang w:eastAsia="zh-CN"/>
        </w:rPr>
        <w:t>致使上述</w:t>
      </w:r>
      <w:r w:rsidRPr="004919A5">
        <w:rPr>
          <w:rFonts w:ascii="仿宋_GB2312" w:eastAsia="仿宋_GB2312" w:hAnsi="宋体"/>
          <w:sz w:val="30"/>
          <w:szCs w:val="30"/>
          <w:lang w:eastAsia="zh-CN"/>
        </w:rPr>
        <w:t>担保事项</w:t>
      </w:r>
      <w:r w:rsidRPr="004919A5">
        <w:rPr>
          <w:rFonts w:ascii="仿宋_GB2312" w:eastAsia="仿宋_GB2312" w:hAnsi="宋体" w:hint="eastAsia"/>
          <w:sz w:val="30"/>
          <w:szCs w:val="30"/>
          <w:lang w:eastAsia="zh-CN"/>
        </w:rPr>
        <w:t>在未按规定履行董事会、股东大会决策程序的情形下，董事长、总经理即可直接安排监事杨毅对外用章并签订担保合同</w:t>
      </w:r>
      <w:r>
        <w:rPr>
          <w:rFonts w:ascii="仿宋_GB2312" w:eastAsia="仿宋_GB2312" w:hAnsi="宋体" w:hint="eastAsia"/>
          <w:sz w:val="30"/>
          <w:szCs w:val="30"/>
          <w:lang w:eastAsia="zh-CN"/>
        </w:rPr>
        <w:t>，对公司利益造成直接损害。</w:t>
      </w:r>
      <w:r w:rsidRPr="004919A5">
        <w:rPr>
          <w:rFonts w:ascii="仿宋_GB2312" w:eastAsia="仿宋_GB2312" w:hAnsi="宋体" w:hint="eastAsia"/>
          <w:sz w:val="30"/>
          <w:szCs w:val="30"/>
          <w:lang w:eastAsia="zh-CN"/>
        </w:rPr>
        <w:t>公司上述行为违反了《上海证券交易所股票上市规则》（以下简称《股票上市规则》）第2.1条、第2.3条、第9.11条、第10.2.6条等有关规定。</w:t>
      </w:r>
    </w:p>
    <w:p w:rsidR="00FB7A26" w:rsidRDefault="00FB7A26" w:rsidP="005A31F2">
      <w:pPr>
        <w:snapToGrid w:val="0"/>
        <w:spacing w:line="360" w:lineRule="auto"/>
        <w:ind w:firstLine="600"/>
        <w:rPr>
          <w:rFonts w:ascii="仿宋_GB2312" w:eastAsia="仿宋_GB2312"/>
          <w:sz w:val="30"/>
          <w:szCs w:val="30"/>
        </w:rPr>
      </w:pPr>
      <w:r>
        <w:rPr>
          <w:rFonts w:ascii="仿宋_GB2312" w:eastAsia="仿宋_GB2312" w:hint="eastAsia"/>
          <w:sz w:val="30"/>
          <w:szCs w:val="30"/>
          <w:lang w:eastAsia="zh-CN"/>
        </w:rPr>
        <w:t>责任人</w:t>
      </w:r>
      <w:r>
        <w:rPr>
          <w:rFonts w:ascii="仿宋_GB2312" w:eastAsia="仿宋_GB2312"/>
          <w:sz w:val="30"/>
          <w:szCs w:val="30"/>
          <w:lang w:eastAsia="zh-CN"/>
        </w:rPr>
        <w:t>方面，</w:t>
      </w:r>
      <w:r>
        <w:rPr>
          <w:rFonts w:ascii="仿宋_GB2312" w:eastAsia="仿宋_GB2312" w:hint="eastAsia"/>
          <w:sz w:val="30"/>
          <w:szCs w:val="30"/>
          <w:lang w:eastAsia="zh-CN"/>
        </w:rPr>
        <w:t>公司</w:t>
      </w:r>
      <w:r>
        <w:rPr>
          <w:rFonts w:ascii="仿宋_GB2312" w:eastAsia="仿宋_GB2312"/>
          <w:sz w:val="30"/>
          <w:szCs w:val="30"/>
          <w:lang w:eastAsia="zh-CN"/>
        </w:rPr>
        <w:t>时任董事长黄万珍、</w:t>
      </w:r>
      <w:r>
        <w:rPr>
          <w:rFonts w:ascii="仿宋_GB2312" w:eastAsia="仿宋_GB2312" w:hAnsi="宋体" w:hint="eastAsia"/>
          <w:sz w:val="30"/>
          <w:szCs w:val="30"/>
          <w:lang w:eastAsia="zh-CN"/>
        </w:rPr>
        <w:t>总经理</w:t>
      </w:r>
      <w:r w:rsidRPr="005D4199">
        <w:rPr>
          <w:rFonts w:ascii="仿宋_GB2312" w:eastAsia="仿宋_GB2312" w:hAnsi="宋体" w:hint="eastAsia"/>
          <w:sz w:val="30"/>
          <w:szCs w:val="30"/>
          <w:lang w:eastAsia="zh-CN"/>
        </w:rPr>
        <w:t>胡广军</w:t>
      </w:r>
      <w:r>
        <w:rPr>
          <w:rFonts w:ascii="仿宋_GB2312" w:eastAsia="仿宋_GB2312" w:hAnsi="宋体" w:hint="eastAsia"/>
          <w:sz w:val="30"/>
          <w:szCs w:val="30"/>
          <w:lang w:eastAsia="zh-CN"/>
        </w:rPr>
        <w:t>在</w:t>
      </w:r>
      <w:r>
        <w:rPr>
          <w:rFonts w:ascii="仿宋_GB2312" w:eastAsia="仿宋_GB2312" w:hAnsi="宋体"/>
          <w:sz w:val="30"/>
          <w:szCs w:val="30"/>
          <w:lang w:eastAsia="zh-CN"/>
        </w:rPr>
        <w:t>未按规定履行决策程序的情况下，直接安排时任</w:t>
      </w:r>
      <w:r>
        <w:rPr>
          <w:rFonts w:ascii="仿宋_GB2312" w:eastAsia="仿宋_GB2312" w:hAnsi="宋体" w:hint="eastAsia"/>
          <w:sz w:val="30"/>
          <w:szCs w:val="30"/>
          <w:lang w:eastAsia="zh-CN"/>
        </w:rPr>
        <w:t>监事</w:t>
      </w:r>
      <w:r w:rsidRPr="005D4199">
        <w:rPr>
          <w:rFonts w:ascii="仿宋_GB2312" w:eastAsia="仿宋_GB2312" w:hAnsi="宋体" w:hint="eastAsia"/>
          <w:sz w:val="30"/>
          <w:szCs w:val="30"/>
          <w:lang w:eastAsia="zh-CN"/>
        </w:rPr>
        <w:t>杨毅</w:t>
      </w:r>
      <w:r>
        <w:rPr>
          <w:rFonts w:ascii="仿宋_GB2312" w:eastAsia="仿宋_GB2312" w:hAnsi="宋体" w:hint="eastAsia"/>
          <w:sz w:val="30"/>
          <w:szCs w:val="30"/>
          <w:lang w:eastAsia="zh-CN"/>
        </w:rPr>
        <w:t>在所涉</w:t>
      </w:r>
      <w:r>
        <w:rPr>
          <w:rFonts w:ascii="仿宋_GB2312" w:eastAsia="仿宋_GB2312" w:hAnsi="宋体"/>
          <w:sz w:val="30"/>
          <w:szCs w:val="30"/>
          <w:lang w:eastAsia="zh-CN"/>
        </w:rPr>
        <w:t>合同上加</w:t>
      </w:r>
      <w:r>
        <w:rPr>
          <w:rFonts w:ascii="仿宋_GB2312" w:eastAsia="仿宋_GB2312" w:hAnsi="宋体"/>
          <w:sz w:val="30"/>
          <w:szCs w:val="30"/>
          <w:lang w:eastAsia="zh-CN"/>
        </w:rPr>
        <w:lastRenderedPageBreak/>
        <w:t>盖公司印章</w:t>
      </w:r>
      <w:r>
        <w:rPr>
          <w:rFonts w:ascii="仿宋_GB2312" w:eastAsia="仿宋_GB2312" w:hAnsi="宋体" w:hint="eastAsia"/>
          <w:sz w:val="30"/>
          <w:szCs w:val="30"/>
          <w:lang w:eastAsia="zh-CN"/>
        </w:rPr>
        <w:t>，相关人员对上述违规担保事项负有主要责任。</w:t>
      </w:r>
      <w:r>
        <w:rPr>
          <w:rFonts w:ascii="仿宋_GB2312" w:eastAsia="仿宋_GB2312" w:hint="eastAsia"/>
          <w:sz w:val="30"/>
          <w:szCs w:val="30"/>
        </w:rPr>
        <w:t>上述</w:t>
      </w:r>
      <w:r>
        <w:rPr>
          <w:rFonts w:ascii="仿宋_GB2312" w:eastAsia="仿宋_GB2312" w:hint="eastAsia"/>
          <w:sz w:val="30"/>
          <w:szCs w:val="30"/>
          <w:lang w:eastAsia="zh-CN"/>
        </w:rPr>
        <w:t>人员未勤勉尽责，其</w:t>
      </w:r>
      <w:r w:rsidRPr="003A2070">
        <w:rPr>
          <w:rFonts w:ascii="仿宋_GB2312" w:eastAsia="仿宋_GB2312" w:hint="eastAsia"/>
          <w:sz w:val="30"/>
          <w:szCs w:val="30"/>
        </w:rPr>
        <w:t>行为违反了《股票上市规则》第2.2条、第3.1.4条、第3.1.5</w:t>
      </w:r>
      <w:r>
        <w:rPr>
          <w:rFonts w:ascii="仿宋_GB2312" w:eastAsia="仿宋_GB2312" w:hint="eastAsia"/>
          <w:sz w:val="30"/>
          <w:szCs w:val="30"/>
        </w:rPr>
        <w:t>条</w:t>
      </w:r>
      <w:r>
        <w:rPr>
          <w:rFonts w:ascii="仿宋_GB2312" w:eastAsia="仿宋_GB2312" w:hint="eastAsia"/>
          <w:sz w:val="30"/>
          <w:szCs w:val="30"/>
          <w:lang w:eastAsia="zh-CN"/>
        </w:rPr>
        <w:t>等有关规定</w:t>
      </w:r>
      <w:r w:rsidRPr="003A2070">
        <w:rPr>
          <w:rFonts w:ascii="仿宋_GB2312" w:eastAsia="仿宋_GB2312" w:hint="eastAsia"/>
          <w:sz w:val="30"/>
          <w:szCs w:val="30"/>
        </w:rPr>
        <w:t>及其在《董事（监事、高级管理人员）声明及承诺书》中做出的承诺。</w:t>
      </w:r>
    </w:p>
    <w:p w:rsidR="00FB7A26" w:rsidRDefault="00FB7A26" w:rsidP="005A31F2">
      <w:pPr>
        <w:snapToGrid w:val="0"/>
        <w:spacing w:line="360" w:lineRule="auto"/>
        <w:ind w:firstLine="600"/>
        <w:rPr>
          <w:rFonts w:ascii="仿宋_GB2312" w:eastAsia="仿宋_GB2312" w:hAnsi="宋体"/>
          <w:sz w:val="30"/>
          <w:szCs w:val="30"/>
          <w:lang w:eastAsia="zh-CN"/>
        </w:rPr>
      </w:pPr>
      <w:r>
        <w:rPr>
          <w:rFonts w:ascii="仿宋_GB2312" w:eastAsia="仿宋_GB2312" w:hAnsi="宋体"/>
          <w:sz w:val="30"/>
          <w:szCs w:val="30"/>
        </w:rPr>
        <w:t>鉴于上述违规事实和情节</w:t>
      </w:r>
      <w:r>
        <w:rPr>
          <w:rFonts w:ascii="仿宋_GB2312" w:eastAsia="仿宋_GB2312" w:hAnsi="宋体" w:hint="eastAsia"/>
          <w:sz w:val="30"/>
          <w:szCs w:val="30"/>
        </w:rPr>
        <w:t>，我部拟提请本所纪律处分委员会审核，根据</w:t>
      </w:r>
      <w:r>
        <w:rPr>
          <w:rFonts w:ascii="仿宋_GB2312" w:eastAsia="仿宋_GB2312" w:hAnsi="宋体"/>
          <w:sz w:val="30"/>
          <w:szCs w:val="30"/>
        </w:rPr>
        <w:t>《股票上市规则</w:t>
      </w:r>
      <w:r>
        <w:rPr>
          <w:rFonts w:ascii="仿宋_GB2312" w:eastAsia="仿宋_GB2312" w:hAnsi="宋体" w:hint="eastAsia"/>
          <w:sz w:val="30"/>
          <w:szCs w:val="30"/>
        </w:rPr>
        <w:t>》</w:t>
      </w:r>
      <w:r>
        <w:rPr>
          <w:rFonts w:ascii="仿宋_GB2312" w:eastAsia="仿宋_GB2312" w:hAnsi="宋体"/>
          <w:sz w:val="30"/>
          <w:szCs w:val="30"/>
        </w:rPr>
        <w:t>第16.2条</w:t>
      </w:r>
      <w:r>
        <w:rPr>
          <w:rFonts w:ascii="仿宋_GB2312" w:eastAsia="仿宋_GB2312" w:hAnsi="宋体" w:hint="eastAsia"/>
          <w:sz w:val="30"/>
          <w:szCs w:val="30"/>
          <w:lang w:eastAsia="zh-CN"/>
        </w:rPr>
        <w:t>、</w:t>
      </w:r>
      <w:r>
        <w:rPr>
          <w:rFonts w:ascii="仿宋_GB2312" w:eastAsia="仿宋_GB2312" w:hAnsi="宋体"/>
          <w:sz w:val="30"/>
          <w:szCs w:val="30"/>
          <w:lang w:eastAsia="zh-CN"/>
        </w:rPr>
        <w:t>第16.3条</w:t>
      </w:r>
      <w:r>
        <w:rPr>
          <w:rFonts w:ascii="仿宋_GB2312" w:eastAsia="仿宋_GB2312" w:hAnsi="宋体"/>
          <w:sz w:val="30"/>
          <w:szCs w:val="30"/>
        </w:rPr>
        <w:t>的规定，对</w:t>
      </w:r>
      <w:r w:rsidRPr="005D4199">
        <w:rPr>
          <w:rFonts w:ascii="仿宋_GB2312" w:eastAsia="仿宋_GB2312" w:hAnsi="宋体" w:hint="eastAsia"/>
          <w:sz w:val="30"/>
          <w:szCs w:val="30"/>
          <w:lang w:eastAsia="zh-CN"/>
        </w:rPr>
        <w:t>山东新潮能源股份有限公司</w:t>
      </w:r>
      <w:r>
        <w:rPr>
          <w:rFonts w:ascii="仿宋_GB2312" w:eastAsia="仿宋_GB2312" w:hAnsi="宋体" w:hint="eastAsia"/>
          <w:sz w:val="30"/>
          <w:szCs w:val="30"/>
          <w:lang w:eastAsia="zh-CN"/>
        </w:rPr>
        <w:t>及</w:t>
      </w:r>
      <w:r>
        <w:rPr>
          <w:rFonts w:ascii="仿宋_GB2312" w:eastAsia="仿宋_GB2312" w:hAnsi="宋体"/>
          <w:sz w:val="30"/>
          <w:szCs w:val="30"/>
          <w:lang w:eastAsia="zh-CN"/>
        </w:rPr>
        <w:t>时任董事长黄万珍、总经理胡广军、监事</w:t>
      </w:r>
      <w:r>
        <w:rPr>
          <w:rFonts w:ascii="仿宋_GB2312" w:eastAsia="仿宋_GB2312" w:hAnsi="宋体" w:hint="eastAsia"/>
          <w:sz w:val="30"/>
          <w:szCs w:val="30"/>
          <w:lang w:eastAsia="zh-CN"/>
        </w:rPr>
        <w:t>杨</w:t>
      </w:r>
      <w:r>
        <w:rPr>
          <w:rFonts w:ascii="仿宋_GB2312" w:eastAsia="仿宋_GB2312" w:hAnsi="宋体"/>
          <w:sz w:val="30"/>
          <w:szCs w:val="30"/>
          <w:lang w:eastAsia="zh-CN"/>
        </w:rPr>
        <w:t>毅予以公开谴责</w:t>
      </w:r>
      <w:r w:rsidRPr="009945DD">
        <w:rPr>
          <w:rFonts w:ascii="仿宋_GB2312" w:eastAsia="仿宋_GB2312" w:hAnsi="宋体" w:hint="eastAsia"/>
          <w:sz w:val="30"/>
          <w:szCs w:val="30"/>
          <w:lang w:eastAsia="zh-CN"/>
        </w:rPr>
        <w:t>。</w:t>
      </w:r>
    </w:p>
    <w:p w:rsidR="00FB7A26" w:rsidRDefault="00FB7A26" w:rsidP="005A31F2">
      <w:pPr>
        <w:snapToGrid w:val="0"/>
        <w:spacing w:line="360" w:lineRule="auto"/>
        <w:ind w:firstLine="600"/>
        <w:rPr>
          <w:rFonts w:ascii="仿宋_GB2312" w:eastAsia="仿宋_GB2312" w:hAnsi="宋体"/>
          <w:sz w:val="30"/>
          <w:szCs w:val="30"/>
          <w:lang w:eastAsia="zh-CN"/>
        </w:rPr>
      </w:pPr>
      <w:r>
        <w:rPr>
          <w:rFonts w:ascii="仿宋_GB2312" w:eastAsia="仿宋_GB2312" w:hAnsi="宋体"/>
          <w:sz w:val="30"/>
          <w:szCs w:val="30"/>
        </w:rPr>
        <w:t>上述纪律处分将</w:t>
      </w:r>
      <w:r>
        <w:rPr>
          <w:rFonts w:ascii="仿宋_GB2312" w:eastAsia="仿宋_GB2312" w:hAnsi="宋体" w:hint="eastAsia"/>
          <w:sz w:val="30"/>
          <w:szCs w:val="30"/>
        </w:rPr>
        <w:t>通报中国证监会</w:t>
      </w:r>
      <w:r>
        <w:rPr>
          <w:rFonts w:ascii="仿宋_GB2312" w:eastAsia="仿宋_GB2312" w:hAnsi="宋体" w:hint="eastAsia"/>
          <w:sz w:val="30"/>
          <w:szCs w:val="30"/>
          <w:lang w:eastAsia="zh-CN"/>
        </w:rPr>
        <w:t>和山东省人民政府</w:t>
      </w:r>
      <w:r>
        <w:rPr>
          <w:rFonts w:ascii="仿宋_GB2312" w:eastAsia="仿宋_GB2312" w:hAnsi="宋体" w:hint="eastAsia"/>
          <w:sz w:val="30"/>
          <w:szCs w:val="30"/>
        </w:rPr>
        <w:t>，并记入上市公司诚信档案。</w:t>
      </w:r>
    </w:p>
    <w:p w:rsidR="00FB7A26" w:rsidRDefault="00FB7A26" w:rsidP="00FB7A26">
      <w:pPr>
        <w:snapToGrid w:val="0"/>
        <w:spacing w:line="360" w:lineRule="auto"/>
        <w:ind w:rightChars="1" w:right="2" w:firstLineChars="200" w:firstLine="600"/>
        <w:jc w:val="right"/>
        <w:rPr>
          <w:rFonts w:ascii="仿宋_GB2312" w:eastAsia="仿宋_GB2312" w:hAnsi="宋体"/>
          <w:sz w:val="30"/>
          <w:szCs w:val="30"/>
          <w:lang w:eastAsia="zh-CN"/>
        </w:rPr>
      </w:pPr>
    </w:p>
    <w:p w:rsidR="00FB7A26" w:rsidRDefault="005A31F2" w:rsidP="00FB7A26">
      <w:pPr>
        <w:snapToGrid w:val="0"/>
        <w:spacing w:line="360" w:lineRule="auto"/>
        <w:ind w:rightChars="1" w:right="2" w:firstLineChars="200" w:firstLine="600"/>
        <w:jc w:val="right"/>
        <w:rPr>
          <w:rFonts w:ascii="仿宋_GB2312" w:eastAsia="仿宋_GB2312" w:hAnsi="宋体"/>
          <w:sz w:val="30"/>
          <w:szCs w:val="30"/>
          <w:lang w:eastAsia="zh-CN"/>
        </w:rPr>
      </w:pPr>
      <w:r>
        <w:rPr>
          <w:rFonts w:ascii="仿宋_GB2312" w:eastAsia="仿宋_GB2312" w:hAnsi="宋体"/>
          <w:noProof/>
          <w:sz w:val="30"/>
          <w:szCs w:val="30"/>
          <w:lang w:eastAsia="zh-CN"/>
        </w:rPr>
        <w:drawing>
          <wp:anchor distT="0" distB="0" distL="114300" distR="114300" simplePos="0" relativeHeight="251662336" behindDoc="0" locked="0" layoutInCell="1" allowOverlap="1">
            <wp:simplePos x="0" y="0"/>
            <wp:positionH relativeFrom="column">
              <wp:posOffset>3264535</wp:posOffset>
            </wp:positionH>
            <wp:positionV relativeFrom="paragraph">
              <wp:posOffset>123190</wp:posOffset>
            </wp:positionV>
            <wp:extent cx="2066925" cy="1943100"/>
            <wp:effectExtent l="0" t="0" r="0" b="0"/>
            <wp:wrapNone/>
            <wp:docPr id="1" name="图片 1" descr="公司二部(已去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司二部(已去底).png"/>
                    <pic:cNvPicPr/>
                  </pic:nvPicPr>
                  <pic:blipFill>
                    <a:blip r:embed="rId6" cstate="print"/>
                    <a:stretch>
                      <a:fillRect/>
                    </a:stretch>
                  </pic:blipFill>
                  <pic:spPr>
                    <a:xfrm rot="1037069">
                      <a:off x="0" y="0"/>
                      <a:ext cx="2066925" cy="1943100"/>
                    </a:xfrm>
                    <a:prstGeom prst="rect">
                      <a:avLst/>
                    </a:prstGeom>
                  </pic:spPr>
                </pic:pic>
              </a:graphicData>
            </a:graphic>
          </wp:anchor>
        </w:drawing>
      </w:r>
    </w:p>
    <w:p w:rsidR="00FB7A26" w:rsidRDefault="00FB7A26" w:rsidP="00B1354E">
      <w:pPr>
        <w:snapToGrid w:val="0"/>
        <w:spacing w:line="360" w:lineRule="auto"/>
        <w:jc w:val="left"/>
        <w:rPr>
          <w:lang w:eastAsia="zh-CN"/>
        </w:rPr>
      </w:pPr>
    </w:p>
    <w:p w:rsidR="00FB7A26" w:rsidRDefault="00FB7A26" w:rsidP="00B1354E">
      <w:pPr>
        <w:snapToGrid w:val="0"/>
        <w:spacing w:line="360" w:lineRule="auto"/>
        <w:jc w:val="left"/>
        <w:rPr>
          <w:lang w:eastAsia="zh-CN"/>
        </w:rPr>
      </w:pPr>
    </w:p>
    <w:p w:rsidR="00FB7A26" w:rsidRDefault="00FB7A26" w:rsidP="00B1354E">
      <w:pPr>
        <w:snapToGrid w:val="0"/>
        <w:spacing w:line="360" w:lineRule="auto"/>
        <w:ind w:rightChars="1" w:right="2" w:firstLineChars="200" w:firstLine="420"/>
        <w:jc w:val="right"/>
        <w:rPr>
          <w:rFonts w:ascii="仿宋_GB2312" w:eastAsia="仿宋_GB2312" w:hAnsi="宋体"/>
          <w:sz w:val="30"/>
          <w:szCs w:val="30"/>
        </w:rPr>
      </w:pPr>
      <w:r>
        <w:rPr>
          <w:rFonts w:hint="eastAsia"/>
          <w:lang w:eastAsia="zh-CN"/>
        </w:rPr>
        <w:t xml:space="preserve">                                </w:t>
      </w:r>
      <w:r>
        <w:rPr>
          <w:rFonts w:ascii="仿宋_GB2312" w:eastAsia="仿宋_GB2312" w:hAnsi="宋体" w:hint="eastAsia"/>
          <w:sz w:val="30"/>
          <w:szCs w:val="30"/>
        </w:rPr>
        <w:t>上海证券交易所上市公司监管</w:t>
      </w:r>
      <w:r>
        <w:rPr>
          <w:rFonts w:ascii="仿宋_GB2312" w:eastAsia="仿宋_GB2312" w:hAnsi="宋体" w:hint="eastAsia"/>
          <w:sz w:val="30"/>
          <w:szCs w:val="30"/>
          <w:lang w:eastAsia="zh-CN"/>
        </w:rPr>
        <w:t>二</w:t>
      </w:r>
      <w:r>
        <w:rPr>
          <w:rFonts w:ascii="仿宋_GB2312" w:eastAsia="仿宋_GB2312" w:hAnsi="宋体" w:hint="eastAsia"/>
          <w:sz w:val="30"/>
          <w:szCs w:val="30"/>
        </w:rPr>
        <w:t>部</w:t>
      </w:r>
    </w:p>
    <w:p w:rsidR="00FB7A26" w:rsidRDefault="00FB7A26" w:rsidP="00B1354E">
      <w:pPr>
        <w:snapToGrid w:val="0"/>
        <w:spacing w:line="360" w:lineRule="auto"/>
        <w:ind w:left="4620" w:firstLine="420"/>
        <w:rPr>
          <w:rFonts w:ascii="仿宋_GB2312" w:eastAsia="仿宋_GB2312" w:hAnsi="仿宋_GB2312" w:cs="仿宋_GB2312"/>
          <w:sz w:val="30"/>
          <w:szCs w:val="30"/>
          <w:lang w:eastAsia="zh-CN"/>
        </w:rPr>
      </w:pPr>
      <w:r>
        <w:rPr>
          <w:rFonts w:ascii="仿宋_GB2312" w:eastAsia="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二一年</w:t>
      </w:r>
      <w:r w:rsidR="005A31F2">
        <w:rPr>
          <w:rFonts w:ascii="仿宋_GB2312" w:eastAsia="仿宋_GB2312" w:hAnsi="仿宋_GB2312" w:cs="仿宋_GB2312" w:hint="eastAsia"/>
          <w:sz w:val="30"/>
          <w:szCs w:val="30"/>
          <w:lang w:eastAsia="zh-CN"/>
        </w:rPr>
        <w:t>十</w:t>
      </w:r>
      <w:r>
        <w:rPr>
          <w:rFonts w:ascii="仿宋_GB2312" w:eastAsia="仿宋_GB2312" w:hAnsi="仿宋_GB2312" w:cs="仿宋_GB2312" w:hint="eastAsia"/>
          <w:sz w:val="30"/>
          <w:szCs w:val="30"/>
          <w:lang w:eastAsia="zh-CN"/>
        </w:rPr>
        <w:t>月二</w:t>
      </w:r>
      <w:r w:rsidR="005A31F2">
        <w:rPr>
          <w:rFonts w:ascii="仿宋_GB2312" w:eastAsia="仿宋_GB2312" w:hAnsi="仿宋_GB2312" w:cs="仿宋_GB2312" w:hint="eastAsia"/>
          <w:sz w:val="30"/>
          <w:szCs w:val="30"/>
          <w:lang w:eastAsia="zh-CN"/>
        </w:rPr>
        <w:t>十</w:t>
      </w:r>
      <w:r>
        <w:rPr>
          <w:rFonts w:ascii="仿宋_GB2312" w:eastAsia="仿宋_GB2312" w:hAnsi="仿宋_GB2312" w:cs="仿宋_GB2312" w:hint="eastAsia"/>
          <w:sz w:val="30"/>
          <w:szCs w:val="30"/>
          <w:lang w:eastAsia="zh-CN"/>
        </w:rPr>
        <w:t>日</w:t>
      </w:r>
    </w:p>
    <w:p w:rsidR="00FB7A26" w:rsidRDefault="00FB7A26" w:rsidP="00B1354E">
      <w:pPr>
        <w:ind w:firstLine="600"/>
        <w:rPr>
          <w:rFonts w:ascii="仿宋_GB2312" w:eastAsia="仿宋_GB2312" w:hAnsi="宋体"/>
          <w:sz w:val="30"/>
          <w:szCs w:val="30"/>
          <w:lang w:eastAsia="zh-CN"/>
        </w:rPr>
      </w:pPr>
    </w:p>
    <w:p w:rsidR="00FB7A26" w:rsidRDefault="00FB7A26" w:rsidP="00B1354E">
      <w:pPr>
        <w:widowControl/>
        <w:suppressAutoHyphens w:val="0"/>
        <w:jc w:val="left"/>
        <w:rPr>
          <w:rFonts w:ascii="仿宋_GB2312" w:eastAsia="仿宋_GB2312" w:hAnsi="宋体"/>
          <w:sz w:val="30"/>
          <w:szCs w:val="30"/>
          <w:lang w:eastAsia="zh-CN"/>
        </w:rPr>
      </w:pPr>
    </w:p>
    <w:sectPr w:rsidR="00FB7A26" w:rsidSect="002931D9">
      <w:footerReference w:type="default" r:id="rId7"/>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030" w:rsidRDefault="00A17030" w:rsidP="00083548">
      <w:r>
        <w:separator/>
      </w:r>
    </w:p>
  </w:endnote>
  <w:endnote w:type="continuationSeparator" w:id="0">
    <w:p w:rsidR="00A17030" w:rsidRDefault="00A17030" w:rsidP="0008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D017E2">
    <w:pPr>
      <w:pStyle w:val="a4"/>
      <w:ind w:right="360"/>
    </w:pPr>
    <w:r>
      <w:pict>
        <v:shapetype id="_x0000_t202" coordsize="21600,21600" o:spt="202" path="m,l,21600r21600,l21600,xe">
          <v:stroke joinstyle="miter"/>
          <v:path gradientshapeok="t" o:connecttype="rect"/>
        </v:shapetype>
        <v:shape id="_x0000_s2049" type="#_x0000_t202" style="position:absolute;margin-left:513.35pt;margin-top:.05pt;width:4.5pt;height:9.9pt;z-index:251660288;mso-wrap-distance-left:0;mso-wrap-distance-right:0;mso-position-horizontal-relative:page" stroked="f">
          <v:fill opacity="0" color2="black"/>
          <v:textbox inset="0,0,0,0">
            <w:txbxContent>
              <w:p w:rsidR="00E909A2" w:rsidRDefault="00D017E2">
                <w:pPr>
                  <w:pStyle w:val="a4"/>
                </w:pPr>
                <w:r>
                  <w:rPr>
                    <w:rStyle w:val="a5"/>
                  </w:rPr>
                  <w:fldChar w:fldCharType="begin"/>
                </w:r>
                <w:r w:rsidR="005B7728">
                  <w:rPr>
                    <w:rStyle w:val="a5"/>
                  </w:rPr>
                  <w:instrText xml:space="preserve"> PAGE </w:instrText>
                </w:r>
                <w:r>
                  <w:rPr>
                    <w:rStyle w:val="a5"/>
                  </w:rPr>
                  <w:fldChar w:fldCharType="separate"/>
                </w:r>
                <w:r w:rsidR="005A31F2">
                  <w:rPr>
                    <w:rStyle w:val="a5"/>
                    <w:noProof/>
                  </w:rPr>
                  <w:t>1</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030" w:rsidRDefault="00A17030" w:rsidP="00083548">
      <w:r>
        <w:separator/>
      </w:r>
    </w:p>
  </w:footnote>
  <w:footnote w:type="continuationSeparator" w:id="0">
    <w:p w:rsidR="00A17030" w:rsidRDefault="00A17030" w:rsidP="000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548"/>
    <w:rsid w:val="00083548"/>
    <w:rsid w:val="000D32F7"/>
    <w:rsid w:val="00220B03"/>
    <w:rsid w:val="002931D9"/>
    <w:rsid w:val="003C26E9"/>
    <w:rsid w:val="00404D19"/>
    <w:rsid w:val="005104D4"/>
    <w:rsid w:val="005A31F2"/>
    <w:rsid w:val="005B7728"/>
    <w:rsid w:val="00A17030"/>
    <w:rsid w:val="00D017E2"/>
    <w:rsid w:val="00FB7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83548"/>
    <w:rPr>
      <w:sz w:val="18"/>
      <w:szCs w:val="18"/>
    </w:rPr>
  </w:style>
  <w:style w:type="paragraph" w:styleId="a4">
    <w:name w:val="footer"/>
    <w:basedOn w:val="a"/>
    <w:link w:val="Char0"/>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83548"/>
    <w:rPr>
      <w:sz w:val="18"/>
      <w:szCs w:val="18"/>
    </w:rPr>
  </w:style>
  <w:style w:type="character" w:styleId="a5">
    <w:name w:val="page number"/>
    <w:basedOn w:val="a0"/>
    <w:rsid w:val="00083548"/>
  </w:style>
  <w:style w:type="paragraph" w:styleId="a6">
    <w:name w:val="Block Text"/>
    <w:basedOn w:val="a"/>
    <w:rsid w:val="00083548"/>
    <w:pPr>
      <w:spacing w:line="360" w:lineRule="auto"/>
      <w:ind w:left="840" w:right="840"/>
      <w:jc w:val="center"/>
    </w:pPr>
    <w:rPr>
      <w:sz w:val="36"/>
    </w:rPr>
  </w:style>
  <w:style w:type="paragraph" w:styleId="a7">
    <w:name w:val="Balloon Text"/>
    <w:basedOn w:val="a"/>
    <w:link w:val="Char1"/>
    <w:uiPriority w:val="99"/>
    <w:semiHidden/>
    <w:unhideWhenUsed/>
    <w:rsid w:val="00FB7A26"/>
    <w:rPr>
      <w:sz w:val="18"/>
      <w:szCs w:val="18"/>
    </w:rPr>
  </w:style>
  <w:style w:type="character" w:customStyle="1" w:styleId="Char1">
    <w:name w:val="批注框文本 Char"/>
    <w:basedOn w:val="a0"/>
    <w:link w:val="a7"/>
    <w:uiPriority w:val="99"/>
    <w:semiHidden/>
    <w:rsid w:val="00FB7A26"/>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224</Words>
  <Characters>1277</Characters>
  <Application>Microsoft Office Word</Application>
  <DocSecurity>0</DocSecurity>
  <Lines>10</Lines>
  <Paragraphs>2</Paragraphs>
  <ScaleCrop>false</ScaleCrop>
  <Company>Hewlett-Packard Company</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覃锦辉(拟稿)</dc:creator>
  <cp:keywords/>
  <dc:description/>
  <cp:lastModifiedBy>施陈继</cp:lastModifiedBy>
  <cp:revision>6</cp:revision>
  <dcterms:created xsi:type="dcterms:W3CDTF">2017-05-24T10:35:00Z</dcterms:created>
  <dcterms:modified xsi:type="dcterms:W3CDTF">2021-10-19T07:44:00Z</dcterms:modified>
</cp:coreProperties>
</file>