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E2" w:rsidRDefault="000F7DB5" w:rsidP="00D21BD3">
      <w:pPr>
        <w:snapToGrid w:val="0"/>
        <w:spacing w:line="600" w:lineRule="exact"/>
        <w:ind w:rightChars="-27" w:right="-57"/>
        <w:jc w:val="left"/>
        <w:rPr>
          <w:rFonts w:ascii="仿宋_GB2312" w:eastAsia="仿宋_GB2312" w:hAnsi="宋体"/>
          <w:sz w:val="30"/>
          <w:szCs w:val="30"/>
        </w:rPr>
      </w:pPr>
      <w:r>
        <w:rPr>
          <w:rFonts w:ascii="仿宋_GB2312" w:eastAsia="仿宋_GB2312" w:hAnsi="宋体" w:hint="eastAsia"/>
          <w:sz w:val="30"/>
          <w:szCs w:val="30"/>
        </w:rPr>
        <w:t>附件</w:t>
      </w:r>
      <w:r w:rsidR="00DE42E2">
        <w:rPr>
          <w:rFonts w:ascii="仿宋_GB2312" w:eastAsia="仿宋_GB2312" w:hAnsi="宋体" w:hint="eastAsia"/>
          <w:sz w:val="30"/>
          <w:szCs w:val="30"/>
        </w:rPr>
        <w:t>：</w:t>
      </w:r>
    </w:p>
    <w:p w:rsidR="00DE42E2" w:rsidRDefault="00DE42E2">
      <w:pPr>
        <w:snapToGrid w:val="0"/>
        <w:spacing w:line="600" w:lineRule="exact"/>
        <w:ind w:rightChars="-27" w:right="-57"/>
        <w:rPr>
          <w:rFonts w:ascii="黑体" w:eastAsia="黑体" w:hAnsi="黑体"/>
          <w:bCs/>
          <w:sz w:val="44"/>
          <w:szCs w:val="44"/>
          <w:lang w:eastAsia="zh-CN"/>
        </w:rPr>
      </w:pPr>
    </w:p>
    <w:p w:rsidR="00DE42E2" w:rsidRDefault="000F7DB5">
      <w:pPr>
        <w:spacing w:line="600" w:lineRule="exact"/>
        <w:jc w:val="center"/>
        <w:rPr>
          <w:rFonts w:ascii="黑体" w:eastAsia="黑体" w:hAnsi="黑体"/>
          <w:bCs/>
          <w:sz w:val="44"/>
          <w:szCs w:val="44"/>
        </w:rPr>
      </w:pPr>
      <w:r w:rsidRPr="000F7DB5">
        <w:rPr>
          <w:rFonts w:ascii="黑体" w:eastAsia="黑体" w:hAnsi="黑体" w:hint="eastAsia"/>
          <w:bCs/>
          <w:sz w:val="44"/>
          <w:szCs w:val="44"/>
        </w:rPr>
        <w:t>关于对山东新潮能源股份有限公司时任董事长黄万珍予以纪律处分的意向书</w:t>
      </w:r>
    </w:p>
    <w:p w:rsidR="00DE42E2" w:rsidRDefault="00DE42E2">
      <w:pPr>
        <w:snapToGrid w:val="0"/>
        <w:spacing w:line="600" w:lineRule="exact"/>
        <w:jc w:val="center"/>
        <w:rPr>
          <w:rFonts w:ascii="黑体" w:eastAsia="黑体" w:hAnsi="黑体"/>
          <w:bCs/>
          <w:sz w:val="44"/>
          <w:szCs w:val="44"/>
        </w:rPr>
      </w:pPr>
    </w:p>
    <w:p w:rsidR="00DE42E2" w:rsidRDefault="00DE42E2">
      <w:pPr>
        <w:snapToGrid w:val="0"/>
        <w:spacing w:line="600" w:lineRule="exact"/>
        <w:rPr>
          <w:rFonts w:ascii="仿宋_GB2312" w:eastAsia="仿宋_GB2312" w:hAnsi="宋体"/>
          <w:sz w:val="30"/>
          <w:szCs w:val="30"/>
          <w:lang w:eastAsia="zh-CN"/>
        </w:rPr>
      </w:pPr>
      <w:r w:rsidRPr="005D4199">
        <w:rPr>
          <w:rFonts w:ascii="仿宋_GB2312" w:eastAsia="仿宋_GB2312" w:hAnsi="宋体" w:hint="eastAsia"/>
          <w:sz w:val="30"/>
          <w:szCs w:val="30"/>
          <w:lang w:eastAsia="zh-CN"/>
        </w:rPr>
        <w:t>山东新潮能源股份有限公司</w:t>
      </w:r>
      <w:r>
        <w:rPr>
          <w:rFonts w:ascii="仿宋_GB2312" w:eastAsia="仿宋_GB2312" w:hAnsi="宋体" w:hint="eastAsia"/>
          <w:sz w:val="30"/>
          <w:szCs w:val="30"/>
          <w:lang w:eastAsia="zh-CN"/>
        </w:rPr>
        <w:t>时任</w:t>
      </w:r>
      <w:r>
        <w:rPr>
          <w:rFonts w:ascii="仿宋_GB2312" w:eastAsia="仿宋_GB2312" w:hAnsi="宋体"/>
          <w:sz w:val="30"/>
          <w:szCs w:val="30"/>
          <w:lang w:eastAsia="zh-CN"/>
        </w:rPr>
        <w:t>董事长</w:t>
      </w:r>
      <w:r w:rsidRPr="005D4199">
        <w:rPr>
          <w:rFonts w:ascii="仿宋_GB2312" w:eastAsia="仿宋_GB2312" w:hAnsi="宋体" w:hint="eastAsia"/>
          <w:sz w:val="30"/>
          <w:szCs w:val="30"/>
          <w:lang w:eastAsia="zh-CN"/>
        </w:rPr>
        <w:t>黄万珍</w:t>
      </w:r>
      <w:r>
        <w:rPr>
          <w:rFonts w:ascii="仿宋_GB2312" w:eastAsia="仿宋_GB2312" w:hAnsi="宋体" w:hint="eastAsia"/>
          <w:sz w:val="30"/>
          <w:szCs w:val="30"/>
          <w:lang w:eastAsia="zh-CN"/>
        </w:rPr>
        <w:t>：</w:t>
      </w:r>
    </w:p>
    <w:p w:rsidR="00DE42E2" w:rsidRDefault="00DE42E2">
      <w:pPr>
        <w:snapToGrid w:val="0"/>
        <w:spacing w:line="600" w:lineRule="exact"/>
        <w:ind w:firstLine="600"/>
        <w:rPr>
          <w:rFonts w:ascii="仿宋_GB2312" w:eastAsia="仿宋_GB2312" w:hAnsi="宋体"/>
          <w:sz w:val="30"/>
          <w:szCs w:val="30"/>
          <w:lang w:eastAsia="zh-CN"/>
        </w:rPr>
      </w:pPr>
      <w:r>
        <w:rPr>
          <w:rFonts w:ascii="仿宋_GB2312" w:eastAsia="仿宋_GB2312" w:hAnsi="宋体" w:hint="eastAsia"/>
          <w:sz w:val="30"/>
          <w:szCs w:val="30"/>
          <w:lang w:eastAsia="zh-CN"/>
        </w:rPr>
        <w:t>经查明</w:t>
      </w:r>
      <w:r>
        <w:rPr>
          <w:rFonts w:ascii="仿宋_GB2312" w:eastAsia="仿宋_GB2312" w:hAnsi="宋体"/>
          <w:sz w:val="30"/>
          <w:szCs w:val="30"/>
          <w:lang w:eastAsia="zh-CN"/>
        </w:rPr>
        <w:t>，</w:t>
      </w:r>
      <w:r>
        <w:rPr>
          <w:rFonts w:ascii="仿宋_GB2312" w:eastAsia="仿宋_GB2312" w:hAnsi="宋体" w:hint="eastAsia"/>
          <w:sz w:val="30"/>
          <w:szCs w:val="30"/>
          <w:lang w:eastAsia="zh-CN"/>
        </w:rPr>
        <w:t>2</w:t>
      </w:r>
      <w:r>
        <w:rPr>
          <w:rFonts w:ascii="仿宋_GB2312" w:eastAsia="仿宋_GB2312" w:hAnsi="宋体"/>
          <w:sz w:val="30"/>
          <w:szCs w:val="30"/>
          <w:lang w:eastAsia="zh-CN"/>
        </w:rPr>
        <w:t>021年3月4日</w:t>
      </w:r>
      <w:r>
        <w:rPr>
          <w:rFonts w:ascii="仿宋_GB2312" w:eastAsia="仿宋_GB2312" w:hAnsi="宋体" w:hint="eastAsia"/>
          <w:sz w:val="30"/>
          <w:szCs w:val="30"/>
          <w:lang w:eastAsia="zh-CN"/>
        </w:rPr>
        <w:t>、2</w:t>
      </w:r>
      <w:r>
        <w:rPr>
          <w:rFonts w:ascii="仿宋_GB2312" w:eastAsia="仿宋_GB2312" w:hAnsi="宋体"/>
          <w:sz w:val="30"/>
          <w:szCs w:val="30"/>
          <w:lang w:eastAsia="zh-CN"/>
        </w:rPr>
        <w:t>022年2月8日</w:t>
      </w:r>
      <w:r>
        <w:rPr>
          <w:rFonts w:ascii="仿宋_GB2312" w:eastAsia="仿宋_GB2312" w:hAnsi="宋体" w:hint="eastAsia"/>
          <w:sz w:val="30"/>
          <w:szCs w:val="30"/>
          <w:lang w:eastAsia="zh-CN"/>
        </w:rPr>
        <w:t>，</w:t>
      </w:r>
      <w:r w:rsidRPr="005D4199">
        <w:rPr>
          <w:rFonts w:ascii="仿宋_GB2312" w:eastAsia="仿宋_GB2312" w:hAnsi="宋体" w:hint="eastAsia"/>
          <w:sz w:val="30"/>
          <w:szCs w:val="30"/>
          <w:lang w:eastAsia="zh-CN"/>
        </w:rPr>
        <w:t>山东新潮能源股份有限公司</w:t>
      </w:r>
      <w:r>
        <w:rPr>
          <w:rFonts w:ascii="仿宋_GB2312" w:eastAsia="仿宋_GB2312" w:hAnsi="宋体" w:hint="eastAsia"/>
          <w:sz w:val="30"/>
          <w:szCs w:val="30"/>
          <w:lang w:eastAsia="zh-CN"/>
        </w:rPr>
        <w:t>（</w:t>
      </w:r>
      <w:r>
        <w:rPr>
          <w:rFonts w:ascii="仿宋_GB2312" w:eastAsia="仿宋_GB2312" w:hAnsi="宋体"/>
          <w:sz w:val="30"/>
          <w:szCs w:val="30"/>
          <w:lang w:eastAsia="zh-CN"/>
        </w:rPr>
        <w:t>以下简称公司或新潮能源）披露</w:t>
      </w:r>
      <w:r>
        <w:rPr>
          <w:rFonts w:ascii="仿宋_GB2312" w:eastAsia="仿宋_GB2312" w:hAnsi="宋体" w:hint="eastAsia"/>
          <w:sz w:val="30"/>
          <w:szCs w:val="30"/>
          <w:lang w:eastAsia="zh-CN"/>
        </w:rPr>
        <w:t>的涉及诉讼及诉讼进展</w:t>
      </w:r>
      <w:r>
        <w:rPr>
          <w:rFonts w:ascii="仿宋_GB2312" w:eastAsia="仿宋_GB2312" w:hAnsi="宋体"/>
          <w:sz w:val="30"/>
          <w:szCs w:val="30"/>
          <w:lang w:eastAsia="zh-CN"/>
        </w:rPr>
        <w:t>公告</w:t>
      </w:r>
      <w:r>
        <w:rPr>
          <w:rFonts w:ascii="仿宋_GB2312" w:eastAsia="仿宋_GB2312" w:hAnsi="宋体" w:hint="eastAsia"/>
          <w:sz w:val="30"/>
          <w:szCs w:val="30"/>
          <w:lang w:eastAsia="zh-CN"/>
        </w:rPr>
        <w:t>称，2</w:t>
      </w:r>
      <w:r>
        <w:rPr>
          <w:rFonts w:ascii="仿宋_GB2312" w:eastAsia="仿宋_GB2312" w:hAnsi="宋体"/>
          <w:sz w:val="30"/>
          <w:szCs w:val="30"/>
          <w:lang w:eastAsia="zh-CN"/>
        </w:rPr>
        <w:t>017年，</w:t>
      </w:r>
      <w:r w:rsidRPr="00856326">
        <w:rPr>
          <w:rFonts w:ascii="仿宋_GB2312" w:eastAsia="仿宋_GB2312" w:hAnsi="宋体" w:hint="eastAsia"/>
          <w:sz w:val="30"/>
          <w:szCs w:val="30"/>
          <w:lang w:eastAsia="zh-CN"/>
        </w:rPr>
        <w:t>华翔（北京）投资有限公司</w:t>
      </w:r>
      <w:r>
        <w:rPr>
          <w:rFonts w:ascii="仿宋_GB2312" w:eastAsia="仿宋_GB2312" w:hAnsi="宋体" w:hint="eastAsia"/>
          <w:sz w:val="30"/>
          <w:szCs w:val="30"/>
          <w:lang w:eastAsia="zh-CN"/>
        </w:rPr>
        <w:t>（</w:t>
      </w:r>
      <w:r>
        <w:rPr>
          <w:rFonts w:ascii="仿宋_GB2312" w:eastAsia="仿宋_GB2312" w:hAnsi="宋体"/>
          <w:sz w:val="30"/>
          <w:szCs w:val="30"/>
          <w:lang w:eastAsia="zh-CN"/>
        </w:rPr>
        <w:t>以下简称华翔投资）</w:t>
      </w:r>
      <w:r>
        <w:rPr>
          <w:rFonts w:ascii="仿宋_GB2312" w:eastAsia="仿宋_GB2312" w:hAnsi="宋体" w:hint="eastAsia"/>
          <w:sz w:val="30"/>
          <w:szCs w:val="30"/>
          <w:lang w:eastAsia="zh-CN"/>
        </w:rPr>
        <w:t>与</w:t>
      </w:r>
      <w:r w:rsidRPr="00AD5C4C">
        <w:rPr>
          <w:rFonts w:ascii="仿宋_GB2312" w:eastAsia="仿宋_GB2312" w:hAnsi="宋体" w:hint="eastAsia"/>
          <w:sz w:val="30"/>
          <w:szCs w:val="30"/>
          <w:lang w:eastAsia="zh-CN"/>
        </w:rPr>
        <w:t>广州农村商业银行股份有限公司</w:t>
      </w:r>
      <w:r>
        <w:rPr>
          <w:rFonts w:ascii="仿宋_GB2312" w:eastAsia="仿宋_GB2312" w:hAnsi="宋体" w:hint="eastAsia"/>
          <w:sz w:val="30"/>
          <w:szCs w:val="30"/>
          <w:lang w:eastAsia="zh-CN"/>
        </w:rPr>
        <w:t>（</w:t>
      </w:r>
      <w:r>
        <w:rPr>
          <w:rFonts w:ascii="仿宋_GB2312" w:eastAsia="仿宋_GB2312" w:hAnsi="宋体"/>
          <w:sz w:val="30"/>
          <w:szCs w:val="30"/>
          <w:lang w:eastAsia="zh-CN"/>
        </w:rPr>
        <w:t>以下简称广州农商行）</w:t>
      </w:r>
      <w:r>
        <w:rPr>
          <w:rFonts w:ascii="仿宋_GB2312" w:eastAsia="仿宋_GB2312" w:hAnsi="宋体" w:hint="eastAsia"/>
          <w:sz w:val="30"/>
          <w:szCs w:val="30"/>
          <w:lang w:eastAsia="zh-CN"/>
        </w:rPr>
        <w:t>、</w:t>
      </w:r>
      <w:r w:rsidRPr="00AD5C4C">
        <w:rPr>
          <w:rFonts w:ascii="仿宋_GB2312" w:eastAsia="仿宋_GB2312" w:hAnsi="宋体" w:hint="eastAsia"/>
          <w:sz w:val="30"/>
          <w:szCs w:val="30"/>
          <w:lang w:eastAsia="zh-CN"/>
        </w:rPr>
        <w:t>国通信托有限责任公司</w:t>
      </w:r>
      <w:r>
        <w:rPr>
          <w:rFonts w:ascii="仿宋_GB2312" w:eastAsia="仿宋_GB2312" w:hAnsi="宋体" w:hint="eastAsia"/>
          <w:sz w:val="30"/>
          <w:szCs w:val="30"/>
          <w:lang w:eastAsia="zh-CN"/>
        </w:rPr>
        <w:t>（以下</w:t>
      </w:r>
      <w:r>
        <w:rPr>
          <w:rFonts w:ascii="仿宋_GB2312" w:eastAsia="仿宋_GB2312" w:hAnsi="宋体"/>
          <w:sz w:val="30"/>
          <w:szCs w:val="30"/>
          <w:lang w:eastAsia="zh-CN"/>
        </w:rPr>
        <w:t>简称国通信托）</w:t>
      </w:r>
      <w:r>
        <w:rPr>
          <w:rFonts w:ascii="仿宋_GB2312" w:eastAsia="仿宋_GB2312" w:hAnsi="宋体" w:hint="eastAsia"/>
          <w:sz w:val="30"/>
          <w:szCs w:val="30"/>
          <w:lang w:eastAsia="zh-CN"/>
        </w:rPr>
        <w:t>达成</w:t>
      </w:r>
      <w:r>
        <w:rPr>
          <w:rFonts w:ascii="仿宋_GB2312" w:eastAsia="仿宋_GB2312" w:hAnsi="宋体"/>
          <w:sz w:val="30"/>
          <w:szCs w:val="30"/>
          <w:lang w:eastAsia="zh-CN"/>
        </w:rPr>
        <w:t>信托贷款安排</w:t>
      </w:r>
      <w:r>
        <w:rPr>
          <w:rFonts w:ascii="仿宋_GB2312" w:eastAsia="仿宋_GB2312" w:hAnsi="宋体" w:hint="eastAsia"/>
          <w:sz w:val="30"/>
          <w:szCs w:val="30"/>
          <w:lang w:eastAsia="zh-CN"/>
        </w:rPr>
        <w:t>。</w:t>
      </w:r>
      <w:r>
        <w:rPr>
          <w:rFonts w:ascii="仿宋_GB2312" w:eastAsia="仿宋_GB2312" w:hAnsi="宋体"/>
          <w:sz w:val="30"/>
          <w:szCs w:val="30"/>
          <w:lang w:eastAsia="zh-CN"/>
        </w:rPr>
        <w:t>广州农商行</w:t>
      </w:r>
      <w:r>
        <w:rPr>
          <w:rFonts w:ascii="仿宋_GB2312" w:eastAsia="仿宋_GB2312" w:hAnsi="宋体" w:hint="eastAsia"/>
          <w:sz w:val="30"/>
          <w:szCs w:val="30"/>
          <w:lang w:eastAsia="zh-CN"/>
        </w:rPr>
        <w:t>分别于2017年6月28日、2017年8月3日将信托资金15亿元、10亿元划转到国通信托制定的信托财产专户，信托计划成立；</w:t>
      </w:r>
      <w:r w:rsidRPr="00AD5C4C">
        <w:rPr>
          <w:rFonts w:ascii="仿宋_GB2312" w:eastAsia="仿宋_GB2312" w:hAnsi="宋体" w:hint="eastAsia"/>
          <w:sz w:val="30"/>
          <w:szCs w:val="30"/>
          <w:lang w:eastAsia="zh-CN"/>
        </w:rPr>
        <w:t>国通信托分别于2017年6月28日、2017年8月3日向华翔投资先后发放贷款15亿元、10亿元</w:t>
      </w:r>
      <w:r>
        <w:rPr>
          <w:rFonts w:ascii="仿宋_GB2312" w:eastAsia="仿宋_GB2312" w:hAnsi="宋体" w:hint="eastAsia"/>
          <w:sz w:val="30"/>
          <w:szCs w:val="30"/>
          <w:lang w:eastAsia="zh-CN"/>
        </w:rPr>
        <w:t>，</w:t>
      </w:r>
      <w:r>
        <w:rPr>
          <w:rFonts w:ascii="仿宋_GB2312" w:eastAsia="仿宋_GB2312" w:hAnsi="宋体"/>
          <w:sz w:val="30"/>
          <w:szCs w:val="30"/>
          <w:lang w:eastAsia="zh-CN"/>
        </w:rPr>
        <w:t>合计25亿元。</w:t>
      </w:r>
      <w:r>
        <w:rPr>
          <w:rFonts w:ascii="仿宋_GB2312" w:eastAsia="仿宋_GB2312" w:hAnsi="宋体" w:hint="eastAsia"/>
          <w:sz w:val="30"/>
          <w:szCs w:val="30"/>
          <w:lang w:eastAsia="zh-CN"/>
        </w:rPr>
        <w:t>同时</w:t>
      </w:r>
      <w:r>
        <w:rPr>
          <w:rFonts w:ascii="仿宋_GB2312" w:eastAsia="仿宋_GB2312" w:hAnsi="宋体"/>
          <w:sz w:val="30"/>
          <w:szCs w:val="30"/>
          <w:lang w:eastAsia="zh-CN"/>
        </w:rPr>
        <w:t>，公司及</w:t>
      </w:r>
      <w:r>
        <w:rPr>
          <w:rFonts w:ascii="仿宋_GB2312" w:eastAsia="仿宋_GB2312" w:hAnsi="宋体" w:hint="eastAsia"/>
          <w:sz w:val="30"/>
          <w:szCs w:val="30"/>
          <w:lang w:eastAsia="zh-CN"/>
        </w:rPr>
        <w:t>1</w:t>
      </w:r>
      <w:r>
        <w:rPr>
          <w:rFonts w:ascii="仿宋_GB2312" w:eastAsia="仿宋_GB2312" w:hAnsi="宋体"/>
          <w:sz w:val="30"/>
          <w:szCs w:val="30"/>
          <w:lang w:eastAsia="zh-CN"/>
        </w:rPr>
        <w:t>1家法人</w:t>
      </w:r>
      <w:r>
        <w:rPr>
          <w:rFonts w:ascii="仿宋_GB2312" w:eastAsia="仿宋_GB2312" w:hAnsi="宋体" w:hint="eastAsia"/>
          <w:sz w:val="30"/>
          <w:szCs w:val="30"/>
          <w:lang w:eastAsia="zh-CN"/>
        </w:rPr>
        <w:t>和</w:t>
      </w:r>
      <w:r>
        <w:rPr>
          <w:rFonts w:ascii="仿宋_GB2312" w:eastAsia="仿宋_GB2312" w:hAnsi="宋体"/>
          <w:sz w:val="30"/>
          <w:szCs w:val="30"/>
          <w:lang w:eastAsia="zh-CN"/>
        </w:rPr>
        <w:t>7名自然人</w:t>
      </w:r>
      <w:r>
        <w:rPr>
          <w:rFonts w:ascii="仿宋_GB2312" w:eastAsia="仿宋_GB2312" w:hAnsi="宋体" w:hint="eastAsia"/>
          <w:sz w:val="30"/>
          <w:szCs w:val="30"/>
          <w:lang w:eastAsia="zh-CN"/>
        </w:rPr>
        <w:t>于</w:t>
      </w:r>
      <w:r>
        <w:rPr>
          <w:rFonts w:ascii="仿宋_GB2312" w:eastAsia="仿宋_GB2312" w:hAnsi="宋体"/>
          <w:sz w:val="30"/>
          <w:szCs w:val="30"/>
          <w:lang w:eastAsia="zh-CN"/>
        </w:rPr>
        <w:t>2017年6月</w:t>
      </w:r>
      <w:r>
        <w:rPr>
          <w:rFonts w:ascii="仿宋_GB2312" w:eastAsia="仿宋_GB2312" w:hAnsi="宋体" w:hint="eastAsia"/>
          <w:sz w:val="30"/>
          <w:szCs w:val="30"/>
          <w:lang w:eastAsia="zh-CN"/>
        </w:rPr>
        <w:t>2</w:t>
      </w:r>
      <w:r>
        <w:rPr>
          <w:rFonts w:ascii="仿宋_GB2312" w:eastAsia="仿宋_GB2312" w:hAnsi="宋体"/>
          <w:sz w:val="30"/>
          <w:szCs w:val="30"/>
          <w:lang w:eastAsia="zh-CN"/>
        </w:rPr>
        <w:t>7日签订</w:t>
      </w:r>
      <w:r>
        <w:rPr>
          <w:rFonts w:ascii="仿宋_GB2312" w:eastAsia="仿宋_GB2312" w:hAnsi="宋体" w:hint="eastAsia"/>
          <w:sz w:val="30"/>
          <w:szCs w:val="30"/>
          <w:lang w:eastAsia="zh-CN"/>
        </w:rPr>
        <w:t>《</w:t>
      </w:r>
      <w:r>
        <w:rPr>
          <w:rFonts w:ascii="仿宋_GB2312" w:eastAsia="仿宋_GB2312" w:hAnsi="宋体"/>
          <w:sz w:val="30"/>
          <w:szCs w:val="30"/>
          <w:lang w:eastAsia="zh-CN"/>
        </w:rPr>
        <w:t>差额补足协议》，</w:t>
      </w:r>
      <w:r w:rsidRPr="00AD5C4C">
        <w:rPr>
          <w:rFonts w:ascii="仿宋_GB2312" w:eastAsia="仿宋_GB2312" w:hAnsi="宋体" w:hint="eastAsia"/>
          <w:sz w:val="30"/>
          <w:szCs w:val="30"/>
          <w:lang w:eastAsia="zh-CN"/>
        </w:rPr>
        <w:t>约定广州农商行在任一合同约定的核算日未能足额收到合同约定的投资本金或收益时，</w:t>
      </w:r>
      <w:r>
        <w:rPr>
          <w:rFonts w:ascii="仿宋_GB2312" w:eastAsia="仿宋_GB2312" w:hAnsi="宋体" w:hint="eastAsia"/>
          <w:sz w:val="30"/>
          <w:szCs w:val="30"/>
          <w:lang w:eastAsia="zh-CN"/>
        </w:rPr>
        <w:t>其</w:t>
      </w:r>
      <w:r w:rsidRPr="00AD5C4C">
        <w:rPr>
          <w:rFonts w:ascii="仿宋_GB2312" w:eastAsia="仿宋_GB2312" w:hAnsi="宋体" w:hint="eastAsia"/>
          <w:sz w:val="30"/>
          <w:szCs w:val="30"/>
          <w:lang w:eastAsia="zh-CN"/>
        </w:rPr>
        <w:t>应向广州农商行承担差额补足义务。</w:t>
      </w:r>
      <w:r>
        <w:rPr>
          <w:rFonts w:ascii="仿宋_GB2312" w:eastAsia="仿宋_GB2312" w:hAnsi="宋体" w:hint="eastAsia"/>
          <w:sz w:val="30"/>
          <w:szCs w:val="30"/>
          <w:lang w:eastAsia="zh-CN"/>
        </w:rPr>
        <w:t>公告显示，一审法院认定上述差额补足事项属于非典型性担保。公司签订的差额补足协议</w:t>
      </w:r>
      <w:r w:rsidRPr="00ED63AF">
        <w:rPr>
          <w:rFonts w:ascii="仿宋_GB2312" w:eastAsia="仿宋_GB2312" w:hAnsi="宋体"/>
          <w:sz w:val="30"/>
          <w:szCs w:val="30"/>
          <w:lang w:eastAsia="zh-CN"/>
        </w:rPr>
        <w:t>所涉本金为</w:t>
      </w:r>
      <w:r>
        <w:rPr>
          <w:rFonts w:ascii="仿宋_GB2312" w:eastAsia="仿宋_GB2312" w:hAnsi="宋体"/>
          <w:sz w:val="30"/>
          <w:szCs w:val="30"/>
          <w:lang w:eastAsia="zh-CN"/>
        </w:rPr>
        <w:t>25亿元，占公司2016年经审计</w:t>
      </w:r>
      <w:r>
        <w:rPr>
          <w:rFonts w:ascii="仿宋_GB2312" w:eastAsia="仿宋_GB2312" w:hAnsi="宋体" w:hint="eastAsia"/>
          <w:sz w:val="30"/>
          <w:szCs w:val="30"/>
          <w:lang w:eastAsia="zh-CN"/>
        </w:rPr>
        <w:t>净资产</w:t>
      </w:r>
      <w:r>
        <w:rPr>
          <w:rFonts w:ascii="仿宋_GB2312" w:eastAsia="仿宋_GB2312" w:hAnsi="宋体"/>
          <w:sz w:val="30"/>
          <w:szCs w:val="30"/>
          <w:lang w:eastAsia="zh-CN"/>
        </w:rPr>
        <w:t>的45.80%</w:t>
      </w:r>
      <w:r>
        <w:rPr>
          <w:rFonts w:ascii="仿宋_GB2312" w:eastAsia="仿宋_GB2312" w:hAnsi="宋体" w:hint="eastAsia"/>
          <w:sz w:val="30"/>
          <w:szCs w:val="30"/>
          <w:lang w:eastAsia="zh-CN"/>
        </w:rPr>
        <w:t>，但</w:t>
      </w:r>
      <w:r>
        <w:rPr>
          <w:rFonts w:ascii="仿宋_GB2312" w:eastAsia="仿宋_GB2312" w:hAnsi="宋体"/>
          <w:sz w:val="30"/>
          <w:szCs w:val="30"/>
          <w:lang w:eastAsia="zh-CN"/>
        </w:rPr>
        <w:t>公司未按规定履行股东大会决策程序，也未按规定履行</w:t>
      </w:r>
      <w:r>
        <w:rPr>
          <w:rFonts w:ascii="仿宋_GB2312" w:eastAsia="仿宋_GB2312" w:hAnsi="宋体" w:hint="eastAsia"/>
          <w:sz w:val="30"/>
          <w:szCs w:val="30"/>
          <w:lang w:eastAsia="zh-CN"/>
        </w:rPr>
        <w:t>临时公告</w:t>
      </w:r>
      <w:r>
        <w:rPr>
          <w:rFonts w:ascii="仿宋_GB2312" w:eastAsia="仿宋_GB2312" w:hAnsi="宋体"/>
          <w:sz w:val="30"/>
          <w:szCs w:val="30"/>
          <w:lang w:eastAsia="zh-CN"/>
        </w:rPr>
        <w:t>信息披露义务。</w:t>
      </w:r>
    </w:p>
    <w:p w:rsidR="00DE42E2" w:rsidRDefault="00DE42E2">
      <w:pPr>
        <w:snapToGrid w:val="0"/>
        <w:spacing w:line="600" w:lineRule="exact"/>
        <w:ind w:firstLine="600"/>
        <w:rPr>
          <w:rFonts w:ascii="仿宋_GB2312" w:eastAsia="仿宋_GB2312" w:hAnsi="宋体"/>
          <w:sz w:val="30"/>
          <w:szCs w:val="30"/>
          <w:lang w:eastAsia="zh-CN"/>
        </w:rPr>
      </w:pPr>
      <w:r>
        <w:rPr>
          <w:rFonts w:ascii="仿宋_GB2312" w:eastAsia="仿宋_GB2312" w:hAnsi="宋体" w:hint="eastAsia"/>
          <w:sz w:val="30"/>
          <w:szCs w:val="30"/>
          <w:lang w:eastAsia="zh-CN"/>
        </w:rPr>
        <w:t>2021年3月4日，公司披露公告称，</w:t>
      </w:r>
      <w:r w:rsidRPr="0014347F">
        <w:rPr>
          <w:rFonts w:ascii="仿宋_GB2312" w:eastAsia="仿宋_GB2312" w:hAnsi="宋体" w:hint="eastAsia"/>
          <w:sz w:val="30"/>
          <w:szCs w:val="30"/>
          <w:lang w:eastAsia="zh-CN"/>
        </w:rPr>
        <w:t>因华翔投资未能</w:t>
      </w:r>
      <w:r>
        <w:rPr>
          <w:rFonts w:ascii="仿宋_GB2312" w:eastAsia="仿宋_GB2312" w:hAnsi="宋体" w:hint="eastAsia"/>
          <w:sz w:val="30"/>
          <w:szCs w:val="30"/>
          <w:lang w:eastAsia="zh-CN"/>
        </w:rPr>
        <w:t>按约</w:t>
      </w:r>
      <w:r w:rsidRPr="0014347F">
        <w:rPr>
          <w:rFonts w:ascii="仿宋_GB2312" w:eastAsia="仿宋_GB2312" w:hAnsi="宋体" w:hint="eastAsia"/>
          <w:sz w:val="30"/>
          <w:szCs w:val="30"/>
          <w:lang w:eastAsia="zh-CN"/>
        </w:rPr>
        <w:t>履行</w:t>
      </w:r>
      <w:r w:rsidRPr="0014347F">
        <w:rPr>
          <w:rFonts w:ascii="仿宋_GB2312" w:eastAsia="仿宋_GB2312" w:hAnsi="宋体" w:hint="eastAsia"/>
          <w:sz w:val="30"/>
          <w:szCs w:val="30"/>
          <w:lang w:eastAsia="zh-CN"/>
        </w:rPr>
        <w:lastRenderedPageBreak/>
        <w:t>还款义务，</w:t>
      </w:r>
      <w:r>
        <w:rPr>
          <w:rFonts w:ascii="仿宋_GB2312" w:eastAsia="仿宋_GB2312" w:hAnsi="宋体" w:hint="eastAsia"/>
          <w:sz w:val="30"/>
          <w:szCs w:val="30"/>
          <w:lang w:eastAsia="zh-CN"/>
        </w:rPr>
        <w:t>广州农商行于</w:t>
      </w:r>
      <w:r w:rsidRPr="009C35D2">
        <w:rPr>
          <w:rFonts w:ascii="仿宋_GB2312" w:eastAsia="仿宋_GB2312" w:hAnsi="宋体" w:hint="eastAsia"/>
          <w:sz w:val="30"/>
          <w:szCs w:val="30"/>
          <w:lang w:eastAsia="zh-CN"/>
        </w:rPr>
        <w:t>2020年11月23日</w:t>
      </w:r>
      <w:r>
        <w:rPr>
          <w:rFonts w:ascii="仿宋_GB2312" w:eastAsia="仿宋_GB2312" w:hAnsi="宋体"/>
          <w:sz w:val="30"/>
          <w:szCs w:val="30"/>
          <w:lang w:eastAsia="zh-CN"/>
        </w:rPr>
        <w:t>向法院提起诉讼，</w:t>
      </w:r>
      <w:r>
        <w:rPr>
          <w:rFonts w:ascii="仿宋_GB2312" w:eastAsia="仿宋_GB2312" w:hAnsi="宋体" w:hint="eastAsia"/>
          <w:sz w:val="30"/>
          <w:szCs w:val="30"/>
          <w:lang w:eastAsia="zh-CN"/>
        </w:rPr>
        <w:t>并于</w:t>
      </w:r>
      <w:r>
        <w:rPr>
          <w:rFonts w:ascii="仿宋_GB2312" w:eastAsia="仿宋_GB2312" w:hAnsi="宋体"/>
          <w:sz w:val="30"/>
          <w:szCs w:val="30"/>
          <w:lang w:eastAsia="zh-CN"/>
        </w:rPr>
        <w:t>2021年3月3日送达公司，</w:t>
      </w:r>
      <w:r>
        <w:rPr>
          <w:rFonts w:ascii="仿宋_GB2312" w:eastAsia="仿宋_GB2312" w:hAnsi="宋体" w:hint="eastAsia"/>
          <w:sz w:val="30"/>
          <w:szCs w:val="30"/>
          <w:lang w:eastAsia="zh-CN"/>
        </w:rPr>
        <w:t>请求</w:t>
      </w:r>
      <w:r>
        <w:rPr>
          <w:rFonts w:ascii="仿宋_GB2312" w:eastAsia="仿宋_GB2312" w:hAnsi="宋体"/>
          <w:sz w:val="30"/>
          <w:szCs w:val="30"/>
          <w:lang w:eastAsia="zh-CN"/>
        </w:rPr>
        <w:t>新潮能源在35.82亿元的范围内承担差额补足责任</w:t>
      </w:r>
      <w:r>
        <w:rPr>
          <w:rFonts w:ascii="仿宋_GB2312" w:eastAsia="仿宋_GB2312" w:hAnsi="宋体" w:hint="eastAsia"/>
          <w:sz w:val="30"/>
          <w:szCs w:val="30"/>
          <w:lang w:eastAsia="zh-CN"/>
        </w:rPr>
        <w:t>，</w:t>
      </w:r>
      <w:r>
        <w:rPr>
          <w:rFonts w:ascii="仿宋_GB2312" w:eastAsia="仿宋_GB2312" w:hAnsi="宋体"/>
          <w:sz w:val="30"/>
          <w:szCs w:val="30"/>
          <w:lang w:eastAsia="zh-CN"/>
        </w:rPr>
        <w:t>上述</w:t>
      </w:r>
      <w:r>
        <w:rPr>
          <w:rFonts w:ascii="仿宋_GB2312" w:eastAsia="仿宋_GB2312" w:hAnsi="宋体" w:hint="eastAsia"/>
          <w:sz w:val="30"/>
          <w:szCs w:val="30"/>
          <w:lang w:eastAsia="zh-CN"/>
        </w:rPr>
        <w:t>金额</w:t>
      </w:r>
      <w:r>
        <w:rPr>
          <w:rFonts w:ascii="仿宋_GB2312" w:eastAsia="仿宋_GB2312" w:hAnsi="宋体"/>
          <w:sz w:val="30"/>
          <w:szCs w:val="30"/>
          <w:lang w:eastAsia="zh-CN"/>
        </w:rPr>
        <w:t>占公司2019年经审计净资产的22.23%</w:t>
      </w:r>
      <w:r w:rsidRPr="00063E43">
        <w:rPr>
          <w:rFonts w:ascii="仿宋_GB2312" w:eastAsia="仿宋_GB2312" w:hAnsi="宋体" w:hint="eastAsia"/>
          <w:sz w:val="30"/>
          <w:szCs w:val="30"/>
          <w:lang w:eastAsia="zh-CN"/>
        </w:rPr>
        <w:t>，占公司</w:t>
      </w:r>
      <w:r w:rsidRPr="00063E43">
        <w:rPr>
          <w:rFonts w:ascii="仿宋_GB2312" w:eastAsia="仿宋_GB2312" w:hAnsi="宋体"/>
          <w:sz w:val="30"/>
          <w:szCs w:val="30"/>
          <w:lang w:eastAsia="zh-CN"/>
        </w:rPr>
        <w:t>2019年经审计净利润的332</w:t>
      </w:r>
      <w:r>
        <w:rPr>
          <w:rFonts w:ascii="仿宋_GB2312" w:eastAsia="仿宋_GB2312" w:hAnsi="宋体" w:hint="eastAsia"/>
          <w:sz w:val="30"/>
          <w:szCs w:val="30"/>
          <w:lang w:eastAsia="zh-CN"/>
        </w:rPr>
        <w:t>.</w:t>
      </w:r>
      <w:r w:rsidRPr="00063E43">
        <w:rPr>
          <w:rFonts w:ascii="仿宋_GB2312" w:eastAsia="仿宋_GB2312" w:hAnsi="宋体"/>
          <w:sz w:val="30"/>
          <w:szCs w:val="30"/>
          <w:lang w:eastAsia="zh-CN"/>
        </w:rPr>
        <w:t>28%</w:t>
      </w:r>
      <w:r>
        <w:rPr>
          <w:rFonts w:ascii="仿宋_GB2312" w:eastAsia="仿宋_GB2312" w:hAnsi="宋体"/>
          <w:sz w:val="30"/>
          <w:szCs w:val="30"/>
          <w:lang w:eastAsia="zh-CN"/>
        </w:rPr>
        <w:t>。2022年2月8日，公司披露一审判决</w:t>
      </w:r>
      <w:r>
        <w:rPr>
          <w:rFonts w:ascii="仿宋_GB2312" w:eastAsia="仿宋_GB2312" w:hAnsi="宋体" w:hint="eastAsia"/>
          <w:sz w:val="30"/>
          <w:szCs w:val="30"/>
          <w:lang w:eastAsia="zh-CN"/>
        </w:rPr>
        <w:t>公告</w:t>
      </w:r>
      <w:r>
        <w:rPr>
          <w:rFonts w:ascii="仿宋_GB2312" w:eastAsia="仿宋_GB2312" w:hAnsi="宋体"/>
          <w:sz w:val="30"/>
          <w:szCs w:val="30"/>
          <w:lang w:eastAsia="zh-CN"/>
        </w:rPr>
        <w:t>，</w:t>
      </w:r>
      <w:r>
        <w:rPr>
          <w:rFonts w:ascii="仿宋_GB2312" w:eastAsia="仿宋_GB2312" w:hAnsi="宋体" w:hint="eastAsia"/>
          <w:sz w:val="30"/>
          <w:szCs w:val="30"/>
          <w:lang w:eastAsia="zh-CN"/>
        </w:rPr>
        <w:t>法院判决</w:t>
      </w:r>
      <w:r>
        <w:rPr>
          <w:rFonts w:ascii="仿宋_GB2312" w:eastAsia="仿宋_GB2312" w:hAnsi="宋体"/>
          <w:sz w:val="30"/>
          <w:szCs w:val="30"/>
          <w:lang w:eastAsia="zh-CN"/>
        </w:rPr>
        <w:t>公司在15.86亿</w:t>
      </w:r>
      <w:r w:rsidRPr="0014347F">
        <w:rPr>
          <w:rFonts w:ascii="仿宋_GB2312" w:eastAsia="仿宋_GB2312" w:hAnsi="宋体" w:hint="eastAsia"/>
          <w:sz w:val="30"/>
          <w:szCs w:val="30"/>
          <w:lang w:eastAsia="zh-CN"/>
        </w:rPr>
        <w:t>元</w:t>
      </w:r>
      <w:r>
        <w:rPr>
          <w:rFonts w:ascii="仿宋_GB2312" w:eastAsia="仿宋_GB2312" w:hAnsi="宋体" w:hint="eastAsia"/>
          <w:sz w:val="30"/>
          <w:szCs w:val="30"/>
          <w:lang w:eastAsia="zh-CN"/>
        </w:rPr>
        <w:t>范围</w:t>
      </w:r>
      <w:r>
        <w:rPr>
          <w:rFonts w:ascii="仿宋_GB2312" w:eastAsia="仿宋_GB2312" w:hAnsi="宋体"/>
          <w:sz w:val="30"/>
          <w:szCs w:val="30"/>
          <w:lang w:eastAsia="zh-CN"/>
        </w:rPr>
        <w:t>内对华翔投资不能清偿的债务承担赔偿责任</w:t>
      </w:r>
      <w:r>
        <w:rPr>
          <w:rFonts w:ascii="仿宋_GB2312" w:eastAsia="仿宋_GB2312" w:hAnsi="宋体" w:hint="eastAsia"/>
          <w:sz w:val="30"/>
          <w:szCs w:val="30"/>
          <w:lang w:eastAsia="zh-CN"/>
        </w:rPr>
        <w:t>，</w:t>
      </w:r>
      <w:r>
        <w:rPr>
          <w:rFonts w:ascii="仿宋_GB2312" w:eastAsia="仿宋_GB2312" w:hAnsi="宋体"/>
          <w:sz w:val="30"/>
          <w:szCs w:val="30"/>
          <w:lang w:eastAsia="zh-CN"/>
        </w:rPr>
        <w:t>上述</w:t>
      </w:r>
      <w:r>
        <w:rPr>
          <w:rFonts w:ascii="仿宋_GB2312" w:eastAsia="仿宋_GB2312" w:hAnsi="宋体" w:hint="eastAsia"/>
          <w:sz w:val="30"/>
          <w:szCs w:val="30"/>
          <w:lang w:eastAsia="zh-CN"/>
        </w:rPr>
        <w:t>金额</w:t>
      </w:r>
      <w:r>
        <w:rPr>
          <w:rFonts w:ascii="仿宋_GB2312" w:eastAsia="仿宋_GB2312" w:hAnsi="宋体"/>
          <w:sz w:val="30"/>
          <w:szCs w:val="30"/>
          <w:lang w:eastAsia="zh-CN"/>
        </w:rPr>
        <w:t>占公司</w:t>
      </w:r>
      <w:r>
        <w:rPr>
          <w:rFonts w:ascii="仿宋_GB2312" w:eastAsia="仿宋_GB2312" w:hAnsi="宋体" w:hint="eastAsia"/>
          <w:sz w:val="30"/>
          <w:szCs w:val="30"/>
          <w:lang w:eastAsia="zh-CN"/>
        </w:rPr>
        <w:t>2</w:t>
      </w:r>
      <w:r>
        <w:rPr>
          <w:rFonts w:ascii="仿宋_GB2312" w:eastAsia="仿宋_GB2312" w:hAnsi="宋体"/>
          <w:sz w:val="30"/>
          <w:szCs w:val="30"/>
          <w:lang w:eastAsia="zh-CN"/>
        </w:rPr>
        <w:t>020年经审计净利润</w:t>
      </w:r>
      <w:r>
        <w:rPr>
          <w:rFonts w:ascii="仿宋_GB2312" w:eastAsia="仿宋_GB2312" w:hAnsi="宋体" w:hint="eastAsia"/>
          <w:sz w:val="30"/>
          <w:szCs w:val="30"/>
          <w:lang w:eastAsia="zh-CN"/>
        </w:rPr>
        <w:t>绝对值</w:t>
      </w:r>
      <w:r>
        <w:rPr>
          <w:rFonts w:ascii="仿宋_GB2312" w:eastAsia="仿宋_GB2312" w:hAnsi="宋体"/>
          <w:sz w:val="30"/>
          <w:szCs w:val="30"/>
          <w:lang w:eastAsia="zh-CN"/>
        </w:rPr>
        <w:t>的59.70%</w:t>
      </w:r>
      <w:r>
        <w:rPr>
          <w:rFonts w:ascii="仿宋_GB2312" w:eastAsia="仿宋_GB2312" w:hAnsi="宋体" w:hint="eastAsia"/>
          <w:sz w:val="30"/>
          <w:szCs w:val="30"/>
          <w:lang w:eastAsia="zh-CN"/>
        </w:rPr>
        <w:t>。</w:t>
      </w:r>
    </w:p>
    <w:p w:rsidR="00DE42E2" w:rsidRDefault="00DE42E2">
      <w:pPr>
        <w:snapToGrid w:val="0"/>
        <w:spacing w:line="600" w:lineRule="exact"/>
        <w:ind w:firstLine="600"/>
        <w:rPr>
          <w:rFonts w:ascii="仿宋_GB2312" w:eastAsia="仿宋_GB2312"/>
          <w:sz w:val="30"/>
          <w:szCs w:val="30"/>
        </w:rPr>
      </w:pPr>
      <w:r>
        <w:rPr>
          <w:rFonts w:ascii="仿宋_GB2312" w:eastAsia="仿宋_GB2312" w:hAnsi="宋体" w:hint="eastAsia"/>
          <w:sz w:val="30"/>
          <w:szCs w:val="30"/>
          <w:lang w:eastAsia="zh-CN"/>
        </w:rPr>
        <w:t>综上，公司在未</w:t>
      </w:r>
      <w:r w:rsidRPr="003A2070">
        <w:rPr>
          <w:rFonts w:ascii="仿宋_GB2312" w:eastAsia="仿宋_GB2312" w:hint="eastAsia"/>
          <w:sz w:val="30"/>
          <w:szCs w:val="30"/>
        </w:rPr>
        <w:t>根据相关规则要求履行董事会、股东大会决策程序</w:t>
      </w:r>
      <w:r>
        <w:rPr>
          <w:rFonts w:ascii="仿宋_GB2312" w:eastAsia="仿宋_GB2312" w:hint="eastAsia"/>
          <w:sz w:val="30"/>
          <w:szCs w:val="30"/>
          <w:lang w:eastAsia="zh-CN"/>
        </w:rPr>
        <w:t>的</w:t>
      </w:r>
      <w:r>
        <w:rPr>
          <w:rFonts w:ascii="仿宋_GB2312" w:eastAsia="仿宋_GB2312"/>
          <w:sz w:val="30"/>
          <w:szCs w:val="30"/>
          <w:lang w:eastAsia="zh-CN"/>
        </w:rPr>
        <w:t>情况下</w:t>
      </w:r>
      <w:r>
        <w:rPr>
          <w:rFonts w:ascii="仿宋_GB2312" w:eastAsia="仿宋_GB2312" w:hint="eastAsia"/>
          <w:sz w:val="30"/>
          <w:szCs w:val="30"/>
          <w:lang w:eastAsia="zh-CN"/>
        </w:rPr>
        <w:t>签订差额补足协议</w:t>
      </w:r>
      <w:r w:rsidRPr="003A2070">
        <w:rPr>
          <w:rFonts w:ascii="仿宋_GB2312" w:eastAsia="仿宋_GB2312" w:hint="eastAsia"/>
          <w:sz w:val="30"/>
          <w:szCs w:val="30"/>
        </w:rPr>
        <w:t>，也未及时履行信息披露义务，</w:t>
      </w:r>
      <w:r>
        <w:rPr>
          <w:rFonts w:ascii="仿宋_GB2312" w:eastAsia="仿宋_GB2312" w:hint="eastAsia"/>
          <w:sz w:val="30"/>
          <w:szCs w:val="30"/>
          <w:lang w:eastAsia="zh-CN"/>
        </w:rPr>
        <w:t>导致公司可能遭受重大损失，涉及金额巨大，直至</w:t>
      </w:r>
      <w:r>
        <w:rPr>
          <w:rFonts w:ascii="仿宋_GB2312" w:eastAsia="仿宋_GB2312"/>
          <w:sz w:val="30"/>
          <w:szCs w:val="30"/>
          <w:lang w:eastAsia="zh-CN"/>
        </w:rPr>
        <w:t>被提起诉讼后才对外披露，</w:t>
      </w:r>
      <w:r>
        <w:rPr>
          <w:rFonts w:ascii="仿宋_GB2312" w:eastAsia="仿宋_GB2312" w:hint="eastAsia"/>
          <w:sz w:val="30"/>
          <w:szCs w:val="30"/>
          <w:lang w:eastAsia="zh-CN"/>
        </w:rPr>
        <w:t>情节特别严重。</w:t>
      </w:r>
      <w:r w:rsidRPr="003A2070">
        <w:rPr>
          <w:rFonts w:ascii="仿宋_GB2312" w:eastAsia="仿宋_GB2312" w:hint="eastAsia"/>
          <w:sz w:val="30"/>
          <w:szCs w:val="30"/>
        </w:rPr>
        <w:t>上述行为违反了《上海证券交易所股票上市规则》</w:t>
      </w:r>
      <w:r>
        <w:rPr>
          <w:rFonts w:ascii="仿宋_GB2312" w:eastAsia="仿宋_GB2312" w:hint="eastAsia"/>
          <w:sz w:val="30"/>
          <w:szCs w:val="30"/>
          <w:lang w:eastAsia="zh-CN"/>
        </w:rPr>
        <w:t>（</w:t>
      </w:r>
      <w:r>
        <w:rPr>
          <w:rFonts w:ascii="仿宋_GB2312" w:eastAsia="仿宋_GB2312"/>
          <w:sz w:val="30"/>
          <w:szCs w:val="30"/>
          <w:lang w:eastAsia="zh-CN"/>
        </w:rPr>
        <w:t>2020年修订）</w:t>
      </w:r>
      <w:r w:rsidRPr="003A2070">
        <w:rPr>
          <w:rFonts w:ascii="仿宋_GB2312" w:eastAsia="仿宋_GB2312" w:hint="eastAsia"/>
          <w:sz w:val="30"/>
          <w:szCs w:val="30"/>
        </w:rPr>
        <w:t>（以下简称《股票上市规则》）第2.1条、第2.3条、第9.11条</w:t>
      </w:r>
      <w:r>
        <w:rPr>
          <w:rFonts w:ascii="仿宋_GB2312" w:eastAsia="仿宋_GB2312" w:hint="eastAsia"/>
          <w:sz w:val="30"/>
          <w:szCs w:val="30"/>
          <w:lang w:eastAsia="zh-CN"/>
        </w:rPr>
        <w:t>、第11.12.5条</w:t>
      </w:r>
      <w:r w:rsidRPr="003A2070">
        <w:rPr>
          <w:rFonts w:ascii="仿宋_GB2312" w:eastAsia="仿宋_GB2312" w:hint="eastAsia"/>
          <w:sz w:val="30"/>
          <w:szCs w:val="30"/>
        </w:rPr>
        <w:t>等有关规定。</w:t>
      </w:r>
    </w:p>
    <w:p w:rsidR="00DE42E2" w:rsidRDefault="00DE42E2">
      <w:pPr>
        <w:snapToGrid w:val="0"/>
        <w:spacing w:line="600" w:lineRule="exact"/>
        <w:ind w:firstLine="600"/>
        <w:rPr>
          <w:rFonts w:ascii="仿宋_GB2312" w:eastAsia="仿宋_GB2312"/>
          <w:sz w:val="30"/>
          <w:szCs w:val="30"/>
        </w:rPr>
      </w:pPr>
      <w:r>
        <w:rPr>
          <w:rFonts w:ascii="仿宋_GB2312" w:eastAsia="仿宋_GB2312" w:hint="eastAsia"/>
          <w:sz w:val="30"/>
          <w:szCs w:val="30"/>
          <w:lang w:eastAsia="zh-CN"/>
        </w:rPr>
        <w:t>责任人</w:t>
      </w:r>
      <w:r>
        <w:rPr>
          <w:rFonts w:ascii="仿宋_GB2312" w:eastAsia="仿宋_GB2312"/>
          <w:sz w:val="30"/>
          <w:szCs w:val="30"/>
          <w:lang w:eastAsia="zh-CN"/>
        </w:rPr>
        <w:t>方面，时任董事长黄万珍</w:t>
      </w:r>
      <w:r>
        <w:rPr>
          <w:rFonts w:ascii="仿宋_GB2312" w:eastAsia="仿宋_GB2312" w:hint="eastAsia"/>
          <w:sz w:val="30"/>
          <w:szCs w:val="30"/>
          <w:lang w:eastAsia="zh-CN"/>
        </w:rPr>
        <w:t>（</w:t>
      </w:r>
      <w:r>
        <w:rPr>
          <w:rFonts w:ascii="仿宋_GB2312" w:eastAsia="仿宋_GB2312"/>
          <w:sz w:val="30"/>
          <w:szCs w:val="30"/>
          <w:lang w:eastAsia="zh-CN"/>
        </w:rPr>
        <w:t>任期2014年4月11日至2017年12</w:t>
      </w:r>
      <w:r>
        <w:rPr>
          <w:rFonts w:ascii="仿宋_GB2312" w:eastAsia="仿宋_GB2312" w:hint="eastAsia"/>
          <w:sz w:val="30"/>
          <w:szCs w:val="30"/>
          <w:lang w:eastAsia="zh-CN"/>
        </w:rPr>
        <w:t>月</w:t>
      </w:r>
      <w:r>
        <w:rPr>
          <w:rFonts w:ascii="仿宋_GB2312" w:eastAsia="仿宋_GB2312"/>
          <w:sz w:val="30"/>
          <w:szCs w:val="30"/>
          <w:lang w:eastAsia="zh-CN"/>
        </w:rPr>
        <w:t>21日）</w:t>
      </w:r>
      <w:r>
        <w:rPr>
          <w:rFonts w:ascii="仿宋_GB2312" w:eastAsia="仿宋_GB2312" w:hint="eastAsia"/>
          <w:sz w:val="30"/>
          <w:szCs w:val="30"/>
          <w:lang w:eastAsia="zh-CN"/>
        </w:rPr>
        <w:t>作为</w:t>
      </w:r>
      <w:r>
        <w:rPr>
          <w:rFonts w:ascii="仿宋_GB2312" w:eastAsia="仿宋_GB2312"/>
          <w:sz w:val="30"/>
          <w:szCs w:val="30"/>
          <w:lang w:eastAsia="zh-CN"/>
        </w:rPr>
        <w:t>公司经营决策</w:t>
      </w:r>
      <w:r>
        <w:rPr>
          <w:rFonts w:ascii="仿宋_GB2312" w:eastAsia="仿宋_GB2312" w:hint="eastAsia"/>
          <w:sz w:val="30"/>
          <w:szCs w:val="30"/>
          <w:lang w:eastAsia="zh-CN"/>
        </w:rPr>
        <w:t>和</w:t>
      </w:r>
      <w:r>
        <w:rPr>
          <w:rFonts w:ascii="仿宋_GB2312" w:eastAsia="仿宋_GB2312"/>
          <w:sz w:val="30"/>
          <w:szCs w:val="30"/>
          <w:lang w:eastAsia="zh-CN"/>
        </w:rPr>
        <w:t>信息披露的首要负责人</w:t>
      </w:r>
      <w:r>
        <w:rPr>
          <w:rFonts w:ascii="仿宋_GB2312" w:eastAsia="仿宋_GB2312" w:hint="eastAsia"/>
          <w:sz w:val="30"/>
          <w:szCs w:val="30"/>
          <w:lang w:eastAsia="zh-CN"/>
        </w:rPr>
        <w:t>，</w:t>
      </w:r>
      <w:r>
        <w:rPr>
          <w:rFonts w:ascii="仿宋_GB2312" w:eastAsia="仿宋_GB2312" w:hAnsi="宋体" w:hint="eastAsia"/>
          <w:sz w:val="30"/>
          <w:szCs w:val="30"/>
          <w:lang w:eastAsia="zh-CN"/>
        </w:rPr>
        <w:t>未勤勉尽责</w:t>
      </w:r>
      <w:r>
        <w:rPr>
          <w:rFonts w:ascii="仿宋_GB2312" w:eastAsia="仿宋_GB2312" w:hAnsi="宋体"/>
          <w:sz w:val="30"/>
          <w:szCs w:val="30"/>
          <w:lang w:eastAsia="zh-CN"/>
        </w:rPr>
        <w:t>，对于上述事项负有相应责任</w:t>
      </w:r>
      <w:r w:rsidR="000F7DB5">
        <w:rPr>
          <w:rFonts w:ascii="仿宋_GB2312" w:eastAsia="仿宋_GB2312" w:hAnsi="宋体" w:hint="eastAsia"/>
          <w:sz w:val="30"/>
          <w:szCs w:val="30"/>
          <w:lang w:eastAsia="zh-CN"/>
        </w:rPr>
        <w:t>，</w:t>
      </w:r>
      <w:r w:rsidRPr="003A2070">
        <w:rPr>
          <w:rFonts w:ascii="仿宋_GB2312" w:eastAsia="仿宋_GB2312" w:hint="eastAsia"/>
          <w:sz w:val="30"/>
          <w:szCs w:val="30"/>
        </w:rPr>
        <w:t>违反了《股票上市规则》第2.2条、第3.1.4条、第3.1.5</w:t>
      </w:r>
      <w:r>
        <w:rPr>
          <w:rFonts w:ascii="仿宋_GB2312" w:eastAsia="仿宋_GB2312" w:hint="eastAsia"/>
          <w:sz w:val="30"/>
          <w:szCs w:val="30"/>
        </w:rPr>
        <w:t>条</w:t>
      </w:r>
      <w:r w:rsidRPr="003A2070">
        <w:rPr>
          <w:rFonts w:ascii="仿宋_GB2312" w:eastAsia="仿宋_GB2312" w:hint="eastAsia"/>
          <w:sz w:val="30"/>
          <w:szCs w:val="30"/>
        </w:rPr>
        <w:t>及其在《董事（监事、高级管理人员）声明及承诺书》中</w:t>
      </w:r>
      <w:r>
        <w:rPr>
          <w:rFonts w:ascii="仿宋_GB2312" w:eastAsia="仿宋_GB2312" w:hint="eastAsia"/>
          <w:sz w:val="30"/>
          <w:szCs w:val="30"/>
          <w:lang w:eastAsia="zh-CN"/>
        </w:rPr>
        <w:t>作</w:t>
      </w:r>
      <w:r w:rsidRPr="003A2070">
        <w:rPr>
          <w:rFonts w:ascii="仿宋_GB2312" w:eastAsia="仿宋_GB2312" w:hint="eastAsia"/>
          <w:sz w:val="30"/>
          <w:szCs w:val="30"/>
        </w:rPr>
        <w:t>出的承诺。</w:t>
      </w:r>
    </w:p>
    <w:p w:rsidR="00DE42E2" w:rsidRDefault="00DE42E2">
      <w:pPr>
        <w:snapToGrid w:val="0"/>
        <w:spacing w:line="600" w:lineRule="exact"/>
        <w:ind w:firstLine="600"/>
        <w:rPr>
          <w:rFonts w:ascii="仿宋_GB2312" w:eastAsia="仿宋_GB2312" w:hAnsi="宋体"/>
          <w:sz w:val="30"/>
          <w:szCs w:val="30"/>
          <w:lang w:eastAsia="zh-CN"/>
        </w:rPr>
      </w:pPr>
      <w:r>
        <w:rPr>
          <w:rFonts w:ascii="仿宋_GB2312" w:eastAsia="仿宋_GB2312" w:hAnsi="宋体"/>
          <w:sz w:val="30"/>
          <w:szCs w:val="30"/>
        </w:rPr>
        <w:t>鉴于上述违规事实和情节</w:t>
      </w:r>
      <w:r>
        <w:rPr>
          <w:rFonts w:ascii="仿宋_GB2312" w:eastAsia="仿宋_GB2312" w:hAnsi="宋体" w:hint="eastAsia"/>
          <w:sz w:val="30"/>
          <w:szCs w:val="30"/>
        </w:rPr>
        <w:t>，我部拟提请本所纪律处分委员会审核，根据</w:t>
      </w:r>
      <w:r>
        <w:rPr>
          <w:rFonts w:ascii="仿宋_GB2312" w:eastAsia="仿宋_GB2312" w:hAnsi="宋体"/>
          <w:sz w:val="30"/>
          <w:szCs w:val="30"/>
        </w:rPr>
        <w:t>《股票上市规则</w:t>
      </w:r>
      <w:r>
        <w:rPr>
          <w:rFonts w:ascii="仿宋_GB2312" w:eastAsia="仿宋_GB2312" w:hAnsi="宋体" w:hint="eastAsia"/>
          <w:sz w:val="30"/>
          <w:szCs w:val="30"/>
        </w:rPr>
        <w:t>》</w:t>
      </w:r>
      <w:r>
        <w:rPr>
          <w:rFonts w:ascii="仿宋_GB2312" w:eastAsia="仿宋_GB2312" w:hAnsi="宋体"/>
          <w:sz w:val="30"/>
          <w:szCs w:val="30"/>
          <w:lang w:eastAsia="zh-CN"/>
        </w:rPr>
        <w:t>第16.3条</w:t>
      </w:r>
      <w:r>
        <w:rPr>
          <w:rFonts w:ascii="仿宋_GB2312" w:eastAsia="仿宋_GB2312" w:hAnsi="宋体"/>
          <w:sz w:val="30"/>
          <w:szCs w:val="30"/>
        </w:rPr>
        <w:t>的规定，对</w:t>
      </w:r>
      <w:r w:rsidRPr="005D4199">
        <w:rPr>
          <w:rFonts w:ascii="仿宋_GB2312" w:eastAsia="仿宋_GB2312" w:hAnsi="宋体" w:hint="eastAsia"/>
          <w:sz w:val="30"/>
          <w:szCs w:val="30"/>
          <w:lang w:eastAsia="zh-CN"/>
        </w:rPr>
        <w:t>山东新潮能源股份有限公司</w:t>
      </w:r>
      <w:r>
        <w:rPr>
          <w:rFonts w:ascii="仿宋_GB2312" w:eastAsia="仿宋_GB2312" w:hAnsi="宋体"/>
          <w:sz w:val="30"/>
          <w:szCs w:val="30"/>
          <w:lang w:eastAsia="zh-CN"/>
        </w:rPr>
        <w:t>时任董事长黄万珍予以公开谴责，并公开认定黄万珍</w:t>
      </w:r>
      <w:r>
        <w:rPr>
          <w:rFonts w:ascii="仿宋_GB2312" w:eastAsia="仿宋_GB2312" w:hAnsi="宋体" w:hint="eastAsia"/>
          <w:sz w:val="30"/>
          <w:szCs w:val="30"/>
          <w:lang w:eastAsia="zh-CN"/>
        </w:rPr>
        <w:t>1</w:t>
      </w:r>
      <w:r>
        <w:rPr>
          <w:rFonts w:ascii="仿宋_GB2312" w:eastAsia="仿宋_GB2312" w:hAnsi="宋体"/>
          <w:sz w:val="30"/>
          <w:szCs w:val="30"/>
          <w:lang w:eastAsia="zh-CN"/>
        </w:rPr>
        <w:t>0年内不适合</w:t>
      </w:r>
      <w:r>
        <w:rPr>
          <w:rFonts w:ascii="仿宋_GB2312" w:eastAsia="仿宋_GB2312" w:hAnsi="宋体" w:hint="eastAsia"/>
          <w:sz w:val="30"/>
          <w:szCs w:val="30"/>
          <w:lang w:eastAsia="zh-CN"/>
        </w:rPr>
        <w:t>担任</w:t>
      </w:r>
      <w:r>
        <w:rPr>
          <w:rFonts w:ascii="仿宋_GB2312" w:eastAsia="仿宋_GB2312" w:hAnsi="宋体"/>
          <w:sz w:val="30"/>
          <w:szCs w:val="30"/>
          <w:lang w:eastAsia="zh-CN"/>
        </w:rPr>
        <w:t>上市公司董事、监事、高级管理人员。</w:t>
      </w:r>
    </w:p>
    <w:p w:rsidR="00DE42E2" w:rsidRDefault="00DE42E2">
      <w:pPr>
        <w:adjustRightInd w:val="0"/>
        <w:snapToGrid w:val="0"/>
        <w:spacing w:line="600" w:lineRule="exact"/>
        <w:ind w:firstLine="600"/>
        <w:rPr>
          <w:rFonts w:ascii="仿宋_GB2312" w:eastAsia="仿宋_GB2312" w:hAnsi="宋体"/>
          <w:sz w:val="30"/>
          <w:szCs w:val="30"/>
          <w:lang w:eastAsia="zh-CN"/>
        </w:rPr>
      </w:pPr>
      <w:r>
        <w:rPr>
          <w:rFonts w:ascii="仿宋_GB2312" w:eastAsia="仿宋_GB2312" w:hAnsi="宋体"/>
          <w:sz w:val="30"/>
          <w:szCs w:val="30"/>
        </w:rPr>
        <w:t>上述纪律处分将</w:t>
      </w:r>
      <w:r>
        <w:rPr>
          <w:rFonts w:ascii="仿宋_GB2312" w:eastAsia="仿宋_GB2312" w:hAnsi="宋体" w:hint="eastAsia"/>
          <w:sz w:val="30"/>
          <w:szCs w:val="30"/>
        </w:rPr>
        <w:t>通报中国证监会</w:t>
      </w:r>
      <w:r>
        <w:rPr>
          <w:rFonts w:ascii="仿宋_GB2312" w:eastAsia="仿宋_GB2312" w:hAnsi="宋体" w:hint="eastAsia"/>
          <w:sz w:val="30"/>
          <w:szCs w:val="30"/>
          <w:lang w:eastAsia="zh-CN"/>
        </w:rPr>
        <w:t>和山东省人民政府</w:t>
      </w:r>
      <w:r>
        <w:rPr>
          <w:rFonts w:ascii="仿宋_GB2312" w:eastAsia="仿宋_GB2312" w:hAnsi="宋体" w:hint="eastAsia"/>
          <w:sz w:val="30"/>
          <w:szCs w:val="30"/>
        </w:rPr>
        <w:t>，并记入上</w:t>
      </w:r>
      <w:r>
        <w:rPr>
          <w:rFonts w:ascii="仿宋_GB2312" w:eastAsia="仿宋_GB2312" w:hAnsi="宋体" w:hint="eastAsia"/>
          <w:sz w:val="30"/>
          <w:szCs w:val="30"/>
        </w:rPr>
        <w:lastRenderedPageBreak/>
        <w:t>市公司诚信档案。</w:t>
      </w:r>
    </w:p>
    <w:p w:rsidR="00DE42E2" w:rsidRDefault="00DE42E2" w:rsidP="00DE42E2">
      <w:pPr>
        <w:snapToGrid w:val="0"/>
        <w:spacing w:line="600" w:lineRule="exact"/>
        <w:ind w:rightChars="1" w:right="2" w:firstLineChars="200" w:firstLine="600"/>
        <w:jc w:val="right"/>
        <w:rPr>
          <w:rFonts w:ascii="仿宋_GB2312" w:eastAsia="仿宋_GB2312" w:hAnsi="宋体"/>
          <w:sz w:val="30"/>
          <w:szCs w:val="30"/>
          <w:lang w:eastAsia="zh-CN"/>
        </w:rPr>
      </w:pPr>
    </w:p>
    <w:p w:rsidR="00DE42E2" w:rsidRDefault="00DE42E2" w:rsidP="00DE42E2">
      <w:pPr>
        <w:snapToGrid w:val="0"/>
        <w:spacing w:line="600" w:lineRule="exact"/>
        <w:ind w:rightChars="1" w:right="2" w:firstLineChars="200" w:firstLine="600"/>
        <w:jc w:val="right"/>
        <w:rPr>
          <w:rFonts w:ascii="仿宋_GB2312" w:eastAsia="仿宋_GB2312" w:hAnsi="宋体"/>
          <w:sz w:val="30"/>
          <w:szCs w:val="30"/>
          <w:lang w:eastAsia="zh-CN"/>
        </w:rPr>
      </w:pPr>
    </w:p>
    <w:p w:rsidR="00DE42E2" w:rsidRDefault="00DE42E2">
      <w:pPr>
        <w:snapToGrid w:val="0"/>
        <w:spacing w:line="600" w:lineRule="exact"/>
        <w:jc w:val="left"/>
        <w:rPr>
          <w:lang w:eastAsia="zh-CN"/>
        </w:rPr>
      </w:pPr>
    </w:p>
    <w:p w:rsidR="00DE42E2" w:rsidRDefault="00DE42E2">
      <w:pPr>
        <w:snapToGrid w:val="0"/>
        <w:spacing w:line="600" w:lineRule="exact"/>
        <w:jc w:val="left"/>
        <w:rPr>
          <w:lang w:eastAsia="zh-CN"/>
        </w:rPr>
      </w:pPr>
    </w:p>
    <w:p w:rsidR="00DE42E2" w:rsidRDefault="00DE42E2">
      <w:pPr>
        <w:snapToGrid w:val="0"/>
        <w:spacing w:line="600" w:lineRule="exact"/>
        <w:ind w:rightChars="1" w:right="2" w:firstLineChars="200" w:firstLine="420"/>
        <w:jc w:val="right"/>
        <w:rPr>
          <w:rFonts w:ascii="仿宋_GB2312" w:eastAsia="仿宋_GB2312" w:hAnsi="宋体"/>
          <w:sz w:val="30"/>
          <w:szCs w:val="30"/>
        </w:rPr>
      </w:pPr>
      <w:r>
        <w:rPr>
          <w:rFonts w:hint="eastAsia"/>
          <w:lang w:eastAsia="zh-CN"/>
        </w:rPr>
        <w:t xml:space="preserve">                                </w:t>
      </w:r>
      <w:r>
        <w:rPr>
          <w:rFonts w:ascii="仿宋_GB2312" w:eastAsia="仿宋_GB2312" w:hAnsi="宋体" w:hint="eastAsia"/>
          <w:sz w:val="30"/>
          <w:szCs w:val="30"/>
        </w:rPr>
        <w:t>上海证券交易所上市公司</w:t>
      </w:r>
      <w:r>
        <w:rPr>
          <w:rFonts w:ascii="仿宋_GB2312" w:eastAsia="仿宋_GB2312" w:hAnsi="宋体" w:hint="eastAsia"/>
          <w:sz w:val="30"/>
          <w:szCs w:val="30"/>
          <w:lang w:eastAsia="zh-CN"/>
        </w:rPr>
        <w:t>管理二</w:t>
      </w:r>
      <w:r>
        <w:rPr>
          <w:rFonts w:ascii="仿宋_GB2312" w:eastAsia="仿宋_GB2312" w:hAnsi="宋体" w:hint="eastAsia"/>
          <w:sz w:val="30"/>
          <w:szCs w:val="30"/>
        </w:rPr>
        <w:t>部</w:t>
      </w:r>
    </w:p>
    <w:p w:rsidR="00DE42E2" w:rsidRDefault="00DE42E2">
      <w:pPr>
        <w:snapToGrid w:val="0"/>
        <w:spacing w:line="600" w:lineRule="exact"/>
        <w:ind w:left="4620" w:firstLine="420"/>
        <w:rPr>
          <w:rFonts w:ascii="仿宋_GB2312" w:eastAsia="仿宋_GB2312" w:hAnsi="仿宋_GB2312" w:cs="仿宋_GB2312"/>
          <w:sz w:val="30"/>
          <w:szCs w:val="30"/>
          <w:lang w:eastAsia="zh-CN"/>
        </w:rPr>
      </w:pPr>
      <w:r>
        <w:rPr>
          <w:rFonts w:ascii="仿宋_GB2312" w:eastAsia="仿宋_GB2312" w:hint="eastAsia"/>
          <w:sz w:val="30"/>
          <w:szCs w:val="30"/>
          <w:lang w:eastAsia="zh-CN"/>
        </w:rPr>
        <w:t>二</w:t>
      </w:r>
      <w:r>
        <w:rPr>
          <w:rFonts w:ascii="宋体" w:hAnsi="宋体" w:cs="宋体" w:hint="eastAsia"/>
          <w:sz w:val="30"/>
          <w:szCs w:val="30"/>
          <w:lang w:eastAsia="zh-CN"/>
        </w:rPr>
        <w:t>〇</w:t>
      </w:r>
      <w:r w:rsidR="000F7DB5">
        <w:rPr>
          <w:rFonts w:ascii="仿宋_GB2312" w:eastAsia="仿宋_GB2312" w:hAnsi="仿宋_GB2312" w:cs="仿宋_GB2312" w:hint="eastAsia"/>
          <w:sz w:val="30"/>
          <w:szCs w:val="30"/>
          <w:lang w:eastAsia="zh-CN"/>
        </w:rPr>
        <w:t>二二年四月十八</w:t>
      </w:r>
      <w:r>
        <w:rPr>
          <w:rFonts w:ascii="仿宋_GB2312" w:eastAsia="仿宋_GB2312" w:hAnsi="仿宋_GB2312" w:cs="仿宋_GB2312" w:hint="eastAsia"/>
          <w:sz w:val="30"/>
          <w:szCs w:val="30"/>
          <w:lang w:eastAsia="zh-CN"/>
        </w:rPr>
        <w:t>日</w:t>
      </w:r>
    </w:p>
    <w:p w:rsidR="000D32F7" w:rsidRPr="000F7DB5" w:rsidRDefault="000D32F7" w:rsidP="000F7DB5">
      <w:pPr>
        <w:widowControl/>
        <w:suppressAutoHyphens w:val="0"/>
        <w:spacing w:line="600" w:lineRule="exact"/>
        <w:jc w:val="left"/>
        <w:rPr>
          <w:rFonts w:ascii="仿宋_GB2312" w:eastAsia="仿宋_GB2312" w:hAnsi="仿宋_GB2312" w:cs="仿宋_GB2312"/>
          <w:sz w:val="30"/>
          <w:szCs w:val="30"/>
          <w:lang w:eastAsia="zh-CN"/>
        </w:rPr>
      </w:pPr>
      <w:bookmarkStart w:id="0" w:name="_GoBack"/>
      <w:bookmarkEnd w:id="0"/>
    </w:p>
    <w:sectPr w:rsidR="000D32F7" w:rsidRPr="000F7DB5" w:rsidSect="00853659">
      <w:footerReference w:type="default" r:id="rId6"/>
      <w:pgSz w:w="11906" w:h="16838"/>
      <w:pgMar w:top="1440" w:right="1548" w:bottom="1440" w:left="1548" w:header="720" w:footer="992" w:gutter="0"/>
      <w:cols w:space="720"/>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190" w:rsidRDefault="006D0190" w:rsidP="00083548">
      <w:r>
        <w:separator/>
      </w:r>
    </w:p>
  </w:endnote>
  <w:endnote w:type="continuationSeparator" w:id="0">
    <w:p w:rsidR="006D0190" w:rsidRDefault="006D0190" w:rsidP="000835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A2" w:rsidRDefault="007E551F">
    <w:pPr>
      <w:pStyle w:val="a4"/>
      <w:ind w:right="360"/>
    </w:pPr>
    <w:r>
      <w:pict>
        <v:shapetype id="_x0000_t202" coordsize="21600,21600" o:spt="202" path="m,l,21600r21600,l21600,xe">
          <v:stroke joinstyle="miter"/>
          <v:path gradientshapeok="t" o:connecttype="rect"/>
        </v:shapetype>
        <v:shape id="_x0000_s2049" type="#_x0000_t202" style="position:absolute;margin-left:513.35pt;margin-top:.05pt;width:4.5pt;height:9.9pt;z-index:251660288;mso-wrap-distance-left:0;mso-wrap-distance-right:0;mso-position-horizontal-relative:page" stroked="f">
          <v:fill opacity="0" color2="black"/>
          <v:textbox inset="0,0,0,0">
            <w:txbxContent>
              <w:p w:rsidR="00E909A2" w:rsidRDefault="007E551F">
                <w:pPr>
                  <w:pStyle w:val="a4"/>
                </w:pPr>
                <w:r>
                  <w:rPr>
                    <w:rStyle w:val="a5"/>
                  </w:rPr>
                  <w:fldChar w:fldCharType="begin"/>
                </w:r>
                <w:r w:rsidR="005B7728">
                  <w:rPr>
                    <w:rStyle w:val="a5"/>
                  </w:rPr>
                  <w:instrText xml:space="preserve"> PAGE </w:instrText>
                </w:r>
                <w:r>
                  <w:rPr>
                    <w:rStyle w:val="a5"/>
                  </w:rPr>
                  <w:fldChar w:fldCharType="separate"/>
                </w:r>
                <w:r w:rsidR="000F7DB5">
                  <w:rPr>
                    <w:rStyle w:val="a5"/>
                    <w:noProof/>
                  </w:rPr>
                  <w:t>3</w:t>
                </w:r>
                <w:r>
                  <w:rPr>
                    <w:rStyle w:val="a5"/>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190" w:rsidRDefault="006D0190" w:rsidP="00083548">
      <w:r>
        <w:separator/>
      </w:r>
    </w:p>
  </w:footnote>
  <w:footnote w:type="continuationSeparator" w:id="0">
    <w:p w:rsidR="006D0190" w:rsidRDefault="006D0190" w:rsidP="000835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3548"/>
    <w:rsid w:val="0002686E"/>
    <w:rsid w:val="000324DB"/>
    <w:rsid w:val="00083548"/>
    <w:rsid w:val="000972CD"/>
    <w:rsid w:val="000D32F7"/>
    <w:rsid w:val="000D7466"/>
    <w:rsid w:val="000F7DB5"/>
    <w:rsid w:val="0016116B"/>
    <w:rsid w:val="00220B03"/>
    <w:rsid w:val="00312F15"/>
    <w:rsid w:val="00321955"/>
    <w:rsid w:val="003C26E9"/>
    <w:rsid w:val="00404D19"/>
    <w:rsid w:val="004F37F2"/>
    <w:rsid w:val="005104D4"/>
    <w:rsid w:val="00540739"/>
    <w:rsid w:val="0059188C"/>
    <w:rsid w:val="005B5A4E"/>
    <w:rsid w:val="005B7728"/>
    <w:rsid w:val="006D0190"/>
    <w:rsid w:val="007E551F"/>
    <w:rsid w:val="00810739"/>
    <w:rsid w:val="00853659"/>
    <w:rsid w:val="008D6873"/>
    <w:rsid w:val="009A7F39"/>
    <w:rsid w:val="00B37CAB"/>
    <w:rsid w:val="00D867DC"/>
    <w:rsid w:val="00DE42E2"/>
    <w:rsid w:val="00EA4160"/>
    <w:rsid w:val="00F673C5"/>
    <w:rsid w:val="00FE69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548"/>
    <w:pPr>
      <w:widowControl w:val="0"/>
      <w:suppressAutoHyphens/>
      <w:jc w:val="both"/>
    </w:pPr>
    <w:rPr>
      <w:rFonts w:ascii="Times New Roman" w:eastAsia="宋体" w:hAnsi="Times New Roman" w:cs="Times New Roman"/>
      <w:kern w:val="1"/>
      <w:szCs w:val="24"/>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3548"/>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083548"/>
    <w:rPr>
      <w:sz w:val="18"/>
      <w:szCs w:val="18"/>
    </w:rPr>
  </w:style>
  <w:style w:type="paragraph" w:styleId="a4">
    <w:name w:val="footer"/>
    <w:basedOn w:val="a"/>
    <w:link w:val="Char0"/>
    <w:unhideWhenUsed/>
    <w:rsid w:val="00083548"/>
    <w:pPr>
      <w:tabs>
        <w:tab w:val="center" w:pos="4153"/>
        <w:tab w:val="right" w:pos="8306"/>
      </w:tabs>
      <w:suppressAutoHyphens w:val="0"/>
      <w:snapToGrid w:val="0"/>
      <w:jc w:val="left"/>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083548"/>
    <w:rPr>
      <w:sz w:val="18"/>
      <w:szCs w:val="18"/>
    </w:rPr>
  </w:style>
  <w:style w:type="character" w:styleId="a5">
    <w:name w:val="page number"/>
    <w:basedOn w:val="a0"/>
    <w:rsid w:val="00083548"/>
  </w:style>
  <w:style w:type="paragraph" w:styleId="a6">
    <w:name w:val="Block Text"/>
    <w:basedOn w:val="a"/>
    <w:rsid w:val="00083548"/>
    <w:pPr>
      <w:spacing w:line="360" w:lineRule="auto"/>
      <w:ind w:left="840" w:right="840"/>
      <w:jc w:val="center"/>
    </w:pPr>
    <w:rPr>
      <w:sz w:val="36"/>
    </w:rPr>
  </w:style>
  <w:style w:type="paragraph" w:styleId="a7">
    <w:name w:val="Balloon Text"/>
    <w:basedOn w:val="a"/>
    <w:link w:val="Char1"/>
    <w:uiPriority w:val="99"/>
    <w:semiHidden/>
    <w:unhideWhenUsed/>
    <w:rsid w:val="00DE42E2"/>
    <w:rPr>
      <w:sz w:val="18"/>
      <w:szCs w:val="18"/>
    </w:rPr>
  </w:style>
  <w:style w:type="character" w:customStyle="1" w:styleId="Char1">
    <w:name w:val="批注框文本 Char"/>
    <w:basedOn w:val="a0"/>
    <w:link w:val="a7"/>
    <w:uiPriority w:val="99"/>
    <w:semiHidden/>
    <w:rsid w:val="00DE42E2"/>
    <w:rPr>
      <w:rFonts w:ascii="Times New Roman" w:eastAsia="宋体" w:hAnsi="Times New Roman" w:cs="Times New Roman"/>
      <w:kern w:val="1"/>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194</Words>
  <Characters>1109</Characters>
  <Application>Microsoft Office Word</Application>
  <DocSecurity>0</DocSecurity>
  <Lines>9</Lines>
  <Paragraphs>2</Paragraphs>
  <ScaleCrop>false</ScaleCrop>
  <Company>Hewlett-Packard Company</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覃锦辉(拟稿)</dc:creator>
  <cp:lastModifiedBy>李佳昱(拟稿)</cp:lastModifiedBy>
  <cp:revision>3</cp:revision>
  <dcterms:created xsi:type="dcterms:W3CDTF">2022-04-18T06:41:00Z</dcterms:created>
  <dcterms:modified xsi:type="dcterms:W3CDTF">2022-04-18T06:43:00Z</dcterms:modified>
</cp:coreProperties>
</file>