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87" w:rsidRDefault="004A4B87" w:rsidP="004A4B87">
      <w:pPr>
        <w:snapToGrid w:val="0"/>
        <w:spacing w:line="600" w:lineRule="exact"/>
        <w:ind w:rightChars="-27" w:right="-57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083548" w:rsidRDefault="00083548" w:rsidP="00083548">
      <w:pPr>
        <w:pStyle w:val="a6"/>
        <w:spacing w:line="600" w:lineRule="exact"/>
        <w:ind w:left="0" w:right="-57"/>
        <w:rPr>
          <w:rFonts w:ascii="宋体" w:hAnsi="宋体" w:cs="宋体"/>
          <w:b/>
          <w:color w:val="FF0000"/>
          <w:sz w:val="52"/>
        </w:rPr>
      </w:pPr>
    </w:p>
    <w:p w:rsidR="00F76FAD" w:rsidRPr="002D1B51" w:rsidRDefault="004A4B87" w:rsidP="004A4B87">
      <w:pPr>
        <w:jc w:val="center"/>
        <w:rPr>
          <w:rFonts w:ascii="黑体" w:eastAsia="黑体" w:hAnsi="黑体" w:cs="宋体"/>
          <w:bCs/>
          <w:sz w:val="44"/>
          <w:szCs w:val="44"/>
        </w:rPr>
      </w:pPr>
      <w:bookmarkStart w:id="0" w:name="正文"/>
      <w:bookmarkEnd w:id="0"/>
      <w:r w:rsidRPr="004A4B87">
        <w:rPr>
          <w:rFonts w:ascii="黑体" w:eastAsia="黑体" w:hAnsi="黑体" w:cs="宋体" w:hint="eastAsia"/>
          <w:bCs/>
          <w:sz w:val="44"/>
          <w:szCs w:val="44"/>
        </w:rPr>
        <w:t>关于对上海新华传媒股份有限公司时任副总裁王建才予以</w:t>
      </w:r>
      <w:r w:rsidR="002473C9">
        <w:rPr>
          <w:rFonts w:ascii="黑体" w:eastAsia="黑体" w:hAnsi="黑体" w:cs="宋体" w:hint="eastAsia"/>
          <w:bCs/>
          <w:sz w:val="44"/>
          <w:szCs w:val="44"/>
          <w:lang w:eastAsia="zh-CN"/>
        </w:rPr>
        <w:t>公开谴责</w:t>
      </w:r>
      <w:r w:rsidRPr="004A4B87">
        <w:rPr>
          <w:rFonts w:ascii="黑体" w:eastAsia="黑体" w:hAnsi="黑体" w:cs="宋体" w:hint="eastAsia"/>
          <w:bCs/>
          <w:sz w:val="44"/>
          <w:szCs w:val="44"/>
        </w:rPr>
        <w:t>的意向书</w:t>
      </w:r>
    </w:p>
    <w:p w:rsidR="00F76FAD" w:rsidRDefault="00F76FAD" w:rsidP="004A4B87">
      <w:pPr>
        <w:snapToGrid w:val="0"/>
        <w:spacing w:line="360" w:lineRule="auto"/>
        <w:ind w:rightChars="1" w:right="2"/>
        <w:rPr>
          <w:rFonts w:ascii="仿宋_GB2312" w:eastAsia="仿宋_GB2312" w:hAnsi="宋体"/>
          <w:sz w:val="30"/>
          <w:szCs w:val="30"/>
          <w:lang w:eastAsia="zh-CN"/>
        </w:rPr>
      </w:pPr>
    </w:p>
    <w:p w:rsidR="00F76FAD" w:rsidRDefault="00085B7A" w:rsidP="000C2F61">
      <w:pPr>
        <w:snapToGrid w:val="0"/>
        <w:spacing w:line="360" w:lineRule="auto"/>
        <w:ind w:rightChars="1" w:right="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上海新华传媒股份有限公司</w:t>
      </w:r>
      <w:r w:rsidR="00F76FAD">
        <w:rPr>
          <w:rFonts w:ascii="仿宋_GB2312" w:eastAsia="仿宋_GB2312" w:hAnsi="宋体" w:hint="eastAsia"/>
          <w:sz w:val="30"/>
          <w:szCs w:val="30"/>
        </w:rPr>
        <w:t>时任</w:t>
      </w:r>
      <w:r w:rsidR="00F76FAD">
        <w:rPr>
          <w:rFonts w:ascii="仿宋_GB2312" w:eastAsia="仿宋_GB2312" w:hAnsi="宋体"/>
          <w:sz w:val="30"/>
          <w:szCs w:val="30"/>
        </w:rPr>
        <w:t>副总裁王建才：</w:t>
      </w:r>
    </w:p>
    <w:p w:rsidR="00F76FAD" w:rsidRDefault="00F76FAD" w:rsidP="00F76FAD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经查明</w:t>
      </w:r>
      <w:r>
        <w:rPr>
          <w:rFonts w:ascii="仿宋_GB2312" w:eastAsia="仿宋_GB2312" w:hAnsi="宋体"/>
          <w:sz w:val="30"/>
          <w:szCs w:val="30"/>
        </w:rPr>
        <w:t>，王建才</w:t>
      </w:r>
      <w:r>
        <w:rPr>
          <w:rFonts w:ascii="仿宋_GB2312" w:eastAsia="仿宋_GB2312" w:hAnsi="宋体" w:hint="eastAsia"/>
          <w:sz w:val="30"/>
          <w:szCs w:val="30"/>
        </w:rPr>
        <w:t>自</w:t>
      </w:r>
      <w:r>
        <w:rPr>
          <w:rFonts w:ascii="仿宋_GB2312" w:eastAsia="仿宋_GB2312" w:hAnsi="宋体"/>
          <w:sz w:val="30"/>
          <w:szCs w:val="30"/>
        </w:rPr>
        <w:t>2006年8月28日至2016年2月29日担任</w:t>
      </w:r>
      <w:r w:rsidRPr="00AB6EEE">
        <w:rPr>
          <w:rFonts w:ascii="仿宋_GB2312" w:eastAsia="仿宋_GB2312" w:hAnsi="宋体" w:hint="eastAsia"/>
          <w:sz w:val="30"/>
          <w:szCs w:val="30"/>
        </w:rPr>
        <w:t>上海新华传媒股份有限公司</w:t>
      </w: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/>
          <w:sz w:val="30"/>
          <w:szCs w:val="30"/>
        </w:rPr>
        <w:t>以下简称公司或新华传媒）</w:t>
      </w:r>
      <w:r>
        <w:rPr>
          <w:rFonts w:ascii="仿宋_GB2312" w:eastAsia="仿宋_GB2312" w:hAnsi="宋体" w:hint="eastAsia"/>
          <w:sz w:val="30"/>
          <w:szCs w:val="30"/>
        </w:rPr>
        <w:t>副总裁职务</w:t>
      </w:r>
      <w:r>
        <w:rPr>
          <w:rFonts w:ascii="仿宋_GB2312" w:eastAsia="仿宋_GB2312" w:hAnsi="宋体"/>
          <w:sz w:val="30"/>
          <w:szCs w:val="30"/>
        </w:rPr>
        <w:t>。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012年至2019年期间，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>
        <w:rPr>
          <w:rFonts w:ascii="仿宋_GB2312" w:eastAsia="仿宋_GB2312" w:hAnsi="宋体"/>
          <w:sz w:val="30"/>
          <w:szCs w:val="30"/>
        </w:rPr>
        <w:t>与王建才</w:t>
      </w:r>
      <w:r>
        <w:rPr>
          <w:rFonts w:ascii="仿宋_GB2312" w:eastAsia="仿宋_GB2312" w:hAnsi="宋体" w:hint="eastAsia"/>
          <w:sz w:val="30"/>
          <w:szCs w:val="30"/>
        </w:rPr>
        <w:t>个人</w:t>
      </w:r>
      <w:r>
        <w:rPr>
          <w:rFonts w:ascii="仿宋_GB2312" w:eastAsia="仿宋_GB2312" w:hAnsi="宋体"/>
          <w:sz w:val="30"/>
          <w:szCs w:val="30"/>
        </w:rPr>
        <w:t>实际控制的</w:t>
      </w:r>
      <w:r w:rsidRPr="006F0F24">
        <w:rPr>
          <w:rFonts w:ascii="仿宋_GB2312" w:eastAsia="仿宋_GB2312" w:hAnsi="宋体" w:hint="eastAsia"/>
          <w:sz w:val="30"/>
          <w:szCs w:val="30"/>
        </w:rPr>
        <w:t>上海准弈贸易有限公司</w:t>
      </w: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/>
          <w:sz w:val="30"/>
          <w:szCs w:val="30"/>
        </w:rPr>
        <w:t>以下简称</w:t>
      </w:r>
      <w:r w:rsidRPr="006F0F24">
        <w:rPr>
          <w:rFonts w:ascii="仿宋_GB2312" w:eastAsia="仿宋_GB2312" w:hAnsi="宋体" w:hint="eastAsia"/>
          <w:sz w:val="30"/>
          <w:szCs w:val="30"/>
        </w:rPr>
        <w:t>准弈贸易</w:t>
      </w:r>
      <w:r>
        <w:rPr>
          <w:rFonts w:ascii="仿宋_GB2312" w:eastAsia="仿宋_GB2312" w:hAnsi="宋体" w:hint="eastAsia"/>
          <w:sz w:val="30"/>
          <w:szCs w:val="30"/>
        </w:rPr>
        <w:t>）签订</w:t>
      </w:r>
      <w:r>
        <w:rPr>
          <w:rFonts w:ascii="仿宋_GB2312" w:eastAsia="仿宋_GB2312" w:hAnsi="宋体"/>
          <w:sz w:val="30"/>
          <w:szCs w:val="30"/>
        </w:rPr>
        <w:t>物业租赁合同，将</w:t>
      </w:r>
      <w:r w:rsidRPr="006F0F24">
        <w:rPr>
          <w:rFonts w:ascii="仿宋_GB2312" w:eastAsia="仿宋_GB2312" w:hAnsi="宋体" w:hint="eastAsia"/>
          <w:sz w:val="30"/>
          <w:szCs w:val="30"/>
        </w:rPr>
        <w:t>淮海中路701-721号</w:t>
      </w:r>
      <w:r>
        <w:rPr>
          <w:rFonts w:ascii="仿宋_GB2312" w:eastAsia="仿宋_GB2312" w:hAnsi="宋体" w:hint="eastAsia"/>
          <w:sz w:val="30"/>
          <w:szCs w:val="30"/>
        </w:rPr>
        <w:t>出租</w:t>
      </w:r>
      <w:r>
        <w:rPr>
          <w:rFonts w:ascii="仿宋_GB2312" w:eastAsia="仿宋_GB2312" w:hAnsi="宋体"/>
          <w:sz w:val="30"/>
          <w:szCs w:val="30"/>
        </w:rPr>
        <w:t>给</w:t>
      </w:r>
      <w:r w:rsidRPr="006F0F24">
        <w:rPr>
          <w:rFonts w:ascii="仿宋_GB2312" w:eastAsia="仿宋_GB2312" w:hAnsi="宋体" w:hint="eastAsia"/>
          <w:sz w:val="30"/>
          <w:szCs w:val="30"/>
        </w:rPr>
        <w:t>准弈贸易</w:t>
      </w:r>
      <w:r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/>
          <w:sz w:val="30"/>
          <w:szCs w:val="30"/>
        </w:rPr>
        <w:t>2012年至2019年度发生额分别为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,073.23</w:t>
      </w:r>
      <w:r>
        <w:rPr>
          <w:rFonts w:ascii="仿宋_GB2312" w:eastAsia="仿宋_GB2312" w:hAnsi="宋体" w:hint="eastAsia"/>
          <w:sz w:val="30"/>
          <w:szCs w:val="30"/>
        </w:rPr>
        <w:t>万元</w:t>
      </w:r>
      <w:r>
        <w:rPr>
          <w:rFonts w:ascii="仿宋_GB2312" w:eastAsia="仿宋_GB2312" w:hAnsi="宋体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2,169.18万元</w:t>
      </w:r>
      <w:r>
        <w:rPr>
          <w:rFonts w:ascii="仿宋_GB2312" w:eastAsia="仿宋_GB2312" w:hAnsi="宋体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1,912.98万元</w:t>
      </w:r>
      <w:r>
        <w:rPr>
          <w:rFonts w:ascii="仿宋_GB2312" w:eastAsia="仿宋_GB2312" w:hAnsi="宋体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1,981.82万元</w:t>
      </w:r>
      <w:r>
        <w:rPr>
          <w:rFonts w:ascii="仿宋_GB2312" w:eastAsia="仿宋_GB2312" w:hAnsi="宋体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2,009.64万元</w:t>
      </w:r>
      <w:r>
        <w:rPr>
          <w:rFonts w:ascii="仿宋_GB2312" w:eastAsia="仿宋_GB2312" w:hAnsi="宋体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2,073.72万元</w:t>
      </w:r>
      <w:r>
        <w:rPr>
          <w:rFonts w:ascii="仿宋_GB2312" w:eastAsia="仿宋_GB2312" w:hAnsi="宋体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2,</w:t>
      </w:r>
      <w:r>
        <w:rPr>
          <w:rFonts w:ascii="仿宋_GB2312" w:eastAsia="仿宋_GB2312" w:hAnsi="宋体"/>
          <w:sz w:val="30"/>
          <w:szCs w:val="30"/>
        </w:rPr>
        <w:t>102.57万元、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,238.92万元</w:t>
      </w:r>
      <w:r>
        <w:rPr>
          <w:rFonts w:ascii="仿宋_GB2312" w:eastAsia="仿宋_GB2312" w:hAnsi="宋体" w:hint="eastAsia"/>
          <w:sz w:val="30"/>
          <w:szCs w:val="30"/>
        </w:rPr>
        <w:t>，分别</w:t>
      </w:r>
      <w:r>
        <w:rPr>
          <w:rFonts w:ascii="仿宋_GB2312" w:eastAsia="仿宋_GB2312" w:hAnsi="宋体"/>
          <w:sz w:val="30"/>
          <w:szCs w:val="30"/>
        </w:rPr>
        <w:t>占最近一期经</w:t>
      </w:r>
      <w:r>
        <w:rPr>
          <w:rFonts w:ascii="仿宋_GB2312" w:eastAsia="仿宋_GB2312" w:hAnsi="宋体" w:hint="eastAsia"/>
          <w:sz w:val="30"/>
          <w:szCs w:val="30"/>
        </w:rPr>
        <w:t>审计</w:t>
      </w:r>
      <w:r>
        <w:rPr>
          <w:rFonts w:ascii="仿宋_GB2312" w:eastAsia="仿宋_GB2312" w:hAnsi="宋体"/>
          <w:sz w:val="30"/>
          <w:szCs w:val="30"/>
        </w:rPr>
        <w:t>净资产的</w:t>
      </w:r>
      <w:r>
        <w:rPr>
          <w:rFonts w:ascii="仿宋_GB2312" w:eastAsia="仿宋_GB2312" w:hAnsi="宋体" w:hint="eastAsia"/>
          <w:sz w:val="30"/>
          <w:szCs w:val="30"/>
        </w:rPr>
        <w:t>0</w:t>
      </w:r>
      <w:r>
        <w:rPr>
          <w:rFonts w:ascii="仿宋_GB2312" w:eastAsia="仿宋_GB2312" w:hAnsi="宋体"/>
          <w:sz w:val="30"/>
          <w:szCs w:val="30"/>
        </w:rPr>
        <w:t>.43%、0.85%、0.77%、0.79%、0.79%、</w:t>
      </w:r>
      <w:r>
        <w:rPr>
          <w:rFonts w:ascii="仿宋_GB2312" w:eastAsia="仿宋_GB2312" w:hAnsi="宋体" w:hint="eastAsia"/>
          <w:sz w:val="30"/>
          <w:szCs w:val="30"/>
        </w:rPr>
        <w:t>0</w:t>
      </w:r>
      <w:r>
        <w:rPr>
          <w:rFonts w:ascii="仿宋_GB2312" w:eastAsia="仿宋_GB2312" w:hAnsi="宋体"/>
          <w:sz w:val="30"/>
          <w:szCs w:val="30"/>
        </w:rPr>
        <w:t>.80%、</w:t>
      </w:r>
      <w:r>
        <w:rPr>
          <w:rFonts w:ascii="仿宋_GB2312" w:eastAsia="仿宋_GB2312" w:hAnsi="宋体" w:hint="eastAsia"/>
          <w:sz w:val="30"/>
          <w:szCs w:val="30"/>
        </w:rPr>
        <w:t>0</w:t>
      </w:r>
      <w:r>
        <w:rPr>
          <w:rFonts w:ascii="仿宋_GB2312" w:eastAsia="仿宋_GB2312" w:hAnsi="宋体"/>
          <w:sz w:val="30"/>
          <w:szCs w:val="30"/>
        </w:rPr>
        <w:t>.80%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0.85%。</w:t>
      </w:r>
      <w:r>
        <w:rPr>
          <w:rFonts w:ascii="仿宋_GB2312" w:eastAsia="仿宋_GB2312" w:hAnsi="宋体" w:hint="eastAsia"/>
          <w:sz w:val="30"/>
          <w:szCs w:val="30"/>
        </w:rPr>
        <w:t>上述关联交易</w:t>
      </w:r>
      <w:r>
        <w:rPr>
          <w:rFonts w:ascii="仿宋_GB2312" w:eastAsia="仿宋_GB2312" w:hAnsi="宋体"/>
          <w:sz w:val="30"/>
          <w:szCs w:val="30"/>
        </w:rPr>
        <w:t>自2013年起</w:t>
      </w:r>
      <w:r>
        <w:rPr>
          <w:rFonts w:ascii="仿宋_GB2312" w:eastAsia="仿宋_GB2312" w:hAnsi="宋体" w:hint="eastAsia"/>
          <w:sz w:val="30"/>
          <w:szCs w:val="30"/>
        </w:rPr>
        <w:t>均</w:t>
      </w:r>
      <w:r>
        <w:rPr>
          <w:rFonts w:ascii="仿宋_GB2312" w:eastAsia="仿宋_GB2312" w:hAnsi="宋体"/>
          <w:sz w:val="30"/>
          <w:szCs w:val="30"/>
        </w:rPr>
        <w:t>已达到以临时公告披露的标准，但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>
        <w:rPr>
          <w:rFonts w:ascii="仿宋_GB2312" w:eastAsia="仿宋_GB2312" w:hAnsi="宋体"/>
          <w:sz w:val="30"/>
          <w:szCs w:val="30"/>
        </w:rPr>
        <w:t>未将</w:t>
      </w:r>
      <w:r w:rsidRPr="006F0F24">
        <w:rPr>
          <w:rFonts w:ascii="仿宋_GB2312" w:eastAsia="仿宋_GB2312" w:hAnsi="宋体" w:hint="eastAsia"/>
          <w:sz w:val="30"/>
          <w:szCs w:val="30"/>
        </w:rPr>
        <w:t>准弈贸易</w:t>
      </w:r>
      <w:r>
        <w:rPr>
          <w:rFonts w:ascii="仿宋_GB2312" w:eastAsia="仿宋_GB2312" w:hAnsi="宋体" w:hint="eastAsia"/>
          <w:sz w:val="30"/>
          <w:szCs w:val="30"/>
        </w:rPr>
        <w:t>作为</w:t>
      </w:r>
      <w:r>
        <w:rPr>
          <w:rFonts w:ascii="仿宋_GB2312" w:eastAsia="仿宋_GB2312" w:hAnsi="宋体"/>
          <w:sz w:val="30"/>
          <w:szCs w:val="30"/>
        </w:rPr>
        <w:t>关联方，</w:t>
      </w:r>
      <w:r>
        <w:rPr>
          <w:rFonts w:ascii="仿宋_GB2312" w:eastAsia="仿宋_GB2312" w:hAnsi="宋体" w:hint="eastAsia"/>
          <w:sz w:val="30"/>
          <w:szCs w:val="30"/>
        </w:rPr>
        <w:t>未</w:t>
      </w:r>
      <w:r>
        <w:rPr>
          <w:rFonts w:ascii="仿宋_GB2312" w:eastAsia="仿宋_GB2312" w:hAnsi="宋体"/>
          <w:sz w:val="30"/>
          <w:szCs w:val="30"/>
        </w:rPr>
        <w:t>对上述</w:t>
      </w:r>
      <w:r>
        <w:rPr>
          <w:rFonts w:ascii="仿宋_GB2312" w:eastAsia="仿宋_GB2312" w:hAnsi="宋体" w:hint="eastAsia"/>
          <w:sz w:val="30"/>
          <w:szCs w:val="30"/>
        </w:rPr>
        <w:t>交易</w:t>
      </w:r>
      <w:r>
        <w:rPr>
          <w:rFonts w:ascii="仿宋_GB2312" w:eastAsia="仿宋_GB2312" w:hAnsi="宋体"/>
          <w:sz w:val="30"/>
          <w:szCs w:val="30"/>
        </w:rPr>
        <w:t>履行关联交易的审议</w:t>
      </w:r>
      <w:r>
        <w:rPr>
          <w:rFonts w:ascii="仿宋_GB2312" w:eastAsia="仿宋_GB2312" w:hAnsi="宋体" w:hint="eastAsia"/>
          <w:sz w:val="30"/>
          <w:szCs w:val="30"/>
        </w:rPr>
        <w:t>程序和信息披露义务</w:t>
      </w:r>
      <w:r>
        <w:rPr>
          <w:rFonts w:ascii="仿宋_GB2312" w:eastAsia="仿宋_GB2312" w:hAnsi="宋体"/>
          <w:sz w:val="30"/>
          <w:szCs w:val="30"/>
        </w:rPr>
        <w:t>。</w:t>
      </w:r>
    </w:p>
    <w:p w:rsidR="00F76FAD" w:rsidRDefault="00F76FAD" w:rsidP="00F76FAD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另经查明，根据公司于2021年8月10日披露的收到判决书公告，因上述相关交易事项，法院一审判决王建才利用职务上的便利，非法侵吞公共财物1.6亿余元，构成贪污罪。</w:t>
      </w:r>
    </w:p>
    <w:p w:rsidR="00F76FAD" w:rsidRDefault="00F76FAD" w:rsidP="00F76FA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综上，公司时任</w:t>
      </w:r>
      <w:r>
        <w:rPr>
          <w:rFonts w:ascii="仿宋_GB2312" w:eastAsia="仿宋_GB2312" w:hAnsi="宋体"/>
          <w:sz w:val="30"/>
          <w:szCs w:val="30"/>
        </w:rPr>
        <w:t>副总裁王建才</w:t>
      </w: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/>
          <w:sz w:val="30"/>
          <w:szCs w:val="30"/>
        </w:rPr>
        <w:t>任期2006年</w:t>
      </w:r>
      <w:r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/>
          <w:sz w:val="30"/>
          <w:szCs w:val="30"/>
        </w:rPr>
        <w:t>月28日至2016年2月29日）</w:t>
      </w:r>
      <w:r>
        <w:rPr>
          <w:rFonts w:ascii="仿宋_GB2312" w:eastAsia="仿宋_GB2312" w:hAnsi="宋体" w:hint="eastAsia"/>
          <w:sz w:val="30"/>
          <w:szCs w:val="30"/>
        </w:rPr>
        <w:t>违反</w:t>
      </w:r>
      <w:r>
        <w:rPr>
          <w:rFonts w:ascii="仿宋_GB2312" w:eastAsia="仿宋_GB2312" w:hAnsi="宋体"/>
          <w:sz w:val="30"/>
          <w:szCs w:val="30"/>
        </w:rPr>
        <w:t>忠实义务，隐瞒其控制</w:t>
      </w:r>
      <w:r w:rsidRPr="006F0F24">
        <w:rPr>
          <w:rFonts w:ascii="仿宋_GB2312" w:eastAsia="仿宋_GB2312" w:hAnsi="宋体" w:hint="eastAsia"/>
          <w:sz w:val="30"/>
          <w:szCs w:val="30"/>
        </w:rPr>
        <w:t>准弈贸易</w:t>
      </w:r>
      <w:r>
        <w:rPr>
          <w:rFonts w:ascii="仿宋_GB2312" w:eastAsia="仿宋_GB2312" w:hAnsi="宋体" w:hint="eastAsia"/>
          <w:sz w:val="30"/>
          <w:szCs w:val="30"/>
        </w:rPr>
        <w:t>的</w:t>
      </w:r>
      <w:r>
        <w:rPr>
          <w:rFonts w:ascii="仿宋_GB2312" w:eastAsia="仿宋_GB2312" w:hAnsi="宋体"/>
          <w:sz w:val="30"/>
          <w:szCs w:val="30"/>
        </w:rPr>
        <w:t>实际</w:t>
      </w:r>
      <w:r>
        <w:rPr>
          <w:rFonts w:ascii="仿宋_GB2312" w:eastAsia="仿宋_GB2312" w:hAnsi="宋体" w:hint="eastAsia"/>
          <w:sz w:val="30"/>
          <w:szCs w:val="30"/>
        </w:rPr>
        <w:t>情况</w:t>
      </w:r>
      <w:r>
        <w:rPr>
          <w:rFonts w:ascii="仿宋_GB2312" w:eastAsia="仿宋_GB2312" w:hAnsi="宋体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未如实告知</w:t>
      </w:r>
      <w:r>
        <w:rPr>
          <w:rFonts w:ascii="仿宋_GB2312" w:eastAsia="仿宋_GB2312" w:hAnsi="宋体"/>
          <w:sz w:val="30"/>
          <w:szCs w:val="30"/>
        </w:rPr>
        <w:t>公司存在的关联关系，</w:t>
      </w:r>
      <w:r>
        <w:rPr>
          <w:rFonts w:ascii="仿宋_GB2312" w:eastAsia="仿宋_GB2312" w:hAnsi="宋体" w:hint="eastAsia"/>
          <w:sz w:val="30"/>
          <w:szCs w:val="30"/>
        </w:rPr>
        <w:t>谋求</w:t>
      </w:r>
      <w:r>
        <w:rPr>
          <w:rFonts w:ascii="仿宋_GB2312" w:eastAsia="仿宋_GB2312" w:hAnsi="宋体"/>
          <w:sz w:val="30"/>
          <w:szCs w:val="30"/>
        </w:rPr>
        <w:t>个人利益，严重损害了上市公司利益，对于上述</w:t>
      </w:r>
      <w:r>
        <w:rPr>
          <w:rFonts w:ascii="仿宋_GB2312" w:eastAsia="仿宋_GB2312" w:hAnsi="宋体" w:hint="eastAsia"/>
          <w:sz w:val="30"/>
          <w:szCs w:val="30"/>
        </w:rPr>
        <w:t>违规</w:t>
      </w:r>
      <w:r>
        <w:rPr>
          <w:rFonts w:ascii="仿宋_GB2312" w:eastAsia="仿宋_GB2312" w:hAnsi="宋体"/>
          <w:sz w:val="30"/>
          <w:szCs w:val="30"/>
        </w:rPr>
        <w:t>承担主要责任。</w:t>
      </w:r>
      <w:r>
        <w:rPr>
          <w:rFonts w:ascii="仿宋_GB2312" w:eastAsia="仿宋_GB2312" w:hAnsi="宋体" w:hint="eastAsia"/>
          <w:sz w:val="30"/>
          <w:szCs w:val="30"/>
        </w:rPr>
        <w:t>其</w:t>
      </w:r>
      <w:r>
        <w:rPr>
          <w:rFonts w:ascii="仿宋_GB2312" w:eastAsia="仿宋_GB2312" w:hAnsi="宋体"/>
          <w:sz w:val="30"/>
          <w:szCs w:val="30"/>
        </w:rPr>
        <w:t>行为严重违反了</w:t>
      </w:r>
      <w:r>
        <w:rPr>
          <w:rFonts w:ascii="仿宋_GB2312" w:eastAsia="仿宋_GB2312" w:hAnsi="宋体" w:hint="eastAsia"/>
          <w:sz w:val="30"/>
          <w:szCs w:val="30"/>
        </w:rPr>
        <w:t>《</w:t>
      </w:r>
      <w:r>
        <w:rPr>
          <w:rFonts w:ascii="仿宋_GB2312" w:eastAsia="仿宋_GB2312" w:hAnsi="宋体"/>
          <w:sz w:val="30"/>
          <w:szCs w:val="30"/>
        </w:rPr>
        <w:t>公司法》</w:t>
      </w:r>
      <w:r>
        <w:rPr>
          <w:rFonts w:ascii="仿宋_GB2312" w:eastAsia="仿宋_GB2312" w:hAnsi="宋体"/>
          <w:sz w:val="30"/>
          <w:szCs w:val="30"/>
        </w:rPr>
        <w:lastRenderedPageBreak/>
        <w:t>第一百四十七条、第一百四十八条，</w:t>
      </w:r>
      <w:r w:rsidRPr="000E0E07">
        <w:rPr>
          <w:rFonts w:ascii="仿宋_GB2312" w:eastAsia="仿宋_GB2312" w:hAnsi="宋体" w:hint="eastAsia"/>
          <w:sz w:val="30"/>
          <w:szCs w:val="30"/>
        </w:rPr>
        <w:t>《上海证券交易所股票上市规则（2020年修订）》（以下简称《股票上市规则》）</w:t>
      </w:r>
      <w:r>
        <w:rPr>
          <w:rFonts w:ascii="仿宋_GB2312" w:eastAsia="仿宋_GB2312" w:hAnsi="宋体" w:hint="eastAsia"/>
          <w:sz w:val="30"/>
          <w:szCs w:val="30"/>
        </w:rPr>
        <w:t>第1.4条、</w:t>
      </w:r>
      <w:r w:rsidRPr="00371E28">
        <w:rPr>
          <w:rFonts w:ascii="仿宋_GB2312" w:eastAsia="仿宋_GB2312" w:hint="eastAsia"/>
          <w:sz w:val="30"/>
          <w:szCs w:val="30"/>
        </w:rPr>
        <w:t>第2.2条、第3.1.4条的规定及</w:t>
      </w:r>
      <w:r>
        <w:rPr>
          <w:rFonts w:ascii="仿宋_GB2312" w:eastAsia="仿宋_GB2312" w:hint="eastAsia"/>
          <w:sz w:val="30"/>
          <w:szCs w:val="30"/>
        </w:rPr>
        <w:t>其</w:t>
      </w:r>
      <w:r w:rsidRPr="00371E28">
        <w:rPr>
          <w:rFonts w:ascii="仿宋_GB2312" w:eastAsia="仿宋_GB2312" w:hint="eastAsia"/>
          <w:sz w:val="30"/>
          <w:szCs w:val="30"/>
        </w:rPr>
        <w:t>在《董事（监事、高级管理人员）声明及承诺书》中</w:t>
      </w:r>
      <w:r>
        <w:rPr>
          <w:rFonts w:ascii="仿宋_GB2312" w:eastAsia="仿宋_GB2312" w:hint="eastAsia"/>
          <w:sz w:val="30"/>
          <w:szCs w:val="30"/>
        </w:rPr>
        <w:t>作</w:t>
      </w:r>
      <w:r w:rsidRPr="00371E28">
        <w:rPr>
          <w:rFonts w:ascii="仿宋_GB2312" w:eastAsia="仿宋_GB2312" w:hint="eastAsia"/>
          <w:sz w:val="30"/>
          <w:szCs w:val="30"/>
        </w:rPr>
        <w:t>出的承诺。</w:t>
      </w:r>
    </w:p>
    <w:p w:rsidR="00F76FAD" w:rsidRPr="00E52694" w:rsidRDefault="00F76FAD" w:rsidP="00F76FAD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鉴于上述违规事实和情节</w:t>
      </w:r>
      <w:r>
        <w:rPr>
          <w:rFonts w:ascii="仿宋_GB2312" w:eastAsia="仿宋_GB2312" w:hAnsi="宋体" w:hint="eastAsia"/>
          <w:sz w:val="30"/>
          <w:szCs w:val="30"/>
        </w:rPr>
        <w:t>，我部拟提请本所纪律处分委员会审核，根据</w:t>
      </w:r>
      <w:r>
        <w:rPr>
          <w:rFonts w:ascii="仿宋_GB2312" w:eastAsia="仿宋_GB2312" w:hAnsi="宋体"/>
          <w:sz w:val="30"/>
          <w:szCs w:val="30"/>
        </w:rPr>
        <w:t>《股票上市规则</w:t>
      </w:r>
      <w:r>
        <w:rPr>
          <w:rFonts w:ascii="仿宋_GB2312" w:eastAsia="仿宋_GB2312" w:hAnsi="宋体" w:hint="eastAsia"/>
          <w:sz w:val="30"/>
          <w:szCs w:val="30"/>
        </w:rPr>
        <w:t>》</w:t>
      </w:r>
      <w:r>
        <w:rPr>
          <w:rFonts w:ascii="仿宋_GB2312" w:eastAsia="仿宋_GB2312" w:hAnsi="宋体"/>
          <w:sz w:val="30"/>
          <w:szCs w:val="30"/>
        </w:rPr>
        <w:t>第16.3条的规定，对</w:t>
      </w:r>
      <w:r w:rsidR="00381EFE" w:rsidRPr="00381EFE">
        <w:rPr>
          <w:rFonts w:ascii="仿宋_GB2312" w:eastAsia="仿宋_GB2312" w:hAnsi="宋体" w:hint="eastAsia"/>
          <w:sz w:val="30"/>
          <w:szCs w:val="30"/>
        </w:rPr>
        <w:t>上海新华传媒股份有限公司</w:t>
      </w:r>
      <w:r>
        <w:rPr>
          <w:rFonts w:ascii="仿宋_GB2312" w:eastAsia="仿宋_GB2312" w:hAnsi="宋体" w:hint="eastAsia"/>
          <w:sz w:val="30"/>
          <w:szCs w:val="30"/>
        </w:rPr>
        <w:t>时任</w:t>
      </w:r>
      <w:r>
        <w:rPr>
          <w:rFonts w:ascii="仿宋_GB2312" w:eastAsia="仿宋_GB2312" w:hAnsi="宋体"/>
          <w:sz w:val="30"/>
          <w:szCs w:val="30"/>
        </w:rPr>
        <w:t>副总裁王建才</w:t>
      </w:r>
      <w:r>
        <w:rPr>
          <w:rFonts w:ascii="仿宋_GB2312" w:eastAsia="仿宋_GB2312" w:hAnsi="宋体" w:hint="eastAsia"/>
          <w:sz w:val="30"/>
          <w:szCs w:val="30"/>
        </w:rPr>
        <w:t>予以</w:t>
      </w:r>
      <w:r>
        <w:rPr>
          <w:rFonts w:ascii="仿宋_GB2312" w:eastAsia="仿宋_GB2312" w:hAnsi="宋体"/>
          <w:sz w:val="30"/>
          <w:szCs w:val="30"/>
        </w:rPr>
        <w:t>公开谴责。</w:t>
      </w:r>
    </w:p>
    <w:p w:rsidR="00F76FAD" w:rsidRDefault="00F76FAD" w:rsidP="000C2F61">
      <w:pPr>
        <w:adjustRightInd w:val="0"/>
        <w:snapToGrid w:val="0"/>
        <w:spacing w:line="360" w:lineRule="auto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上述纪律处分将</w:t>
      </w:r>
      <w:r>
        <w:rPr>
          <w:rFonts w:ascii="仿宋_GB2312" w:eastAsia="仿宋_GB2312" w:hAnsi="宋体" w:hint="eastAsia"/>
          <w:sz w:val="30"/>
          <w:szCs w:val="30"/>
        </w:rPr>
        <w:t>通报中国证监会和上海市人民政府，并记入上市公司诚信档案。</w:t>
      </w:r>
    </w:p>
    <w:p w:rsidR="00F76FAD" w:rsidRDefault="00F76FAD" w:rsidP="00F76FAD">
      <w:pPr>
        <w:snapToGrid w:val="0"/>
        <w:spacing w:line="360" w:lineRule="auto"/>
        <w:ind w:rightChars="1" w:right="2" w:firstLineChars="200" w:firstLine="600"/>
        <w:jc w:val="right"/>
        <w:rPr>
          <w:rFonts w:ascii="仿宋_GB2312" w:eastAsia="仿宋_GB2312" w:hAnsi="宋体"/>
          <w:sz w:val="30"/>
          <w:szCs w:val="30"/>
        </w:rPr>
      </w:pPr>
    </w:p>
    <w:p w:rsidR="00F76FAD" w:rsidRDefault="00F76FAD" w:rsidP="000C2F61">
      <w:pPr>
        <w:snapToGrid w:val="0"/>
        <w:spacing w:line="360" w:lineRule="auto"/>
        <w:jc w:val="left"/>
        <w:rPr>
          <w:lang w:eastAsia="zh-CN"/>
        </w:rPr>
      </w:pPr>
    </w:p>
    <w:p w:rsidR="00F76FAD" w:rsidRDefault="00F76FAD" w:rsidP="000C2F61">
      <w:pPr>
        <w:snapToGrid w:val="0"/>
        <w:spacing w:line="360" w:lineRule="auto"/>
        <w:ind w:rightChars="1" w:right="2" w:firstLineChars="200" w:firstLine="42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hint="eastAsia"/>
        </w:rPr>
        <w:t xml:space="preserve">                                </w:t>
      </w:r>
      <w:r>
        <w:rPr>
          <w:rFonts w:ascii="仿宋_GB2312" w:eastAsia="仿宋_GB2312" w:hAnsi="宋体" w:hint="eastAsia"/>
          <w:sz w:val="30"/>
          <w:szCs w:val="30"/>
        </w:rPr>
        <w:t>上海证券交易所上市公司管理二部</w:t>
      </w:r>
    </w:p>
    <w:p w:rsidR="00F76FAD" w:rsidRPr="00F76FAD" w:rsidRDefault="00F76FAD" w:rsidP="004A4B87">
      <w:pPr>
        <w:snapToGrid w:val="0"/>
        <w:spacing w:line="360" w:lineRule="auto"/>
        <w:ind w:left="4620" w:firstLineChars="200" w:firstLine="600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二二年</w:t>
      </w:r>
      <w:r w:rsidR="004A4B87"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五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4A4B87"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六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F76FAD" w:rsidRPr="00F76FAD" w:rsidSect="00853659">
      <w:footerReference w:type="default" r:id="rId6"/>
      <w:pgSz w:w="11906" w:h="16838"/>
      <w:pgMar w:top="1440" w:right="1548" w:bottom="1440" w:left="1548" w:header="720" w:footer="992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CF" w:rsidRDefault="00F454CF" w:rsidP="00083548">
      <w:r>
        <w:separator/>
      </w:r>
    </w:p>
  </w:endnote>
  <w:endnote w:type="continuationSeparator" w:id="0">
    <w:p w:rsidR="00F454CF" w:rsidRDefault="00F454CF" w:rsidP="0008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A2" w:rsidRDefault="0063779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35pt;margin-top:.05pt;width:4.5pt;height:9.9pt;z-index:251660288;mso-wrap-distance-left:0;mso-wrap-distance-right:0;mso-position-horizontal-relative:page" stroked="f">
          <v:fill opacity="0" color2="black"/>
          <v:textbox inset="0,0,0,0">
            <w:txbxContent>
              <w:p w:rsidR="00E909A2" w:rsidRDefault="00637791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 w:rsidR="005B772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81EFE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CF" w:rsidRDefault="00F454CF" w:rsidP="00083548">
      <w:r>
        <w:separator/>
      </w:r>
    </w:p>
  </w:footnote>
  <w:footnote w:type="continuationSeparator" w:id="0">
    <w:p w:rsidR="00F454CF" w:rsidRDefault="00F454CF" w:rsidP="00083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548"/>
    <w:rsid w:val="0002686E"/>
    <w:rsid w:val="000324DB"/>
    <w:rsid w:val="00083548"/>
    <w:rsid w:val="00085B7A"/>
    <w:rsid w:val="000972CD"/>
    <w:rsid w:val="000D32F7"/>
    <w:rsid w:val="000D7466"/>
    <w:rsid w:val="0016116B"/>
    <w:rsid w:val="00220B03"/>
    <w:rsid w:val="002473C9"/>
    <w:rsid w:val="00274EE1"/>
    <w:rsid w:val="00312F15"/>
    <w:rsid w:val="00321955"/>
    <w:rsid w:val="00381EFE"/>
    <w:rsid w:val="003C26E9"/>
    <w:rsid w:val="00404D19"/>
    <w:rsid w:val="004A4B87"/>
    <w:rsid w:val="004F37F2"/>
    <w:rsid w:val="005104D4"/>
    <w:rsid w:val="0059188C"/>
    <w:rsid w:val="005B5A4E"/>
    <w:rsid w:val="005B7728"/>
    <w:rsid w:val="00637791"/>
    <w:rsid w:val="00695B45"/>
    <w:rsid w:val="00751DC8"/>
    <w:rsid w:val="007E69C2"/>
    <w:rsid w:val="00810739"/>
    <w:rsid w:val="00853659"/>
    <w:rsid w:val="00A90301"/>
    <w:rsid w:val="00B37CAB"/>
    <w:rsid w:val="00D867DC"/>
    <w:rsid w:val="00EA4160"/>
    <w:rsid w:val="00F454CF"/>
    <w:rsid w:val="00F673C5"/>
    <w:rsid w:val="00F7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8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54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83548"/>
    <w:rPr>
      <w:sz w:val="18"/>
      <w:szCs w:val="18"/>
    </w:rPr>
  </w:style>
  <w:style w:type="paragraph" w:styleId="a4">
    <w:name w:val="footer"/>
    <w:basedOn w:val="a"/>
    <w:link w:val="Char0"/>
    <w:unhideWhenUsed/>
    <w:rsid w:val="0008354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083548"/>
    <w:rPr>
      <w:sz w:val="18"/>
      <w:szCs w:val="18"/>
    </w:rPr>
  </w:style>
  <w:style w:type="character" w:styleId="a5">
    <w:name w:val="page number"/>
    <w:basedOn w:val="a0"/>
    <w:rsid w:val="00083548"/>
  </w:style>
  <w:style w:type="paragraph" w:styleId="a6">
    <w:name w:val="Block Text"/>
    <w:basedOn w:val="a"/>
    <w:qFormat/>
    <w:rsid w:val="00083548"/>
    <w:pPr>
      <w:spacing w:line="360" w:lineRule="auto"/>
      <w:ind w:left="840" w:right="840"/>
      <w:jc w:val="center"/>
    </w:pPr>
    <w:rPr>
      <w:sz w:val="36"/>
    </w:rPr>
  </w:style>
  <w:style w:type="paragraph" w:styleId="a7">
    <w:name w:val="Balloon Text"/>
    <w:basedOn w:val="a"/>
    <w:link w:val="Char1"/>
    <w:uiPriority w:val="99"/>
    <w:semiHidden/>
    <w:unhideWhenUsed/>
    <w:rsid w:val="00F76F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6FAD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覃锦辉(拟稿)</dc:creator>
  <cp:keywords/>
  <dc:description/>
  <cp:lastModifiedBy>王汉杰(拟稿)</cp:lastModifiedBy>
  <cp:revision>18</cp:revision>
  <dcterms:created xsi:type="dcterms:W3CDTF">2017-05-24T10:35:00Z</dcterms:created>
  <dcterms:modified xsi:type="dcterms:W3CDTF">2022-05-06T08:37:00Z</dcterms:modified>
</cp:coreProperties>
</file>