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EF" w:rsidRDefault="007B57EF" w:rsidP="007B57EF">
      <w:pPr>
        <w:ind w:right="150"/>
        <w:jc w:val="left"/>
        <w:rPr>
          <w:rFonts w:eastAsia="仿宋_GB2312"/>
          <w:sz w:val="30"/>
          <w:szCs w:val="30"/>
          <w:lang w:eastAsia="zh-CN"/>
        </w:rPr>
      </w:pPr>
      <w:r>
        <w:rPr>
          <w:rFonts w:eastAsia="仿宋_GB2312" w:hint="eastAsia"/>
          <w:sz w:val="30"/>
          <w:szCs w:val="30"/>
        </w:rPr>
        <w:t>附件：</w:t>
      </w:r>
    </w:p>
    <w:p w:rsidR="007B57EF" w:rsidRDefault="007B57EF" w:rsidP="007B57EF">
      <w:pPr>
        <w:ind w:right="150"/>
        <w:jc w:val="left"/>
        <w:rPr>
          <w:rFonts w:eastAsia="仿宋_GB2312"/>
          <w:sz w:val="30"/>
          <w:szCs w:val="30"/>
          <w:lang w:eastAsia="zh-CN"/>
        </w:rPr>
      </w:pPr>
    </w:p>
    <w:p w:rsidR="007B57EF" w:rsidRDefault="007B57EF" w:rsidP="007B57EF">
      <w:pPr>
        <w:spacing w:line="360" w:lineRule="auto"/>
        <w:ind w:rightChars="1" w:right="2"/>
        <w:jc w:val="center"/>
        <w:rPr>
          <w:rFonts w:ascii="黑体" w:eastAsia="黑体" w:hAnsi="黑体"/>
          <w:bCs/>
          <w:sz w:val="44"/>
          <w:szCs w:val="44"/>
          <w:lang w:eastAsia="zh-CN"/>
        </w:rPr>
      </w:pPr>
      <w:r>
        <w:rPr>
          <w:rFonts w:ascii="黑体" w:eastAsia="黑体" w:hAnsi="黑体" w:hint="eastAsia"/>
          <w:bCs/>
          <w:sz w:val="44"/>
          <w:szCs w:val="44"/>
        </w:rPr>
        <w:t>关于对</w:t>
      </w:r>
      <w:r w:rsidRPr="00CE1882">
        <w:rPr>
          <w:rFonts w:ascii="黑体" w:eastAsia="黑体" w:hAnsi="黑体" w:hint="eastAsia"/>
          <w:bCs/>
          <w:sz w:val="44"/>
          <w:szCs w:val="44"/>
        </w:rPr>
        <w:t>新疆亿路万源实业控股股份有限</w:t>
      </w:r>
    </w:p>
    <w:p w:rsidR="007B57EF" w:rsidRDefault="007B57EF" w:rsidP="007B57EF">
      <w:pPr>
        <w:spacing w:line="360" w:lineRule="auto"/>
        <w:ind w:rightChars="1" w:right="2"/>
        <w:jc w:val="center"/>
        <w:rPr>
          <w:rFonts w:ascii="黑体" w:eastAsia="黑体" w:hAnsi="黑体"/>
          <w:bCs/>
          <w:sz w:val="44"/>
          <w:szCs w:val="44"/>
        </w:rPr>
      </w:pPr>
      <w:r w:rsidRPr="00CE1882">
        <w:rPr>
          <w:rFonts w:ascii="黑体" w:eastAsia="黑体" w:hAnsi="黑体" w:hint="eastAsia"/>
          <w:bCs/>
          <w:sz w:val="44"/>
          <w:szCs w:val="44"/>
        </w:rPr>
        <w:t>公司</w:t>
      </w:r>
      <w:r>
        <w:rPr>
          <w:rFonts w:ascii="黑体" w:eastAsia="黑体" w:hAnsi="黑体" w:hint="eastAsia"/>
          <w:bCs/>
          <w:kern w:val="0"/>
          <w:sz w:val="44"/>
          <w:szCs w:val="44"/>
          <w:lang w:eastAsia="zh-CN"/>
        </w:rPr>
        <w:t>及</w:t>
      </w:r>
      <w:r>
        <w:rPr>
          <w:rFonts w:ascii="黑体" w:eastAsia="黑体" w:hAnsi="黑体" w:hint="eastAsia"/>
          <w:bCs/>
          <w:kern w:val="0"/>
          <w:sz w:val="44"/>
          <w:szCs w:val="44"/>
        </w:rPr>
        <w:t>有关责任人</w:t>
      </w:r>
      <w:r>
        <w:rPr>
          <w:rFonts w:ascii="黑体" w:eastAsia="黑体" w:hAnsi="黑体" w:hint="eastAsia"/>
          <w:bCs/>
          <w:sz w:val="44"/>
          <w:szCs w:val="44"/>
        </w:rPr>
        <w:t>予以纪律处分的意向书</w:t>
      </w:r>
    </w:p>
    <w:p w:rsidR="007B57EF" w:rsidRDefault="007B57EF" w:rsidP="007B57EF">
      <w:pPr>
        <w:spacing w:line="360" w:lineRule="auto"/>
        <w:ind w:rightChars="1" w:right="2"/>
        <w:rPr>
          <w:rFonts w:ascii="黑体" w:eastAsia="黑体" w:hAnsi="黑体"/>
          <w:sz w:val="44"/>
          <w:szCs w:val="44"/>
        </w:rPr>
      </w:pPr>
    </w:p>
    <w:p w:rsidR="007B57EF" w:rsidRDefault="007B57EF" w:rsidP="007B57EF">
      <w:pPr>
        <w:spacing w:line="360" w:lineRule="auto"/>
        <w:rPr>
          <w:rFonts w:ascii="仿宋_GB2312" w:eastAsia="仿宋_GB2312" w:hAnsi="宋体"/>
          <w:sz w:val="30"/>
          <w:szCs w:val="30"/>
          <w:lang w:eastAsia="zh-CN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新疆亿路万源实业控股股份有限公司时任董事长雷刚、时任董事宋小刚、时任监事陶维平、程兴平、时任独立董事刘名旭、郑明、李季鹏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：</w:t>
      </w:r>
    </w:p>
    <w:p w:rsidR="007B57EF" w:rsidRDefault="007B57EF" w:rsidP="007B57EF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  <w:lang w:eastAsia="zh-CN"/>
        </w:rPr>
      </w:pPr>
      <w:r>
        <w:rPr>
          <w:rFonts w:ascii="仿宋_GB2312" w:eastAsia="仿宋_GB2312" w:hAnsi="宋体" w:hint="eastAsia"/>
          <w:sz w:val="30"/>
          <w:szCs w:val="30"/>
        </w:rPr>
        <w:t>根据</w:t>
      </w:r>
      <w:r w:rsidRPr="00CE1882">
        <w:rPr>
          <w:rFonts w:ascii="仿宋_GB2312" w:eastAsia="仿宋_GB2312" w:hAnsi="宋体" w:hint="eastAsia"/>
          <w:sz w:val="30"/>
          <w:szCs w:val="30"/>
        </w:rPr>
        <w:t>中国证券监督管理委员会新疆监管局《行政处罚事先告知书》（[2020]1号）查明的事实及相关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信息披露</w:t>
      </w:r>
      <w:r>
        <w:rPr>
          <w:rFonts w:ascii="仿宋_GB2312" w:eastAsia="仿宋_GB2312" w:hAnsi="宋体" w:hint="eastAsia"/>
          <w:sz w:val="30"/>
          <w:szCs w:val="30"/>
        </w:rPr>
        <w:t>，新疆亿路万源实业投资控股股份有限公司（以下简称*ST新亿或公司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，原简称四维控股</w:t>
      </w:r>
      <w:r>
        <w:rPr>
          <w:rFonts w:ascii="仿宋_GB2312" w:eastAsia="仿宋_GB2312" w:hAnsi="宋体" w:hint="eastAsia"/>
          <w:sz w:val="30"/>
          <w:szCs w:val="30"/>
        </w:rPr>
        <w:t>）在信息披露、规范运作方面，公司有关责任人在职责履行方面存在如下违规行</w:t>
      </w:r>
      <w:r w:rsidRPr="00AC04CF">
        <w:rPr>
          <w:rFonts w:ascii="仿宋_GB2312" w:eastAsia="仿宋_GB2312" w:hAnsi="宋体" w:hint="eastAsia"/>
          <w:sz w:val="30"/>
          <w:szCs w:val="30"/>
        </w:rPr>
        <w:t>为。</w:t>
      </w:r>
    </w:p>
    <w:p w:rsidR="007B57EF" w:rsidRDefault="007B57EF" w:rsidP="007B57EF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CE1882">
        <w:rPr>
          <w:rFonts w:ascii="黑体" w:eastAsia="黑体" w:hAnsi="黑体" w:hint="eastAsia"/>
          <w:sz w:val="30"/>
          <w:szCs w:val="30"/>
        </w:rPr>
        <w:t>一、未披露重大债务情况</w:t>
      </w:r>
    </w:p>
    <w:p w:rsidR="007B57EF" w:rsidRDefault="007B57EF" w:rsidP="007B57EF">
      <w:pPr>
        <w:pStyle w:val="a4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  <w:lang w:eastAsia="zh-CN"/>
        </w:rPr>
      </w:pPr>
      <w:r w:rsidRPr="00CE1882">
        <w:rPr>
          <w:rFonts w:ascii="仿宋_GB2312" w:eastAsia="仿宋_GB2312" w:hAnsi="宋体" w:hint="eastAsia"/>
          <w:sz w:val="30"/>
          <w:szCs w:val="30"/>
        </w:rPr>
        <w:t>2015年12月7日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，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因破产重整事项停牌。2015年12月11日，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公告了《重整计划》（草案），公告中确认的负债总额为23.07亿元，并经新疆维吾尔自治区塔城地区中级人民法院裁定确认。上述负债金额与公司在2014年年度报告以及2015年半年度报告中披露的负债金额存在重大差异，其中包含对许长奎、陈晓东、宗雷鸣、天津市力源祥燃料有限公司、天津市创捷投资有限公司5笔法院裁定债务，合计金额8亿元。上述5笔债务单笔金额较大，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其中4笔大额未披露债务发生于2010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lastRenderedPageBreak/>
        <w:t>年6月至10月。</w:t>
      </w:r>
      <w:r w:rsidRPr="00CE1882">
        <w:rPr>
          <w:rFonts w:ascii="仿宋_GB2312" w:eastAsia="仿宋_GB2312" w:hAnsi="宋体" w:hint="eastAsia"/>
          <w:sz w:val="30"/>
          <w:szCs w:val="30"/>
        </w:rPr>
        <w:t>公司未在临时报告及2010年至2014年年度报告中予以披露，存在重大遗漏。</w:t>
      </w:r>
    </w:p>
    <w:p w:rsidR="007B57EF" w:rsidRDefault="007B57EF" w:rsidP="007B57EF">
      <w:pPr>
        <w:pStyle w:val="a4"/>
        <w:spacing w:line="360" w:lineRule="auto"/>
        <w:ind w:leftChars="8" w:left="17" w:firstLineChars="184" w:firstLine="552"/>
        <w:rPr>
          <w:rFonts w:ascii="黑体" w:eastAsia="黑体" w:hAnsi="黑体"/>
          <w:sz w:val="30"/>
          <w:szCs w:val="30"/>
          <w:lang w:eastAsia="zh-CN"/>
        </w:rPr>
      </w:pPr>
      <w:r w:rsidRPr="00CE1882">
        <w:rPr>
          <w:rFonts w:ascii="黑体" w:eastAsia="黑体" w:hAnsi="黑体" w:hint="eastAsia"/>
          <w:sz w:val="30"/>
          <w:szCs w:val="30"/>
          <w:lang w:eastAsia="zh-CN"/>
        </w:rPr>
        <w:t>二、</w:t>
      </w:r>
      <w:r>
        <w:rPr>
          <w:rFonts w:ascii="黑体" w:eastAsia="黑体" w:hAnsi="黑体" w:hint="eastAsia"/>
          <w:sz w:val="30"/>
          <w:szCs w:val="30"/>
          <w:lang w:eastAsia="zh-CN"/>
        </w:rPr>
        <w:t>存在</w:t>
      </w:r>
      <w:r w:rsidRPr="00CE1882">
        <w:rPr>
          <w:rFonts w:ascii="黑体" w:eastAsia="黑体" w:hAnsi="黑体" w:hint="eastAsia"/>
          <w:sz w:val="30"/>
          <w:szCs w:val="30"/>
        </w:rPr>
        <w:t>非经营性占用资金的关联交易</w:t>
      </w:r>
      <w:r>
        <w:rPr>
          <w:rFonts w:ascii="黑体" w:eastAsia="黑体" w:hAnsi="黑体" w:hint="eastAsia"/>
          <w:sz w:val="30"/>
          <w:szCs w:val="30"/>
          <w:lang w:eastAsia="zh-CN"/>
        </w:rPr>
        <w:t>且未披露</w:t>
      </w:r>
    </w:p>
    <w:p w:rsidR="007B57EF" w:rsidRDefault="007B57EF" w:rsidP="007B57EF">
      <w:pPr>
        <w:pStyle w:val="a4"/>
        <w:spacing w:line="360" w:lineRule="auto"/>
        <w:ind w:leftChars="8" w:left="17" w:firstLineChars="184" w:firstLine="552"/>
        <w:rPr>
          <w:rFonts w:ascii="仿宋_GB2312" w:eastAsia="仿宋_GB2312" w:hAnsi="宋体"/>
          <w:sz w:val="30"/>
          <w:szCs w:val="30"/>
          <w:lang w:eastAsia="zh-CN"/>
        </w:rPr>
      </w:pPr>
      <w:r>
        <w:rPr>
          <w:rFonts w:ascii="仿宋_GB2312" w:eastAsia="仿宋_GB2312" w:hAnsi="宋体" w:hint="eastAsia"/>
          <w:sz w:val="30"/>
          <w:szCs w:val="30"/>
          <w:lang w:eastAsia="zh-CN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与新疆万水源矿业有限责任公司（以下简称新疆万水源）、和田县万水源投资有限责任公司（以下简称和田万水源）、民丰县万水源矿业有限责任公司（以下简称民丰万水源）、上海源迪投资管理有限公司（以下简称上海源迪）、深圳市快成达科技有限公司（以下简称深圳快成达）之间构成关联关系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，</w:t>
      </w:r>
      <w:r w:rsidRPr="00CE1882">
        <w:rPr>
          <w:rFonts w:ascii="仿宋_GB2312" w:eastAsia="仿宋_GB2312" w:hAnsi="宋体" w:hint="eastAsia"/>
          <w:sz w:val="30"/>
          <w:szCs w:val="30"/>
        </w:rPr>
        <w:t>崔强是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的关联自然人。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其中，公司及新疆万水源、和田万水源、民丰万水源的实际控制人均为黄伟；上海源迪持有股份占公司总股本的9.6%；深圳快成达与新疆万水源、民丰万水源于2016年发生多笔资金往来，并由公司时任监事李勇代理深圳快成达申请贷款，崔强为深圳快成达时任法定代表人、公司控股股东新疆</w:t>
      </w:r>
      <w:r w:rsidRPr="00CE1882">
        <w:rPr>
          <w:rFonts w:ascii="仿宋_GB2312" w:eastAsia="仿宋_GB2312" w:hAnsi="宋体" w:hint="eastAsia"/>
          <w:sz w:val="30"/>
          <w:szCs w:val="30"/>
        </w:rPr>
        <w:t>万源汇金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投资控股有限公司（以下简称</w:t>
      </w:r>
      <w:r w:rsidRPr="00CE1882">
        <w:rPr>
          <w:rFonts w:ascii="仿宋_GB2312" w:eastAsia="仿宋_GB2312" w:hAnsi="宋体" w:hint="eastAsia"/>
          <w:sz w:val="30"/>
          <w:szCs w:val="30"/>
        </w:rPr>
        <w:t>万源汇金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）的间接股东。2016年1月至2017年5月，公司与上述关联方存在非经营性资金占用，且未按规定披露。</w:t>
      </w:r>
    </w:p>
    <w:p w:rsidR="007B57EF" w:rsidRDefault="007B57EF" w:rsidP="007B57EF">
      <w:pPr>
        <w:pStyle w:val="a4"/>
        <w:spacing w:line="360" w:lineRule="auto"/>
        <w:ind w:leftChars="8" w:left="17" w:firstLineChars="184" w:firstLine="552"/>
        <w:rPr>
          <w:rFonts w:ascii="仿宋_GB2312" w:eastAsia="仿宋_GB2312" w:hAnsi="宋体"/>
          <w:sz w:val="30"/>
          <w:szCs w:val="30"/>
        </w:rPr>
      </w:pPr>
      <w:r w:rsidRPr="00CE1882">
        <w:rPr>
          <w:rFonts w:ascii="仿宋_GB2312" w:eastAsia="仿宋_GB2312" w:hAnsi="宋体" w:hint="eastAsia"/>
          <w:sz w:val="30"/>
          <w:szCs w:val="30"/>
        </w:rPr>
        <w:t>2016年1月25日，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与上海聚赫投资管理有限公司（以下简称上海聚赫）签订电解铜采购合同并支付预付款5950万元。2016年2月2日，上海聚赫通过多个主体将5949万元最终转至新疆万水源、民丰万水源。新疆万水源、民丰万水源合计占用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资金5949万元</w:t>
      </w:r>
      <w:r w:rsidRPr="00BE5071">
        <w:rPr>
          <w:rFonts w:ascii="仿宋_GB2312" w:eastAsia="仿宋_GB2312" w:hAnsi="宋体" w:hint="eastAsia"/>
          <w:sz w:val="30"/>
          <w:szCs w:val="30"/>
          <w:lang w:eastAsia="zh-CN"/>
        </w:rPr>
        <w:t>，占上一年末经审计净资产的</w:t>
      </w:r>
      <w:r w:rsidRPr="00BE5071">
        <w:rPr>
          <w:rFonts w:ascii="仿宋_GB2312" w:eastAsia="仿宋_GB2312" w:hAnsi="宋体"/>
          <w:sz w:val="30"/>
          <w:szCs w:val="30"/>
          <w:lang w:eastAsia="zh-CN"/>
        </w:rPr>
        <w:t>9.83%</w:t>
      </w:r>
      <w:r w:rsidRPr="00BE5071">
        <w:rPr>
          <w:rFonts w:ascii="仿宋_GB2312" w:eastAsia="仿宋_GB2312" w:hAnsi="宋体" w:hint="eastAsia"/>
          <w:sz w:val="30"/>
          <w:szCs w:val="30"/>
        </w:rPr>
        <w:t>。</w:t>
      </w:r>
    </w:p>
    <w:p w:rsidR="007B57EF" w:rsidRDefault="007B57EF" w:rsidP="007B57EF">
      <w:pPr>
        <w:pStyle w:val="a4"/>
        <w:spacing w:line="360" w:lineRule="auto"/>
        <w:ind w:leftChars="8" w:left="17" w:firstLineChars="184" w:firstLine="552"/>
        <w:rPr>
          <w:rFonts w:ascii="仿宋_GB2312" w:eastAsia="仿宋_GB2312" w:hAnsi="宋体"/>
          <w:sz w:val="30"/>
          <w:szCs w:val="30"/>
        </w:rPr>
      </w:pPr>
      <w:r w:rsidRPr="00CE1882">
        <w:rPr>
          <w:rFonts w:ascii="仿宋_GB2312" w:eastAsia="仿宋_GB2312" w:hAnsi="宋体" w:hint="eastAsia"/>
          <w:sz w:val="30"/>
          <w:szCs w:val="30"/>
        </w:rPr>
        <w:lastRenderedPageBreak/>
        <w:t>2017年5月16日，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全资子公司新疆亿源汇金商业投资有限责任公司（以下简称亿源汇金）与乌鲁木齐鹏程旭工贸有限公司（以下简称鹏程旭工贸）签订铝合金门窗采购合同，2017年5月24日，亿源汇金向鹏程旭工贸支付预付款2.8亿元。2017年5月24至25日，鹏程旭工贸向深圳快成达划转资金2.8亿元。深圳快成达占用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资金2.8亿元</w:t>
      </w:r>
      <w:r w:rsidRPr="00BE5071">
        <w:rPr>
          <w:rFonts w:ascii="仿宋_GB2312" w:eastAsia="仿宋_GB2312" w:hAnsi="宋体" w:hint="eastAsia"/>
          <w:sz w:val="30"/>
          <w:szCs w:val="30"/>
          <w:lang w:eastAsia="zh-CN"/>
        </w:rPr>
        <w:t>，占上一年末经审计净资产的</w:t>
      </w:r>
      <w:r w:rsidRPr="00BE5071">
        <w:rPr>
          <w:rFonts w:ascii="仿宋_GB2312" w:eastAsia="仿宋_GB2312" w:hAnsi="宋体"/>
          <w:sz w:val="30"/>
          <w:szCs w:val="30"/>
          <w:lang w:eastAsia="zh-CN"/>
        </w:rPr>
        <w:t>45.45%</w:t>
      </w:r>
      <w:r w:rsidRPr="00BE5071">
        <w:rPr>
          <w:rFonts w:ascii="仿宋_GB2312" w:eastAsia="仿宋_GB2312" w:hAnsi="宋体" w:hint="eastAsia"/>
          <w:sz w:val="30"/>
          <w:szCs w:val="30"/>
        </w:rPr>
        <w:t>。</w:t>
      </w:r>
    </w:p>
    <w:p w:rsidR="007B57EF" w:rsidRDefault="007B57EF" w:rsidP="007B57EF">
      <w:pPr>
        <w:pStyle w:val="a4"/>
        <w:spacing w:line="360" w:lineRule="auto"/>
        <w:ind w:leftChars="8" w:left="17" w:firstLineChars="184" w:firstLine="552"/>
        <w:rPr>
          <w:rFonts w:ascii="仿宋_GB2312" w:eastAsia="仿宋_GB2312" w:hAnsi="宋体"/>
          <w:sz w:val="30"/>
          <w:szCs w:val="30"/>
        </w:rPr>
      </w:pPr>
      <w:r w:rsidRPr="00CE1882">
        <w:rPr>
          <w:rFonts w:ascii="仿宋_GB2312" w:eastAsia="仿宋_GB2312" w:hAnsi="宋体" w:hint="eastAsia"/>
          <w:sz w:val="30"/>
          <w:szCs w:val="30"/>
        </w:rPr>
        <w:t>2017年5月16日，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与新疆中酒时代酒业有限公司（以下简称中酒时代）签订红酒采购合同，2017年6月19日签订借款合同。2017年5月24日至7月20日，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通过预付款和借款的形式向中酒时代转账8043万元。中酒时代将部分款项转至陶旭，后转至李旭珍（黄伟配偶）1050.94万元、李勇1001万元、崔强1050.94万元、新疆万水源1480万元。李旭珍、李勇、崔强、新疆万水源合计占用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资金4582.88万元</w:t>
      </w:r>
      <w:r w:rsidRPr="00BE5071">
        <w:rPr>
          <w:rFonts w:ascii="仿宋_GB2312" w:eastAsia="仿宋_GB2312" w:hAnsi="宋体" w:hint="eastAsia"/>
          <w:sz w:val="30"/>
          <w:szCs w:val="30"/>
          <w:lang w:eastAsia="zh-CN"/>
        </w:rPr>
        <w:t>，占上一年末经审计净资产的</w:t>
      </w:r>
      <w:r w:rsidRPr="00BE5071">
        <w:rPr>
          <w:rFonts w:ascii="仿宋_GB2312" w:eastAsia="仿宋_GB2312" w:hAnsi="宋体"/>
          <w:sz w:val="30"/>
          <w:szCs w:val="30"/>
          <w:lang w:eastAsia="zh-CN"/>
        </w:rPr>
        <w:t>7.44%</w:t>
      </w:r>
      <w:r w:rsidRPr="00BE5071">
        <w:rPr>
          <w:rFonts w:ascii="仿宋_GB2312" w:eastAsia="仿宋_GB2312" w:hAnsi="宋体" w:hint="eastAsia"/>
          <w:sz w:val="30"/>
          <w:szCs w:val="30"/>
        </w:rPr>
        <w:t>。</w:t>
      </w:r>
    </w:p>
    <w:p w:rsidR="007B57EF" w:rsidRDefault="007B57EF" w:rsidP="007B57EF">
      <w:pPr>
        <w:pStyle w:val="a4"/>
        <w:spacing w:line="360" w:lineRule="auto"/>
        <w:ind w:leftChars="8" w:left="17" w:firstLineChars="184" w:firstLine="552"/>
        <w:rPr>
          <w:rFonts w:ascii="仿宋_GB2312" w:eastAsia="仿宋_GB2312" w:hAnsi="宋体"/>
          <w:sz w:val="30"/>
          <w:szCs w:val="30"/>
          <w:lang w:eastAsia="zh-CN"/>
        </w:rPr>
      </w:pPr>
      <w:r w:rsidRPr="00CE1882">
        <w:rPr>
          <w:rFonts w:ascii="仿宋_GB2312" w:eastAsia="仿宋_GB2312" w:hAnsi="宋体" w:hint="eastAsia"/>
          <w:sz w:val="30"/>
          <w:szCs w:val="30"/>
        </w:rPr>
        <w:t>2016年1月12日，乌鲁木齐震北商贸有限公司（以下简称震北商贸）以其与上海源迪签署的借款合同为由，向中信银行乌鲁木齐分行申请对上海源迪开具2亿元3个月期银行承兑汇票，经票据公司贴现后，其中1.47亿元由上海源迪用于支付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重整投资款，经办人为上海源迪时任法定代表人、执行董事刘鹏，2016年4月11日该银行承兑汇票到期转银行贷款。2016年4月1日至8日，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与震北商贸签订3份电解铜采购合同，并于</w:t>
      </w:r>
      <w:r w:rsidRPr="00CE1882">
        <w:rPr>
          <w:rFonts w:ascii="仿宋_GB2312" w:eastAsia="仿宋_GB2312" w:hAnsi="宋体" w:hint="eastAsia"/>
          <w:sz w:val="30"/>
          <w:szCs w:val="30"/>
        </w:rPr>
        <w:lastRenderedPageBreak/>
        <w:t>2016年4月12日支付预付款1.38亿元，用于支付震北商贸向中信银行乌鲁木齐分行的贷款2亿元。上海源迪占用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资金1.38亿元</w:t>
      </w:r>
      <w:r w:rsidRPr="00BE5071">
        <w:rPr>
          <w:rFonts w:ascii="仿宋_GB2312" w:eastAsia="仿宋_GB2312" w:hAnsi="宋体" w:hint="eastAsia"/>
          <w:sz w:val="30"/>
          <w:szCs w:val="30"/>
          <w:lang w:eastAsia="zh-CN"/>
        </w:rPr>
        <w:t>，占上一年末经审计净资产的</w:t>
      </w:r>
      <w:r w:rsidRPr="00BE5071">
        <w:rPr>
          <w:rFonts w:ascii="仿宋_GB2312" w:eastAsia="仿宋_GB2312" w:hAnsi="宋体"/>
          <w:sz w:val="30"/>
          <w:szCs w:val="30"/>
          <w:lang w:eastAsia="zh-CN"/>
        </w:rPr>
        <w:t>22.81%</w:t>
      </w:r>
      <w:r w:rsidRPr="00BE5071">
        <w:rPr>
          <w:rFonts w:ascii="仿宋_GB2312" w:eastAsia="仿宋_GB2312" w:hAnsi="宋体" w:hint="eastAsia"/>
          <w:sz w:val="30"/>
          <w:szCs w:val="30"/>
        </w:rPr>
        <w:t>。</w:t>
      </w:r>
    </w:p>
    <w:p w:rsidR="007B57EF" w:rsidRDefault="007B57EF" w:rsidP="007B57EF">
      <w:pPr>
        <w:pStyle w:val="a4"/>
        <w:spacing w:line="360" w:lineRule="auto"/>
        <w:ind w:leftChars="8" w:left="17" w:firstLineChars="184" w:firstLine="552"/>
        <w:rPr>
          <w:rFonts w:ascii="仿宋_GB2312" w:eastAsia="仿宋_GB2312" w:hAnsi="宋体"/>
          <w:sz w:val="30"/>
          <w:szCs w:val="30"/>
          <w:lang w:eastAsia="zh-CN"/>
        </w:rPr>
      </w:pPr>
      <w:r w:rsidRPr="00CE1882">
        <w:rPr>
          <w:rFonts w:ascii="仿宋_GB2312" w:eastAsia="仿宋_GB2312" w:hAnsi="宋体" w:hint="eastAsia"/>
          <w:sz w:val="30"/>
          <w:szCs w:val="30"/>
        </w:rPr>
        <w:t>2016年1月11日，深圳市华嘉通电子有限公司（以下简称深圳华嘉通）向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控股股东万源汇金转账3亿元，万源汇金以此支付对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的重整投资款。2017年2月至3月，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分别与天津市启运塑料制品有限公司（以下简称天津启运）、日照紫峰货物代理有限公司（以下简称日照紫峰）、天津中宇乾坤国际贸易有限公司（以下简称中宇乾坤）签订采购合同，通过银行承兑汇票支付预付款3亿元，经多家公司贴现后，最终2.965亿元转至深圳华嘉通。万源汇金占用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资金2.965亿元</w:t>
      </w:r>
      <w:r w:rsidRPr="00BE5071">
        <w:rPr>
          <w:rFonts w:ascii="仿宋_GB2312" w:eastAsia="仿宋_GB2312" w:hAnsi="宋体" w:hint="eastAsia"/>
          <w:sz w:val="30"/>
          <w:szCs w:val="30"/>
          <w:lang w:eastAsia="zh-CN"/>
        </w:rPr>
        <w:t>，占上一年末经审计净资产的</w:t>
      </w:r>
      <w:r w:rsidRPr="00BE5071">
        <w:rPr>
          <w:rFonts w:ascii="仿宋_GB2312" w:eastAsia="仿宋_GB2312" w:hAnsi="宋体"/>
          <w:sz w:val="30"/>
          <w:szCs w:val="30"/>
          <w:lang w:eastAsia="zh-CN"/>
        </w:rPr>
        <w:t>48.13%</w:t>
      </w:r>
      <w:r w:rsidRPr="00BE5071">
        <w:rPr>
          <w:rFonts w:ascii="仿宋_GB2312" w:eastAsia="仿宋_GB2312" w:hAnsi="宋体" w:hint="eastAsia"/>
          <w:sz w:val="30"/>
          <w:szCs w:val="30"/>
        </w:rPr>
        <w:t>。</w:t>
      </w:r>
    </w:p>
    <w:p w:rsidR="007B57EF" w:rsidRDefault="007B57EF" w:rsidP="007B57EF">
      <w:pPr>
        <w:pStyle w:val="a4"/>
        <w:spacing w:line="360" w:lineRule="auto"/>
        <w:ind w:leftChars="8" w:left="17" w:firstLineChars="184" w:firstLine="552"/>
        <w:rPr>
          <w:rFonts w:ascii="黑体" w:eastAsia="黑体" w:hAnsi="黑体"/>
          <w:sz w:val="30"/>
          <w:szCs w:val="30"/>
          <w:lang w:eastAsia="zh-CN"/>
        </w:rPr>
      </w:pPr>
      <w:r w:rsidRPr="00CE1882">
        <w:rPr>
          <w:rFonts w:ascii="黑体" w:eastAsia="黑体" w:hAnsi="黑体" w:hint="eastAsia"/>
          <w:sz w:val="30"/>
          <w:szCs w:val="30"/>
          <w:lang w:eastAsia="zh-CN"/>
        </w:rPr>
        <w:t>三、</w:t>
      </w:r>
      <w:r>
        <w:rPr>
          <w:rFonts w:ascii="黑体" w:eastAsia="黑体" w:hAnsi="黑体" w:hint="eastAsia"/>
          <w:sz w:val="30"/>
          <w:szCs w:val="30"/>
        </w:rPr>
        <w:t>关联</w:t>
      </w:r>
      <w:r w:rsidRPr="00CE1882">
        <w:rPr>
          <w:rFonts w:ascii="黑体" w:eastAsia="黑体" w:hAnsi="黑体" w:hint="eastAsia"/>
          <w:sz w:val="30"/>
          <w:szCs w:val="30"/>
        </w:rPr>
        <w:t>担保</w:t>
      </w:r>
      <w:r>
        <w:rPr>
          <w:rFonts w:ascii="黑体" w:eastAsia="黑体" w:hAnsi="黑体" w:hint="eastAsia"/>
          <w:sz w:val="30"/>
          <w:szCs w:val="30"/>
          <w:lang w:eastAsia="zh-CN"/>
        </w:rPr>
        <w:t>未履行股东大会决策程序及披露义务</w:t>
      </w:r>
    </w:p>
    <w:p w:rsidR="007B57EF" w:rsidRDefault="007B57EF" w:rsidP="007B57EF">
      <w:pPr>
        <w:pStyle w:val="a4"/>
        <w:spacing w:line="360" w:lineRule="auto"/>
        <w:ind w:leftChars="8" w:left="17" w:firstLineChars="184" w:firstLine="552"/>
        <w:rPr>
          <w:rFonts w:ascii="仿宋_GB2312" w:eastAsia="仿宋_GB2312" w:hAnsi="宋体"/>
          <w:sz w:val="30"/>
          <w:szCs w:val="30"/>
        </w:rPr>
      </w:pPr>
      <w:r w:rsidRPr="00CE1882">
        <w:rPr>
          <w:rFonts w:ascii="仿宋_GB2312" w:eastAsia="仿宋_GB2312" w:hAnsi="宋体" w:hint="eastAsia"/>
          <w:sz w:val="30"/>
          <w:szCs w:val="30"/>
        </w:rPr>
        <w:t>2016年5月15日，深圳快成达与深圳乾源资产管理有限公司签订电子芯片购销合同。同月，深圳快成达以上述购销合同为由向新疆天山农商行申请3.132亿元为期一年的银行贷款。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未按照规定履行公章使用审批流程，在未依法履行董事会、股东大会审议程序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，也未履行信息披露义务的</w:t>
      </w:r>
      <w:r w:rsidRPr="00CE1882">
        <w:rPr>
          <w:rFonts w:ascii="仿宋_GB2312" w:eastAsia="仿宋_GB2312" w:hAnsi="宋体" w:hint="eastAsia"/>
          <w:sz w:val="30"/>
          <w:szCs w:val="30"/>
        </w:rPr>
        <w:t>情况下，向新疆天山农商行提交了一份盖有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公章及黄伟、庞建东2名董事签字的《董事会决议》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（</w:t>
      </w:r>
      <w:r w:rsidRPr="00CE1882">
        <w:rPr>
          <w:rFonts w:ascii="仿宋_GB2312" w:eastAsia="仿宋_GB2312" w:hAnsi="宋体" w:hint="eastAsia"/>
          <w:sz w:val="30"/>
          <w:szCs w:val="30"/>
        </w:rPr>
        <w:t>2016年5月19日），并出具了一份盖有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公章及黄伟、庞建东、李旭珍、崔强签字的《不可撤销担保</w:t>
      </w:r>
      <w:r w:rsidRPr="00CE1882">
        <w:rPr>
          <w:rFonts w:ascii="仿宋_GB2312" w:eastAsia="仿宋_GB2312" w:hAnsi="宋体" w:hint="eastAsia"/>
          <w:sz w:val="30"/>
          <w:szCs w:val="30"/>
        </w:rPr>
        <w:lastRenderedPageBreak/>
        <w:t>书》，以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在新疆天山农商行的金额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为</w:t>
      </w:r>
      <w:r w:rsidRPr="00CE1882">
        <w:rPr>
          <w:rFonts w:ascii="仿宋_GB2312" w:eastAsia="仿宋_GB2312" w:hAnsi="宋体" w:hint="eastAsia"/>
          <w:sz w:val="30"/>
          <w:szCs w:val="30"/>
        </w:rPr>
        <w:t>3.48亿元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的</w:t>
      </w:r>
      <w:r w:rsidRPr="00CE1882">
        <w:rPr>
          <w:rFonts w:ascii="仿宋_GB2312" w:eastAsia="仿宋_GB2312" w:hAnsi="宋体" w:hint="eastAsia"/>
          <w:sz w:val="30"/>
          <w:szCs w:val="30"/>
        </w:rPr>
        <w:t>两笔</w:t>
      </w:r>
      <w:r>
        <w:rPr>
          <w:rFonts w:ascii="仿宋_GB2312" w:eastAsia="仿宋_GB2312" w:hAnsi="宋体" w:hint="eastAsia"/>
          <w:sz w:val="30"/>
          <w:szCs w:val="30"/>
        </w:rPr>
        <w:t>定期存单</w:t>
      </w:r>
      <w:r w:rsidRPr="00CE1882">
        <w:rPr>
          <w:rFonts w:ascii="仿宋_GB2312" w:eastAsia="仿宋_GB2312" w:hAnsi="宋体" w:hint="eastAsia"/>
          <w:sz w:val="30"/>
          <w:szCs w:val="30"/>
        </w:rPr>
        <w:t>为上述贷款提供质押担保</w:t>
      </w:r>
      <w:r w:rsidRPr="00BE5071">
        <w:rPr>
          <w:rFonts w:ascii="仿宋_GB2312" w:eastAsia="仿宋_GB2312" w:hAnsi="宋体" w:hint="eastAsia"/>
          <w:sz w:val="30"/>
          <w:szCs w:val="30"/>
          <w:lang w:eastAsia="zh-CN"/>
        </w:rPr>
        <w:t>，占上一年末经审计净资产的</w:t>
      </w:r>
      <w:r w:rsidRPr="00BE5071">
        <w:rPr>
          <w:rFonts w:ascii="仿宋_GB2312" w:eastAsia="仿宋_GB2312" w:hAnsi="宋体"/>
          <w:sz w:val="30"/>
          <w:szCs w:val="30"/>
          <w:lang w:eastAsia="zh-CN"/>
        </w:rPr>
        <w:t>57.52%</w:t>
      </w:r>
      <w:r w:rsidRPr="00BE5071">
        <w:rPr>
          <w:rFonts w:ascii="仿宋_GB2312" w:eastAsia="仿宋_GB2312" w:hAnsi="宋体" w:hint="eastAsia"/>
          <w:sz w:val="30"/>
          <w:szCs w:val="30"/>
        </w:rPr>
        <w:t>。</w:t>
      </w:r>
    </w:p>
    <w:p w:rsidR="007B57EF" w:rsidRDefault="007B57EF" w:rsidP="007B57EF">
      <w:pPr>
        <w:pStyle w:val="a4"/>
        <w:spacing w:line="360" w:lineRule="auto"/>
        <w:ind w:leftChars="103" w:left="216"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  <w:lang w:eastAsia="zh-CN"/>
        </w:rPr>
        <w:t>另经查明，</w:t>
      </w:r>
      <w:r w:rsidRPr="00CE1882">
        <w:rPr>
          <w:rFonts w:ascii="仿宋_GB2312" w:eastAsia="仿宋_GB2312" w:hAnsi="宋体" w:hint="eastAsia"/>
          <w:sz w:val="30"/>
          <w:szCs w:val="30"/>
        </w:rPr>
        <w:t>上述资金占用及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违规</w:t>
      </w:r>
      <w:r w:rsidRPr="00CE1882">
        <w:rPr>
          <w:rFonts w:ascii="仿宋_GB2312" w:eastAsia="仿宋_GB2312" w:hAnsi="宋体" w:hint="eastAsia"/>
          <w:sz w:val="30"/>
          <w:szCs w:val="30"/>
        </w:rPr>
        <w:t>担保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事项</w:t>
      </w:r>
      <w:r w:rsidRPr="00CE1882">
        <w:rPr>
          <w:rFonts w:ascii="仿宋_GB2312" w:eastAsia="仿宋_GB2312" w:hAnsi="宋体" w:hint="eastAsia"/>
          <w:sz w:val="30"/>
          <w:szCs w:val="30"/>
        </w:rPr>
        <w:t>均由黄伟指使，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公司</w:t>
      </w:r>
      <w:r w:rsidRPr="00CE1882">
        <w:rPr>
          <w:rFonts w:ascii="仿宋_GB2312" w:eastAsia="仿宋_GB2312" w:hAnsi="宋体" w:hint="eastAsia"/>
          <w:sz w:val="30"/>
          <w:szCs w:val="30"/>
        </w:rPr>
        <w:t>签署的购销合同无商业实质，涉及关联方资金占用及担保金额共11.332亿元，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均</w:t>
      </w:r>
      <w:r w:rsidRPr="00CE1882">
        <w:rPr>
          <w:rFonts w:ascii="仿宋_GB2312" w:eastAsia="仿宋_GB2312" w:hAnsi="宋体" w:hint="eastAsia"/>
          <w:sz w:val="30"/>
          <w:szCs w:val="30"/>
        </w:rPr>
        <w:t>未及时履行临时报告及定期报告的披露义务，存在重大遗漏。</w:t>
      </w:r>
    </w:p>
    <w:p w:rsidR="007B57EF" w:rsidRDefault="007B57EF" w:rsidP="007B57EF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  <w:lang w:eastAsia="zh-CN"/>
        </w:rPr>
      </w:pPr>
      <w:r w:rsidRPr="00CE1882">
        <w:rPr>
          <w:rFonts w:ascii="黑体" w:eastAsia="黑体" w:hAnsi="黑体" w:hint="eastAsia"/>
          <w:sz w:val="30"/>
          <w:szCs w:val="30"/>
          <w:lang w:eastAsia="zh-CN"/>
        </w:rPr>
        <w:t>四、重要投资性房地产的调整开发事项</w:t>
      </w:r>
      <w:r>
        <w:rPr>
          <w:rFonts w:ascii="黑体" w:eastAsia="黑体" w:hAnsi="黑体" w:hint="eastAsia"/>
          <w:sz w:val="30"/>
          <w:szCs w:val="30"/>
          <w:lang w:eastAsia="zh-CN"/>
        </w:rPr>
        <w:t>未及时履行决策程序及披露义务</w:t>
      </w:r>
    </w:p>
    <w:p w:rsidR="007B57EF" w:rsidRDefault="007B57EF" w:rsidP="007B57EF">
      <w:pPr>
        <w:pStyle w:val="Default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F00C7">
        <w:rPr>
          <w:rFonts w:ascii="仿宋_GB2312" w:eastAsia="仿宋_GB2312" w:hAnsi="宋体" w:hint="eastAsia"/>
          <w:sz w:val="30"/>
          <w:szCs w:val="30"/>
        </w:rPr>
        <w:t>2020年5月24日</w:t>
      </w:r>
      <w:r>
        <w:rPr>
          <w:rFonts w:ascii="仿宋_GB2312" w:eastAsia="仿宋_GB2312" w:hAnsi="宋体" w:hint="eastAsia"/>
          <w:sz w:val="30"/>
          <w:szCs w:val="30"/>
        </w:rPr>
        <w:t>，公司子公司喀什韩真源投资有限责任公司（以下简称韩真源）与喀什市自然资源局签署了《喀什市开源市场用地规划调整开发协议》。根据协议，韩真源应当在2020年7月24日前完成位于喀什市解放北路358号、吐曼河南侧的喀什开源市场（以下简称喀什开源市场）的拆迁平整工作。若2020年8月24日前未拆除完毕，将视为韩真源放弃开发该商住用地，喀什市自然资源局将收回喀什开源市场的土地使用权。</w:t>
      </w:r>
    </w:p>
    <w:p w:rsidR="007B57EF" w:rsidRDefault="007B57EF" w:rsidP="007B57EF">
      <w:pPr>
        <w:pStyle w:val="Default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根据公司于2020年8月28日披露的2019年年度报告，喀什开源市场于2019年年末按公允价值计量的投资性房地产账面金额为8.04亿元，占公司总资产的72%、占净资产的130%，2019年度贡献公允价值变动收益2,231万元，占净利润的180%，</w:t>
      </w:r>
      <w:r w:rsidRPr="00CE1882">
        <w:rPr>
          <w:rFonts w:ascii="仿宋_GB2312" w:eastAsia="仿宋_GB2312" w:hAnsi="宋体"/>
          <w:sz w:val="30"/>
          <w:szCs w:val="30"/>
        </w:rPr>
        <w:t>2019</w:t>
      </w:r>
      <w:r w:rsidRPr="00CE1882">
        <w:rPr>
          <w:rFonts w:ascii="仿宋_GB2312" w:eastAsia="仿宋_GB2312" w:hAnsi="宋体" w:hint="eastAsia"/>
          <w:sz w:val="30"/>
          <w:szCs w:val="30"/>
        </w:rPr>
        <w:t>年贡献营业收入</w:t>
      </w:r>
      <w:r w:rsidRPr="00CE1882">
        <w:rPr>
          <w:rFonts w:ascii="仿宋_GB2312" w:eastAsia="仿宋_GB2312" w:hAnsi="宋体"/>
          <w:sz w:val="30"/>
          <w:szCs w:val="30"/>
        </w:rPr>
        <w:t>825.56万元，占</w:t>
      </w:r>
      <w:r w:rsidRPr="00CE1882">
        <w:rPr>
          <w:rFonts w:ascii="仿宋_GB2312" w:eastAsia="仿宋_GB2312" w:hAnsi="宋体" w:hint="eastAsia"/>
          <w:sz w:val="30"/>
          <w:szCs w:val="30"/>
        </w:rPr>
        <w:t>比</w:t>
      </w:r>
      <w:r w:rsidRPr="00CE1882">
        <w:rPr>
          <w:rFonts w:ascii="仿宋_GB2312" w:eastAsia="仿宋_GB2312" w:hAnsi="宋体"/>
          <w:sz w:val="30"/>
          <w:szCs w:val="30"/>
        </w:rPr>
        <w:t>79.52%，</w:t>
      </w:r>
      <w:r>
        <w:rPr>
          <w:rFonts w:ascii="仿宋_GB2312" w:eastAsia="仿宋_GB2312" w:hAnsi="宋体" w:hint="eastAsia"/>
          <w:sz w:val="30"/>
          <w:szCs w:val="30"/>
        </w:rPr>
        <w:t>该资产对公司影响重大。</w:t>
      </w:r>
      <w:r w:rsidRPr="00CE1882">
        <w:rPr>
          <w:rFonts w:ascii="仿宋_GB2312" w:eastAsia="仿宋_GB2312" w:hAnsi="宋体" w:hint="eastAsia"/>
          <w:sz w:val="30"/>
          <w:szCs w:val="30"/>
        </w:rPr>
        <w:t>前述拆除事项将导致公司丧失主要经营性资产和营业收入</w:t>
      </w:r>
      <w:r>
        <w:rPr>
          <w:rFonts w:ascii="仿宋_GB2312" w:eastAsia="仿宋_GB2312" w:hAnsi="宋体" w:hint="eastAsia"/>
          <w:sz w:val="30"/>
          <w:szCs w:val="30"/>
        </w:rPr>
        <w:t>，对公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司日常经营活动可能产生重大影响。公司签署上述协议，应当根据规则要求，经股东大会审议通过后及时披露。但公司未及时履行股东大会决策程序，也未履行信息披露义务，迟至2020年11月10日才披露上述协议，存在明显滞后。同时披露了受疫情影响，该项目推进有所延迟、第一阶段的拆迁工作已完成70%的进展情况，并提示本次用地调整开发的不确定性及对主营业务造成一定影响。</w:t>
      </w:r>
    </w:p>
    <w:p w:rsidR="007B57EF" w:rsidRDefault="007B57EF" w:rsidP="007B57EF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</w:pPr>
      <w:r w:rsidRPr="00CE188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综上，公司未披露重大债务情况，未披露非经营性占用资金的关联交易，关联担保未履行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决策程序及披露义务</w:t>
      </w:r>
      <w:r w:rsidRPr="00CE188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，重要投资性房地产的调整开发事项未及时履行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决策程序及披露义务</w:t>
      </w:r>
      <w:r w:rsidRPr="00CE188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，上述违规事项涉及金额巨大，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严重损害投资者利益。</w:t>
      </w:r>
      <w:r w:rsidRPr="00CE188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上述行为严重违反了《关于规范上市公司与关联方资金往来及上市公司对</w:t>
      </w:r>
      <w:r w:rsidRPr="00DB3DBF">
        <w:rPr>
          <w:rFonts w:ascii="仿宋_GB2312" w:eastAsia="仿宋_GB2312" w:hAnsi="宋体" w:hint="eastAsia"/>
          <w:sz w:val="30"/>
          <w:szCs w:val="30"/>
        </w:rPr>
        <w:t>外担保若干问题的通知》第一条、第二条，</w:t>
      </w:r>
      <w:r w:rsidRPr="007E632A">
        <w:rPr>
          <w:rFonts w:ascii="仿宋_GB2312" w:eastAsia="仿宋_GB2312" w:hint="eastAsia"/>
          <w:sz w:val="30"/>
          <w:szCs w:val="30"/>
        </w:rPr>
        <w:t>《公开发行证券的公司信息披露内容与格式准则第2号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——</w:t>
      </w:r>
      <w:r w:rsidRPr="00CE188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年度报告的内容与格式》《公开发行证券的公司信息披露编报规则第15号——财务报告的一般规定》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以及</w:t>
      </w:r>
      <w:r w:rsidRPr="00CE188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《上海证券交易所股票上市规则》（以下简称《股票上市规则》）第2.1条、第2.3条、第9.2条、第9.3条、第10.2.4条、第10.2.5条、第10.2.6条、第11.12.5条等有关规定。</w:t>
      </w:r>
    </w:p>
    <w:p w:rsidR="007B57EF" w:rsidRDefault="007B57EF" w:rsidP="007B57EF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</w:pPr>
      <w:r w:rsidRPr="00CE188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责任人方面，时任董事长雷刚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（</w:t>
      </w:r>
      <w:r w:rsidRPr="00BE5071"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  <w:t>2007年2月16日至2010年12月31日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）</w:t>
      </w:r>
      <w:r w:rsidRPr="00CE188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参与、知悉上述借款、担保事项，是直接负责的主管人员。时任董事宋小刚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（</w:t>
      </w:r>
      <w:r w:rsidRPr="00BE5071"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  <w:t>2015年4月17日至2017年3月2日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）</w:t>
      </w:r>
      <w:r w:rsidRPr="00CE188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、时任监事陶维平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（</w:t>
      </w:r>
      <w:r w:rsidRPr="00BE5071"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  <w:t>2011年6月8日至2019年7月31日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）</w:t>
      </w:r>
      <w:r w:rsidRPr="00CE188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、</w:t>
      </w:r>
      <w:r w:rsidRPr="00CE188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lastRenderedPageBreak/>
        <w:t>程兴平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（</w:t>
      </w:r>
      <w:r w:rsidRPr="00BE5071"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  <w:t>2013年9月26日至2017年9月5日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）</w:t>
      </w:r>
      <w:r w:rsidRPr="00CE188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、时任独立董事刘名旭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（</w:t>
      </w:r>
      <w:r w:rsidRPr="00BE5071"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  <w:t>2015年8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月</w:t>
      </w:r>
      <w:r w:rsidRPr="00BE5071"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  <w:t>26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日至</w:t>
      </w:r>
      <w:r w:rsidRPr="00BE5071"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  <w:t>2017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年</w:t>
      </w:r>
      <w:r w:rsidRPr="00BE5071"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  <w:t>9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月</w:t>
      </w:r>
      <w:r w:rsidRPr="00BE5071"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  <w:t>6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日）</w:t>
      </w:r>
      <w:r w:rsidRPr="00CE188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、郑明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（</w:t>
      </w:r>
      <w:r w:rsidRPr="00BE5071"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  <w:t>2017年3月2日至2017年9月5日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）</w:t>
      </w:r>
      <w:r w:rsidRPr="00A53000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、李季鹏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（</w:t>
      </w:r>
      <w:r w:rsidRPr="00BE5071"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  <w:t>2015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年</w:t>
      </w:r>
      <w:r w:rsidRPr="00BE5071"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  <w:t>7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月</w:t>
      </w:r>
      <w:r w:rsidRPr="00BE5071"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  <w:t>16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日至</w:t>
      </w:r>
      <w:r w:rsidRPr="00BE5071"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  <w:t>2017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年</w:t>
      </w:r>
      <w:r w:rsidRPr="00BE5071"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  <w:t>3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月</w:t>
      </w:r>
      <w:r w:rsidRPr="00BE5071">
        <w:rPr>
          <w:rFonts w:ascii="仿宋_GB2312" w:eastAsia="仿宋_GB2312" w:hAnsi="宋体" w:cs="宋体"/>
          <w:color w:val="000000"/>
          <w:kern w:val="0"/>
          <w:sz w:val="30"/>
          <w:szCs w:val="30"/>
          <w:lang w:eastAsia="zh-CN"/>
        </w:rPr>
        <w:t>2</w:t>
      </w:r>
      <w:r w:rsidRPr="00BE5071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日）</w:t>
      </w:r>
      <w:r w:rsidRPr="00CE188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签署了公司2016年半年报和年报、2017年半年报和年报，作为时任董监高，未勤勉尽责，未及时发现公司未在临时报告、定期报告中披露重大债务、重大担保及关联交易，未保证临时公告、定期报告内容的真实、准确、完整。前述责任人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未勤勉尽责，</w:t>
      </w:r>
      <w:r w:rsidRPr="00CE188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违反了《股票上市规则》第2.2条、第3.1.4条、第3.1.5条、第3.2.2条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等有关</w:t>
      </w:r>
      <w:r w:rsidRPr="00CE1882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lang w:eastAsia="zh-CN"/>
        </w:rPr>
        <w:t>规定及其在《董事（监事、高级管理人员）声明及承诺书》中做出的承诺。</w:t>
      </w:r>
    </w:p>
    <w:p w:rsidR="007B57EF" w:rsidRDefault="007B57EF" w:rsidP="007B57EF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  <w:lang w:eastAsia="zh-CN"/>
        </w:rPr>
      </w:pPr>
      <w:r>
        <w:rPr>
          <w:rFonts w:ascii="仿宋_GB2312" w:eastAsia="仿宋_GB2312" w:hAnsi="宋体" w:hint="eastAsia"/>
          <w:sz w:val="30"/>
          <w:szCs w:val="30"/>
        </w:rPr>
        <w:t>鉴于上述违规事实和情节，我部拟提请本所纪律处分委员会审核，根据《股票上市规则》第1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>.3条、第1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>.4条的规定，对</w:t>
      </w:r>
      <w:r w:rsidRPr="00CE1882">
        <w:rPr>
          <w:rFonts w:ascii="仿宋_GB2312" w:eastAsia="仿宋_GB2312" w:hAnsi="宋体" w:hint="eastAsia"/>
          <w:sz w:val="30"/>
          <w:szCs w:val="30"/>
        </w:rPr>
        <w:t>新疆亿路万源实业控股股份有限公司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时任</w:t>
      </w:r>
      <w:r w:rsidRPr="00CE1882">
        <w:rPr>
          <w:rFonts w:ascii="仿宋_GB2312" w:eastAsia="仿宋_GB2312" w:hAnsi="宋体" w:hint="eastAsia"/>
          <w:sz w:val="30"/>
          <w:szCs w:val="30"/>
        </w:rPr>
        <w:t>董事长雷刚、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时任</w:t>
      </w:r>
      <w:r w:rsidRPr="00CE1882">
        <w:rPr>
          <w:rFonts w:ascii="仿宋_GB2312" w:eastAsia="仿宋_GB2312" w:hAnsi="宋体" w:hint="eastAsia"/>
          <w:sz w:val="30"/>
          <w:szCs w:val="30"/>
        </w:rPr>
        <w:t>董事宋小刚、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时任</w:t>
      </w:r>
      <w:r w:rsidRPr="00CE1882">
        <w:rPr>
          <w:rFonts w:ascii="仿宋_GB2312" w:eastAsia="仿宋_GB2312" w:hAnsi="宋体" w:hint="eastAsia"/>
          <w:sz w:val="30"/>
          <w:szCs w:val="30"/>
        </w:rPr>
        <w:t>监事陶维平、程兴平、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时任</w:t>
      </w:r>
      <w:r w:rsidRPr="00CE1882">
        <w:rPr>
          <w:rFonts w:ascii="仿宋_GB2312" w:eastAsia="仿宋_GB2312" w:hAnsi="宋体" w:hint="eastAsia"/>
          <w:sz w:val="30"/>
          <w:szCs w:val="30"/>
        </w:rPr>
        <w:t>独立董事刘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名</w:t>
      </w:r>
      <w:r w:rsidRPr="00CE1882">
        <w:rPr>
          <w:rFonts w:ascii="仿宋_GB2312" w:eastAsia="仿宋_GB2312" w:hAnsi="宋体" w:hint="eastAsia"/>
          <w:sz w:val="30"/>
          <w:szCs w:val="30"/>
        </w:rPr>
        <w:t>旭、郑明、李季鹏</w:t>
      </w:r>
      <w:r>
        <w:rPr>
          <w:rFonts w:ascii="仿宋_GB2312" w:eastAsia="仿宋_GB2312" w:hAnsi="宋体" w:hint="eastAsia"/>
          <w:sz w:val="30"/>
          <w:szCs w:val="30"/>
        </w:rPr>
        <w:t>予以公开谴责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，并</w:t>
      </w:r>
      <w:r w:rsidRPr="00914801">
        <w:rPr>
          <w:rFonts w:ascii="仿宋_GB2312" w:eastAsia="仿宋_GB2312" w:hAnsi="宋体" w:hint="eastAsia"/>
          <w:sz w:val="30"/>
          <w:szCs w:val="30"/>
          <w:lang w:eastAsia="zh-CN"/>
        </w:rPr>
        <w:t>公开认定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公司时任</w:t>
      </w:r>
      <w:r w:rsidRPr="00CE1882">
        <w:rPr>
          <w:rFonts w:ascii="仿宋_GB2312" w:eastAsia="仿宋_GB2312" w:hAnsi="宋体" w:hint="eastAsia"/>
          <w:sz w:val="30"/>
          <w:szCs w:val="30"/>
        </w:rPr>
        <w:t>董事长雷刚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10</w:t>
      </w:r>
      <w:r w:rsidRPr="00914801">
        <w:rPr>
          <w:rFonts w:ascii="仿宋_GB2312" w:eastAsia="仿宋_GB2312" w:hAnsi="宋体" w:hint="eastAsia"/>
          <w:sz w:val="30"/>
          <w:szCs w:val="30"/>
          <w:lang w:eastAsia="zh-CN"/>
        </w:rPr>
        <w:t>年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内</w:t>
      </w:r>
      <w:r w:rsidRPr="00914801">
        <w:rPr>
          <w:rFonts w:ascii="仿宋_GB2312" w:eastAsia="仿宋_GB2312" w:hAnsi="宋体" w:hint="eastAsia"/>
          <w:sz w:val="30"/>
          <w:szCs w:val="30"/>
          <w:lang w:eastAsia="zh-CN"/>
        </w:rPr>
        <w:t>不适合担任上市公司董事、监事和高级管理人员。</w:t>
      </w:r>
    </w:p>
    <w:p w:rsidR="007B57EF" w:rsidRDefault="007B57EF" w:rsidP="007B57EF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  <w:lang w:eastAsia="zh-CN"/>
        </w:rPr>
      </w:pPr>
      <w:r>
        <w:rPr>
          <w:rFonts w:ascii="仿宋_GB2312" w:eastAsia="仿宋_GB2312" w:hAnsi="宋体" w:hint="eastAsia"/>
          <w:sz w:val="30"/>
          <w:szCs w:val="30"/>
        </w:rPr>
        <w:t>上述纪律处分将通报中国证监会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和新疆维吾尔自治区</w:t>
      </w:r>
      <w:r>
        <w:rPr>
          <w:rFonts w:ascii="仿宋_GB2312" w:eastAsia="仿宋_GB2312" w:hAnsi="宋体" w:hint="eastAsia"/>
          <w:sz w:val="30"/>
          <w:szCs w:val="30"/>
        </w:rPr>
        <w:t>人民</w:t>
      </w:r>
      <w:r>
        <w:rPr>
          <w:rFonts w:ascii="仿宋_GB2312" w:eastAsia="仿宋_GB2312" w:hAnsi="宋体"/>
          <w:sz w:val="30"/>
          <w:szCs w:val="30"/>
        </w:rPr>
        <w:t>政府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，</w:t>
      </w:r>
      <w:r>
        <w:rPr>
          <w:rFonts w:ascii="仿宋_GB2312" w:eastAsia="仿宋_GB2312" w:hAnsi="宋体" w:hint="eastAsia"/>
          <w:sz w:val="30"/>
          <w:szCs w:val="30"/>
        </w:rPr>
        <w:t>并记入上市公司诚信档案。</w:t>
      </w:r>
    </w:p>
    <w:p w:rsidR="007B57EF" w:rsidRDefault="007B57EF" w:rsidP="007B57EF">
      <w:pPr>
        <w:spacing w:line="360" w:lineRule="auto"/>
        <w:ind w:rightChars="1" w:right="2"/>
        <w:jc w:val="center"/>
        <w:rPr>
          <w:rFonts w:ascii="仿宋_GB2312" w:eastAsia="仿宋_GB2312" w:hAnsi="宋体"/>
          <w:sz w:val="30"/>
          <w:szCs w:val="30"/>
          <w:lang w:eastAsia="zh-CN"/>
        </w:rPr>
      </w:pPr>
      <w:r>
        <w:rPr>
          <w:rFonts w:ascii="仿宋_GB2312" w:eastAsia="仿宋_GB2312" w:hAnsi="宋体"/>
          <w:noProof/>
          <w:sz w:val="30"/>
          <w:szCs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3314700</wp:posOffset>
            </wp:positionH>
            <wp:positionV relativeFrom="paragraph">
              <wp:posOffset>249555</wp:posOffset>
            </wp:positionV>
            <wp:extent cx="1609725" cy="1647825"/>
            <wp:effectExtent l="19050" t="0" r="9525" b="0"/>
            <wp:wrapNone/>
            <wp:docPr id="1" name="图片 1" descr="C:\Users\Public\Nwt\cache\recv\刘笑\桃红\公司二部盖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Nwt\cache\recv\刘笑\桃红\公司二部盖章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7EF" w:rsidRDefault="007B57EF" w:rsidP="007B57EF">
      <w:pPr>
        <w:spacing w:line="360" w:lineRule="auto"/>
        <w:ind w:rightChars="1" w:right="2"/>
        <w:rPr>
          <w:rFonts w:ascii="仿宋_GB2312" w:eastAsia="仿宋_GB2312" w:hAnsi="宋体"/>
          <w:sz w:val="30"/>
          <w:szCs w:val="30"/>
          <w:lang w:eastAsia="zh-CN"/>
        </w:rPr>
      </w:pPr>
    </w:p>
    <w:p w:rsidR="007B57EF" w:rsidRPr="00802084" w:rsidRDefault="007B57EF" w:rsidP="007B57EF">
      <w:pPr>
        <w:spacing w:line="360" w:lineRule="auto"/>
        <w:ind w:rightChars="1" w:right="2" w:firstLineChars="200" w:firstLine="60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</w:t>
      </w:r>
      <w:r w:rsidRPr="00802084">
        <w:rPr>
          <w:rFonts w:ascii="仿宋_GB2312" w:eastAsia="仿宋_GB2312" w:hAnsi="宋体" w:hint="eastAsia"/>
          <w:sz w:val="30"/>
          <w:szCs w:val="30"/>
        </w:rPr>
        <w:t>上海证券交易所</w:t>
      </w:r>
      <w:r>
        <w:rPr>
          <w:rFonts w:ascii="仿宋_GB2312" w:eastAsia="仿宋_GB2312" w:hAnsi="宋体" w:hint="eastAsia"/>
          <w:sz w:val="30"/>
          <w:szCs w:val="30"/>
        </w:rPr>
        <w:t>上市公司监管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二</w:t>
      </w:r>
      <w:r>
        <w:rPr>
          <w:rFonts w:ascii="仿宋_GB2312" w:eastAsia="仿宋_GB2312" w:hAnsi="宋体" w:hint="eastAsia"/>
          <w:sz w:val="30"/>
          <w:szCs w:val="30"/>
        </w:rPr>
        <w:t>部</w:t>
      </w:r>
    </w:p>
    <w:p w:rsidR="0098629D" w:rsidRDefault="007B57EF" w:rsidP="007B57EF">
      <w:pPr>
        <w:jc w:val="right"/>
      </w:pPr>
      <w:r>
        <w:rPr>
          <w:rFonts w:ascii="仿宋_GB2312" w:eastAsia="仿宋_GB2312" w:hAnsi="宋体" w:hint="eastAsia"/>
          <w:kern w:val="0"/>
          <w:sz w:val="30"/>
          <w:szCs w:val="30"/>
        </w:rPr>
        <w:t>二</w:t>
      </w:r>
      <w:r>
        <w:rPr>
          <w:rFonts w:ascii="宋体" w:hAnsi="宋体" w:cs="宋体" w:hint="eastAsia"/>
          <w:kern w:val="0"/>
          <w:sz w:val="30"/>
          <w:szCs w:val="30"/>
        </w:rPr>
        <w:t>〇</w:t>
      </w:r>
      <w:r>
        <w:rPr>
          <w:rFonts w:ascii="仿宋_GB2312" w:eastAsia="仿宋_GB2312" w:hAnsi="宋体" w:hint="eastAsia"/>
          <w:kern w:val="0"/>
          <w:sz w:val="30"/>
          <w:szCs w:val="30"/>
        </w:rPr>
        <w:t>二</w:t>
      </w:r>
      <w:r>
        <w:rPr>
          <w:rFonts w:ascii="宋体" w:hAnsi="宋体" w:cs="宋体" w:hint="eastAsia"/>
          <w:kern w:val="0"/>
          <w:sz w:val="30"/>
          <w:szCs w:val="30"/>
        </w:rPr>
        <w:t>一</w:t>
      </w:r>
      <w:r>
        <w:rPr>
          <w:rFonts w:ascii="仿宋_GB2312" w:eastAsia="仿宋_GB2312" w:hAnsi="宋体" w:hint="eastAsia"/>
          <w:kern w:val="0"/>
          <w:sz w:val="30"/>
          <w:szCs w:val="30"/>
        </w:rPr>
        <w:t>年四月</w:t>
      </w:r>
      <w:bookmarkStart w:id="0" w:name="_GoBack"/>
      <w:bookmarkEnd w:id="0"/>
      <w:r>
        <w:rPr>
          <w:rFonts w:ascii="仿宋_GB2312" w:eastAsia="仿宋_GB2312" w:hAnsi="宋体" w:hint="eastAsia"/>
          <w:kern w:val="0"/>
          <w:sz w:val="30"/>
          <w:szCs w:val="30"/>
        </w:rPr>
        <w:t>十三日</w:t>
      </w:r>
    </w:p>
    <w:sectPr w:rsidR="0098629D" w:rsidSect="00A9103D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748814"/>
      <w:docPartObj>
        <w:docPartGallery w:val="Page Numbers (Bottom of Page)"/>
        <w:docPartUnique/>
      </w:docPartObj>
    </w:sdtPr>
    <w:sdtEndPr/>
    <w:sdtContent>
      <w:p w:rsidR="00B5587F" w:rsidRDefault="007B57E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B57EF">
          <w:rPr>
            <w:noProof/>
            <w:lang w:val="zh-CN"/>
          </w:rPr>
          <w:t>1</w:t>
        </w:r>
        <w:r>
          <w:fldChar w:fldCharType="end"/>
        </w:r>
      </w:p>
    </w:sdtContent>
  </w:sdt>
  <w:p w:rsidR="00B5587F" w:rsidRDefault="007B57E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7EF"/>
    <w:rsid w:val="007B57EF"/>
    <w:rsid w:val="0098629D"/>
    <w:rsid w:val="009B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EF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B57E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7B5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57EF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4">
    <w:name w:val="Body Text"/>
    <w:basedOn w:val="a"/>
    <w:link w:val="Char0"/>
    <w:uiPriority w:val="99"/>
    <w:unhideWhenUsed/>
    <w:rsid w:val="007B57EF"/>
    <w:pPr>
      <w:spacing w:after="120"/>
    </w:pPr>
  </w:style>
  <w:style w:type="character" w:customStyle="1" w:styleId="Char0">
    <w:name w:val="正文文本 Char"/>
    <w:basedOn w:val="a0"/>
    <w:link w:val="a4"/>
    <w:uiPriority w:val="99"/>
    <w:rsid w:val="007B57EF"/>
    <w:rPr>
      <w:rFonts w:ascii="Times New Roman" w:eastAsia="宋体" w:hAnsi="Times New Roman" w:cs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吴俊杰(拟稿)</dc:creator>
  <cp:lastModifiedBy>吴俊杰(拟稿)</cp:lastModifiedBy>
  <cp:revision>1</cp:revision>
  <dcterms:created xsi:type="dcterms:W3CDTF">2021-04-13T08:16:00Z</dcterms:created>
  <dcterms:modified xsi:type="dcterms:W3CDTF">2021-04-13T08:36:00Z</dcterms:modified>
</cp:coreProperties>
</file>