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9FA" w:rsidRPr="00C66A62" w:rsidRDefault="006E09FA" w:rsidP="00C66A62">
      <w:pPr>
        <w:jc w:val="center"/>
        <w:rPr>
          <w:rFonts w:ascii="黑体" w:eastAsia="黑体" w:hAnsi="黑体"/>
          <w:b/>
          <w:kern w:val="44"/>
          <w:sz w:val="44"/>
          <w:szCs w:val="44"/>
        </w:rPr>
      </w:pPr>
      <w:bookmarkStart w:id="0" w:name="_Toc503277125"/>
      <w:r w:rsidRPr="00C66A62">
        <w:rPr>
          <w:rFonts w:ascii="黑体" w:eastAsia="黑体" w:hAnsi="黑体" w:hint="eastAsia"/>
          <w:b/>
          <w:kern w:val="44"/>
          <w:sz w:val="44"/>
          <w:szCs w:val="44"/>
        </w:rPr>
        <w:t>上海证券交易所风险警示</w:t>
      </w:r>
      <w:proofErr w:type="gramStart"/>
      <w:r w:rsidRPr="00C66A62">
        <w:rPr>
          <w:rFonts w:ascii="黑体" w:eastAsia="黑体" w:hAnsi="黑体" w:hint="eastAsia"/>
          <w:b/>
          <w:kern w:val="44"/>
          <w:sz w:val="44"/>
          <w:szCs w:val="44"/>
        </w:rPr>
        <w:t>板股票</w:t>
      </w:r>
      <w:proofErr w:type="gramEnd"/>
      <w:r w:rsidRPr="00C66A62">
        <w:rPr>
          <w:rFonts w:ascii="黑体" w:eastAsia="黑体" w:hAnsi="黑体" w:hint="eastAsia"/>
          <w:b/>
          <w:kern w:val="44"/>
          <w:sz w:val="44"/>
          <w:szCs w:val="44"/>
        </w:rPr>
        <w:t>交易管理办法(2017年)</w:t>
      </w:r>
      <w:bookmarkEnd w:id="0"/>
    </w:p>
    <w:p w:rsidR="006E09FA" w:rsidRPr="006E09FA" w:rsidRDefault="006E09FA" w:rsidP="006E09FA">
      <w:pPr>
        <w:spacing w:line="360" w:lineRule="auto"/>
        <w:ind w:firstLineChars="200" w:firstLine="602"/>
        <w:rPr>
          <w:rFonts w:ascii="仿宋_GB2312" w:eastAsia="仿宋_GB2312" w:hAnsi="仿宋" w:cs="Arial"/>
          <w:color w:val="000000"/>
          <w:sz w:val="30"/>
          <w:szCs w:val="30"/>
        </w:rPr>
      </w:pPr>
      <w:r w:rsidRPr="006E09FA">
        <w:rPr>
          <w:rFonts w:ascii="仿宋_GB2312" w:eastAsia="仿宋_GB2312" w:hAnsi="仿宋" w:cs="Arial" w:hint="eastAsia"/>
          <w:b/>
          <w:color w:val="000000"/>
          <w:sz w:val="30"/>
          <w:szCs w:val="30"/>
        </w:rPr>
        <w:t xml:space="preserve">第一条 </w:t>
      </w:r>
      <w:r w:rsidRPr="006E09FA">
        <w:rPr>
          <w:rFonts w:ascii="仿宋_GB2312" w:eastAsia="仿宋_GB2312" w:hAnsi="仿宋" w:cs="Arial" w:hint="eastAsia"/>
          <w:color w:val="000000"/>
          <w:sz w:val="30"/>
          <w:szCs w:val="30"/>
        </w:rPr>
        <w:t xml:space="preserve"> 为了防范上海证券交易所（以下简称本所）上市公司股票的交易风险，保障上市公司退市制度的切实执行，保护投资者的合法利益，根据《上海证券交易所股票上市规则》（以下简称《上市规则》）《上海证券交易所交易规则》（以下简称《交易规则》）和《上海证券交易所会员管理规则》（以下简称《会员管理规则》），制定本办法。</w:t>
      </w:r>
    </w:p>
    <w:p w:rsidR="006E09FA" w:rsidRPr="006E09FA" w:rsidRDefault="006E09FA" w:rsidP="006E09FA">
      <w:pPr>
        <w:spacing w:line="360" w:lineRule="auto"/>
        <w:ind w:firstLineChars="200" w:firstLine="602"/>
        <w:rPr>
          <w:rFonts w:ascii="仿宋_GB2312" w:eastAsia="仿宋_GB2312" w:hAnsi="仿宋" w:cs="Arial"/>
          <w:color w:val="000000"/>
          <w:sz w:val="30"/>
          <w:szCs w:val="30"/>
        </w:rPr>
      </w:pPr>
      <w:r w:rsidRPr="006E09FA">
        <w:rPr>
          <w:rFonts w:ascii="仿宋_GB2312" w:eastAsia="仿宋_GB2312" w:hAnsi="仿宋" w:cs="Arial" w:hint="eastAsia"/>
          <w:b/>
          <w:color w:val="000000"/>
          <w:sz w:val="30"/>
          <w:szCs w:val="30"/>
        </w:rPr>
        <w:t>第二条</w:t>
      </w:r>
      <w:r w:rsidRPr="006E09FA">
        <w:rPr>
          <w:rFonts w:ascii="仿宋_GB2312" w:eastAsia="仿宋_GB2312" w:hAnsi="仿宋" w:cs="Arial" w:hint="eastAsia"/>
          <w:color w:val="000000"/>
          <w:sz w:val="30"/>
          <w:szCs w:val="30"/>
        </w:rPr>
        <w:t xml:space="preserve">  本所设立上市公司股票风险警示板（以下简称风险警示板）。按照本所《上市规则》被实施风险警示的股票（以下简称风险警示股票）、被本所</w:t>
      </w:r>
      <w:proofErr w:type="gramStart"/>
      <w:r w:rsidRPr="006E09FA">
        <w:rPr>
          <w:rFonts w:ascii="仿宋_GB2312" w:eastAsia="仿宋_GB2312" w:hAnsi="仿宋" w:cs="Arial" w:hint="eastAsia"/>
          <w:color w:val="000000"/>
          <w:sz w:val="30"/>
          <w:szCs w:val="30"/>
        </w:rPr>
        <w:t>作出</w:t>
      </w:r>
      <w:proofErr w:type="gramEnd"/>
      <w:r w:rsidRPr="006E09FA">
        <w:rPr>
          <w:rFonts w:ascii="仿宋_GB2312" w:eastAsia="仿宋_GB2312" w:hAnsi="仿宋" w:cs="Arial" w:hint="eastAsia"/>
          <w:color w:val="000000"/>
          <w:sz w:val="30"/>
          <w:szCs w:val="30"/>
        </w:rPr>
        <w:t>终止上市决定但处于退市整理期尚未摘牌的股票（以下简称退市整理股票），在该板进行的交易，适用本办法；本办法未作规定的，适用本所其他有关规定。</w:t>
      </w:r>
    </w:p>
    <w:p w:rsidR="006E09FA" w:rsidRPr="006E09FA" w:rsidRDefault="006E09FA" w:rsidP="006E09FA">
      <w:pPr>
        <w:spacing w:line="360" w:lineRule="auto"/>
        <w:ind w:firstLineChars="200" w:firstLine="600"/>
        <w:rPr>
          <w:rFonts w:ascii="仿宋_GB2312" w:eastAsia="仿宋_GB2312" w:hAnsi="仿宋" w:cs="Arial"/>
          <w:color w:val="000000"/>
          <w:sz w:val="30"/>
          <w:szCs w:val="30"/>
        </w:rPr>
      </w:pPr>
      <w:r w:rsidRPr="006E09FA">
        <w:rPr>
          <w:rFonts w:ascii="仿宋_GB2312" w:eastAsia="仿宋_GB2312" w:hAnsi="仿宋" w:cs="Arial" w:hint="eastAsia"/>
          <w:color w:val="000000"/>
          <w:sz w:val="30"/>
          <w:szCs w:val="30"/>
        </w:rPr>
        <w:t>股票进入退市整理期，其相关衍生品种可以同时进入风险警示板交易，具体事项由本所另行规定，并报证监会批准。</w:t>
      </w:r>
    </w:p>
    <w:p w:rsidR="006E09FA" w:rsidRPr="006E09FA" w:rsidRDefault="006E09FA" w:rsidP="006E09FA">
      <w:pPr>
        <w:spacing w:line="360" w:lineRule="auto"/>
        <w:ind w:firstLineChars="200" w:firstLine="602"/>
        <w:rPr>
          <w:rFonts w:ascii="仿宋_GB2312" w:eastAsia="仿宋_GB2312" w:hAnsi="仿宋" w:cs="Arial"/>
          <w:color w:val="000000"/>
          <w:sz w:val="30"/>
          <w:szCs w:val="30"/>
        </w:rPr>
      </w:pPr>
      <w:r w:rsidRPr="006E09FA">
        <w:rPr>
          <w:rFonts w:ascii="仿宋_GB2312" w:eastAsia="仿宋_GB2312" w:hAnsi="仿宋" w:cs="Arial" w:hint="eastAsia"/>
          <w:b/>
          <w:color w:val="000000"/>
          <w:sz w:val="30"/>
          <w:szCs w:val="30"/>
        </w:rPr>
        <w:t>第三条</w:t>
      </w:r>
      <w:r w:rsidRPr="006E09FA">
        <w:rPr>
          <w:rFonts w:ascii="仿宋_GB2312" w:eastAsia="仿宋_GB2312" w:hAnsi="仿宋" w:cs="Arial" w:hint="eastAsia"/>
          <w:color w:val="000000"/>
          <w:sz w:val="30"/>
          <w:szCs w:val="30"/>
        </w:rPr>
        <w:t xml:space="preserve">  上市公司股票存在下列情形之一的，自被实施风险警示措施之日起，至该措施被撤销之日的前一交易日止，在风险警示板进行交易：</w:t>
      </w:r>
    </w:p>
    <w:p w:rsidR="006E09FA" w:rsidRPr="006E09FA" w:rsidRDefault="006E09FA" w:rsidP="006E09FA">
      <w:pPr>
        <w:spacing w:line="360" w:lineRule="auto"/>
        <w:ind w:firstLineChars="200" w:firstLine="600"/>
        <w:rPr>
          <w:rFonts w:ascii="仿宋_GB2312" w:eastAsia="仿宋_GB2312" w:hAnsi="仿宋" w:cs="Arial"/>
          <w:color w:val="000000"/>
          <w:sz w:val="30"/>
          <w:szCs w:val="30"/>
        </w:rPr>
      </w:pPr>
      <w:r w:rsidRPr="006E09FA">
        <w:rPr>
          <w:rFonts w:ascii="仿宋_GB2312" w:eastAsia="仿宋_GB2312" w:hAnsi="仿宋" w:cs="Arial" w:hint="eastAsia"/>
          <w:color w:val="000000"/>
          <w:sz w:val="30"/>
          <w:szCs w:val="30"/>
        </w:rPr>
        <w:t>（一）被实施退</w:t>
      </w:r>
      <w:proofErr w:type="gramStart"/>
      <w:r w:rsidRPr="006E09FA">
        <w:rPr>
          <w:rFonts w:ascii="仿宋_GB2312" w:eastAsia="仿宋_GB2312" w:hAnsi="仿宋" w:cs="Arial" w:hint="eastAsia"/>
          <w:color w:val="000000"/>
          <w:sz w:val="30"/>
          <w:szCs w:val="30"/>
        </w:rPr>
        <w:t>市风险</w:t>
      </w:r>
      <w:proofErr w:type="gramEnd"/>
      <w:r w:rsidRPr="006E09FA">
        <w:rPr>
          <w:rFonts w:ascii="仿宋_GB2312" w:eastAsia="仿宋_GB2312" w:hAnsi="仿宋" w:cs="Arial" w:hint="eastAsia"/>
          <w:color w:val="000000"/>
          <w:sz w:val="30"/>
          <w:szCs w:val="30"/>
        </w:rPr>
        <w:t>警示；</w:t>
      </w:r>
    </w:p>
    <w:p w:rsidR="006E09FA" w:rsidRPr="006E09FA" w:rsidRDefault="006E09FA" w:rsidP="006E09FA">
      <w:pPr>
        <w:spacing w:line="360" w:lineRule="auto"/>
        <w:ind w:firstLineChars="200" w:firstLine="600"/>
        <w:rPr>
          <w:rFonts w:ascii="仿宋_GB2312" w:eastAsia="仿宋_GB2312" w:hAnsi="仿宋" w:cs="Arial"/>
          <w:color w:val="000000"/>
          <w:sz w:val="30"/>
          <w:szCs w:val="30"/>
        </w:rPr>
      </w:pPr>
      <w:r w:rsidRPr="006E09FA">
        <w:rPr>
          <w:rFonts w:ascii="仿宋_GB2312" w:eastAsia="仿宋_GB2312" w:hAnsi="仿宋" w:cs="Arial" w:hint="eastAsia"/>
          <w:color w:val="000000"/>
          <w:sz w:val="30"/>
          <w:szCs w:val="30"/>
        </w:rPr>
        <w:t>（二）因暂停上市后恢复上市被实施其他风险警示；</w:t>
      </w:r>
    </w:p>
    <w:p w:rsidR="006E09FA" w:rsidRPr="006E09FA" w:rsidRDefault="006E09FA" w:rsidP="006E09FA">
      <w:pPr>
        <w:spacing w:line="360" w:lineRule="auto"/>
        <w:ind w:firstLineChars="200" w:firstLine="600"/>
        <w:rPr>
          <w:rFonts w:ascii="仿宋_GB2312" w:eastAsia="仿宋_GB2312" w:hAnsi="仿宋" w:cs="Arial"/>
          <w:color w:val="000000"/>
          <w:sz w:val="30"/>
          <w:szCs w:val="30"/>
        </w:rPr>
      </w:pPr>
      <w:r w:rsidRPr="006E09FA">
        <w:rPr>
          <w:rFonts w:ascii="仿宋_GB2312" w:eastAsia="仿宋_GB2312" w:hAnsi="仿宋" w:cs="Arial" w:hint="eastAsia"/>
          <w:color w:val="000000"/>
          <w:sz w:val="30"/>
          <w:szCs w:val="30"/>
        </w:rPr>
        <w:t>（三）因退市后重新上市被实施其他风险警示；</w:t>
      </w:r>
    </w:p>
    <w:p w:rsidR="006E09FA" w:rsidRPr="006E09FA" w:rsidRDefault="006E09FA" w:rsidP="006E09FA">
      <w:pPr>
        <w:spacing w:line="360" w:lineRule="auto"/>
        <w:ind w:firstLineChars="200" w:firstLine="600"/>
        <w:rPr>
          <w:rFonts w:ascii="仿宋_GB2312" w:eastAsia="仿宋_GB2312" w:hAnsi="仿宋" w:cs="Arial"/>
          <w:color w:val="000000"/>
          <w:sz w:val="30"/>
          <w:szCs w:val="30"/>
        </w:rPr>
      </w:pPr>
      <w:r w:rsidRPr="006E09FA">
        <w:rPr>
          <w:rFonts w:ascii="仿宋_GB2312" w:eastAsia="仿宋_GB2312" w:hAnsi="仿宋" w:cs="Arial" w:hint="eastAsia"/>
          <w:color w:val="000000"/>
          <w:sz w:val="30"/>
          <w:szCs w:val="30"/>
        </w:rPr>
        <w:t>（四）因其他情形被实施其他风险警示。</w:t>
      </w:r>
    </w:p>
    <w:p w:rsidR="006E09FA" w:rsidRPr="006E09FA" w:rsidRDefault="006E09FA" w:rsidP="006E09FA">
      <w:pPr>
        <w:spacing w:line="360" w:lineRule="auto"/>
        <w:ind w:firstLineChars="200" w:firstLine="600"/>
        <w:rPr>
          <w:rFonts w:ascii="仿宋_GB2312" w:eastAsia="仿宋_GB2312" w:hAnsi="仿宋" w:cs="Arial"/>
          <w:color w:val="000000"/>
          <w:sz w:val="30"/>
          <w:szCs w:val="30"/>
        </w:rPr>
      </w:pPr>
      <w:r w:rsidRPr="006E09FA">
        <w:rPr>
          <w:rFonts w:ascii="仿宋_GB2312" w:eastAsia="仿宋_GB2312" w:hAnsi="仿宋" w:cs="Arial" w:hint="eastAsia"/>
          <w:color w:val="000000"/>
          <w:sz w:val="30"/>
          <w:szCs w:val="30"/>
        </w:rPr>
        <w:lastRenderedPageBreak/>
        <w:t>出现前款第（一）项情形的，股票简称前冠以“*ST”标识，出现前款规定的其他情形的，股票简称前冠以“ST”标识。</w:t>
      </w:r>
    </w:p>
    <w:p w:rsidR="006E09FA" w:rsidRPr="006E09FA" w:rsidRDefault="006E09FA" w:rsidP="006E09FA">
      <w:pPr>
        <w:spacing w:line="360" w:lineRule="auto"/>
        <w:ind w:firstLineChars="200" w:firstLine="602"/>
        <w:rPr>
          <w:rFonts w:ascii="仿宋_GB2312" w:eastAsia="仿宋_GB2312" w:hAnsi="仿宋" w:cs="Arial"/>
          <w:color w:val="000000"/>
          <w:sz w:val="30"/>
          <w:szCs w:val="30"/>
        </w:rPr>
      </w:pPr>
      <w:r w:rsidRPr="006E09FA">
        <w:rPr>
          <w:rFonts w:ascii="仿宋_GB2312" w:eastAsia="仿宋_GB2312" w:hAnsi="仿宋" w:cs="Arial" w:hint="eastAsia"/>
          <w:b/>
          <w:color w:val="000000"/>
          <w:sz w:val="30"/>
          <w:szCs w:val="30"/>
        </w:rPr>
        <w:t>第四条</w:t>
      </w:r>
      <w:r w:rsidRPr="006E09FA">
        <w:rPr>
          <w:rFonts w:ascii="仿宋_GB2312" w:eastAsia="仿宋_GB2312" w:hAnsi="仿宋" w:cs="Arial" w:hint="eastAsia"/>
          <w:color w:val="000000"/>
          <w:sz w:val="30"/>
          <w:szCs w:val="30"/>
        </w:rPr>
        <w:t xml:space="preserve">  退市整理股票的简称前冠以“退市”标识，自退市整理期开始之日起，在风险警示</w:t>
      </w:r>
      <w:proofErr w:type="gramStart"/>
      <w:r w:rsidRPr="006E09FA">
        <w:rPr>
          <w:rFonts w:ascii="仿宋_GB2312" w:eastAsia="仿宋_GB2312" w:hAnsi="仿宋" w:cs="Arial" w:hint="eastAsia"/>
          <w:color w:val="000000"/>
          <w:sz w:val="30"/>
          <w:szCs w:val="30"/>
        </w:rPr>
        <w:t>板交易</w:t>
      </w:r>
      <w:proofErr w:type="gramEnd"/>
      <w:r w:rsidRPr="006E09FA">
        <w:rPr>
          <w:rFonts w:ascii="仿宋_GB2312" w:eastAsia="仿宋_GB2312" w:hAnsi="仿宋" w:cs="Arial" w:hint="eastAsia"/>
          <w:color w:val="000000"/>
          <w:sz w:val="30"/>
          <w:szCs w:val="30"/>
        </w:rPr>
        <w:t>30个交易日，本所于该期限届满后5个交易日内对其予以摘牌，公司股票终止上市。</w:t>
      </w:r>
    </w:p>
    <w:p w:rsidR="006E09FA" w:rsidRPr="006E09FA" w:rsidRDefault="006E09FA" w:rsidP="006E09FA">
      <w:pPr>
        <w:spacing w:line="360" w:lineRule="auto"/>
        <w:ind w:firstLineChars="200" w:firstLine="600"/>
        <w:rPr>
          <w:rFonts w:ascii="仿宋_GB2312" w:eastAsia="仿宋_GB2312" w:hAnsi="仿宋" w:cs="Arial"/>
          <w:color w:val="000000"/>
          <w:sz w:val="30"/>
          <w:szCs w:val="30"/>
        </w:rPr>
      </w:pPr>
      <w:r w:rsidRPr="006E09FA">
        <w:rPr>
          <w:rFonts w:ascii="仿宋_GB2312" w:eastAsia="仿宋_GB2312" w:hAnsi="仿宋" w:cs="Arial" w:hint="eastAsia"/>
          <w:color w:val="000000"/>
          <w:sz w:val="30"/>
          <w:szCs w:val="30"/>
        </w:rPr>
        <w:t>退市整理股票在风险警示</w:t>
      </w:r>
      <w:proofErr w:type="gramStart"/>
      <w:r w:rsidRPr="006E09FA">
        <w:rPr>
          <w:rFonts w:ascii="仿宋_GB2312" w:eastAsia="仿宋_GB2312" w:hAnsi="仿宋" w:cs="Arial" w:hint="eastAsia"/>
          <w:color w:val="000000"/>
          <w:sz w:val="30"/>
          <w:szCs w:val="30"/>
        </w:rPr>
        <w:t>板交易</w:t>
      </w:r>
      <w:proofErr w:type="gramEnd"/>
      <w:r w:rsidRPr="006E09FA">
        <w:rPr>
          <w:rFonts w:ascii="仿宋_GB2312" w:eastAsia="仿宋_GB2312" w:hAnsi="仿宋" w:cs="Arial" w:hint="eastAsia"/>
          <w:color w:val="000000"/>
          <w:sz w:val="30"/>
          <w:szCs w:val="30"/>
        </w:rPr>
        <w:t>期间全天停牌的，停牌期间不计入前款规定的30个退市整理交易日。全天停牌的天数累计不得超过5个交易日。</w:t>
      </w:r>
    </w:p>
    <w:p w:rsidR="006E09FA" w:rsidRPr="006E09FA" w:rsidRDefault="006E09FA" w:rsidP="006E09FA">
      <w:pPr>
        <w:spacing w:line="360" w:lineRule="auto"/>
        <w:ind w:firstLineChars="200" w:firstLine="602"/>
        <w:rPr>
          <w:rFonts w:ascii="仿宋_GB2312" w:eastAsia="仿宋_GB2312" w:hAnsi="仿宋" w:cs="Arial"/>
          <w:color w:val="000000"/>
          <w:sz w:val="30"/>
          <w:szCs w:val="30"/>
        </w:rPr>
      </w:pPr>
      <w:r w:rsidRPr="006E09FA">
        <w:rPr>
          <w:rFonts w:ascii="仿宋_GB2312" w:eastAsia="仿宋_GB2312" w:hAnsi="仿宋" w:cs="Arial" w:hint="eastAsia"/>
          <w:b/>
          <w:color w:val="000000"/>
          <w:sz w:val="30"/>
          <w:szCs w:val="30"/>
        </w:rPr>
        <w:t>第五条</w:t>
      </w:r>
      <w:r w:rsidRPr="006E09FA">
        <w:rPr>
          <w:rFonts w:ascii="仿宋_GB2312" w:eastAsia="仿宋_GB2312" w:hAnsi="仿宋" w:cs="Arial" w:hint="eastAsia"/>
          <w:color w:val="000000"/>
          <w:sz w:val="30"/>
          <w:szCs w:val="30"/>
        </w:rPr>
        <w:t xml:space="preserve">  风险警示股票和退市整理股票的交易信息独立于其他股票的交易信息，予以分别揭示，会员应当对两类股票的交易信息予以相应独立显示。</w:t>
      </w:r>
    </w:p>
    <w:p w:rsidR="006E09FA" w:rsidRPr="006E09FA" w:rsidRDefault="006E09FA" w:rsidP="006E09FA">
      <w:pPr>
        <w:spacing w:line="360" w:lineRule="auto"/>
        <w:ind w:firstLineChars="200" w:firstLine="602"/>
        <w:rPr>
          <w:rFonts w:ascii="仿宋_GB2312" w:eastAsia="仿宋_GB2312" w:hAnsi="仿宋" w:cs="Arial"/>
          <w:color w:val="000000"/>
          <w:sz w:val="30"/>
          <w:szCs w:val="30"/>
        </w:rPr>
      </w:pPr>
      <w:r w:rsidRPr="006E09FA">
        <w:rPr>
          <w:rFonts w:ascii="仿宋_GB2312" w:eastAsia="仿宋_GB2312" w:hAnsi="仿宋" w:cs="Arial" w:hint="eastAsia"/>
          <w:b/>
          <w:color w:val="000000"/>
          <w:sz w:val="30"/>
          <w:szCs w:val="30"/>
        </w:rPr>
        <w:t>第六条</w:t>
      </w:r>
      <w:r w:rsidRPr="006E09FA">
        <w:rPr>
          <w:rFonts w:ascii="仿宋_GB2312" w:eastAsia="仿宋_GB2312" w:hAnsi="仿宋" w:cs="Arial" w:hint="eastAsia"/>
          <w:color w:val="000000"/>
          <w:sz w:val="30"/>
          <w:szCs w:val="30"/>
        </w:rPr>
        <w:t xml:space="preserve">  投资者买卖风险警示股票和退市整理股票，应当采用限价委托方式。</w:t>
      </w:r>
    </w:p>
    <w:p w:rsidR="006E09FA" w:rsidRPr="006E09FA" w:rsidRDefault="006E09FA" w:rsidP="006E09FA">
      <w:pPr>
        <w:spacing w:line="360" w:lineRule="auto"/>
        <w:ind w:firstLineChars="200" w:firstLine="602"/>
        <w:rPr>
          <w:rFonts w:ascii="仿宋_GB2312" w:eastAsia="仿宋_GB2312" w:hAnsi="仿宋" w:cs="Arial"/>
          <w:color w:val="000000"/>
          <w:sz w:val="30"/>
          <w:szCs w:val="30"/>
        </w:rPr>
      </w:pPr>
      <w:r w:rsidRPr="006E09FA">
        <w:rPr>
          <w:rFonts w:ascii="仿宋_GB2312" w:eastAsia="仿宋_GB2312" w:hAnsi="仿宋" w:cs="Arial" w:hint="eastAsia"/>
          <w:b/>
          <w:color w:val="000000"/>
          <w:sz w:val="30"/>
          <w:szCs w:val="30"/>
        </w:rPr>
        <w:t>第七条</w:t>
      </w:r>
      <w:r w:rsidRPr="006E09FA">
        <w:rPr>
          <w:rFonts w:ascii="仿宋_GB2312" w:eastAsia="仿宋_GB2312" w:hAnsi="仿宋" w:cs="Arial" w:hint="eastAsia"/>
          <w:color w:val="000000"/>
          <w:sz w:val="30"/>
          <w:szCs w:val="30"/>
        </w:rPr>
        <w:t xml:space="preserve">  风险警示股票价格的涨跌幅限制为5%，但A股前收盘价格低于0.1元人民币的，其涨跌幅限制为0.01元人民币，B股前收盘价格低于0.01美元的，其涨跌幅限制为0.001美元。</w:t>
      </w:r>
    </w:p>
    <w:p w:rsidR="006E09FA" w:rsidRPr="006E09FA" w:rsidRDefault="006E09FA" w:rsidP="006E09FA">
      <w:pPr>
        <w:spacing w:line="360" w:lineRule="auto"/>
        <w:ind w:firstLineChars="200" w:firstLine="600"/>
        <w:rPr>
          <w:rFonts w:ascii="仿宋_GB2312" w:eastAsia="仿宋_GB2312" w:hAnsi="仿宋" w:cs="Arial"/>
          <w:color w:val="000000"/>
          <w:sz w:val="30"/>
          <w:szCs w:val="30"/>
        </w:rPr>
      </w:pPr>
      <w:r w:rsidRPr="006E09FA">
        <w:rPr>
          <w:rFonts w:ascii="仿宋_GB2312" w:eastAsia="仿宋_GB2312" w:hAnsi="仿宋" w:cs="Arial" w:hint="eastAsia"/>
          <w:color w:val="000000"/>
          <w:sz w:val="30"/>
          <w:szCs w:val="30"/>
        </w:rPr>
        <w:t>退市整理股票价格的涨跌幅限制为10%，但A股前收盘价格低于0.05元人民币的，其涨跌幅限制为0.01元人民币，B股前收盘价格低于0.005美元的，其涨跌幅限制为0.001美元。</w:t>
      </w:r>
    </w:p>
    <w:p w:rsidR="006E09FA" w:rsidRPr="006E09FA" w:rsidRDefault="006E09FA" w:rsidP="006E09FA">
      <w:pPr>
        <w:spacing w:line="360" w:lineRule="auto"/>
        <w:ind w:firstLineChars="200" w:firstLine="600"/>
        <w:rPr>
          <w:rFonts w:ascii="仿宋_GB2312" w:eastAsia="仿宋_GB2312" w:hAnsi="仿宋" w:cs="Arial"/>
          <w:color w:val="000000"/>
          <w:sz w:val="30"/>
          <w:szCs w:val="30"/>
        </w:rPr>
      </w:pPr>
      <w:r w:rsidRPr="006E09FA">
        <w:rPr>
          <w:rFonts w:ascii="仿宋_GB2312" w:eastAsia="仿宋_GB2312" w:hAnsi="仿宋" w:cs="Arial" w:hint="eastAsia"/>
          <w:color w:val="000000"/>
          <w:sz w:val="30"/>
          <w:szCs w:val="30"/>
        </w:rPr>
        <w:t>涨跌</w:t>
      </w:r>
      <w:proofErr w:type="gramStart"/>
      <w:r w:rsidRPr="006E09FA">
        <w:rPr>
          <w:rFonts w:ascii="仿宋_GB2312" w:eastAsia="仿宋_GB2312" w:hAnsi="仿宋" w:cs="Arial" w:hint="eastAsia"/>
          <w:color w:val="000000"/>
          <w:sz w:val="30"/>
          <w:szCs w:val="30"/>
        </w:rPr>
        <w:t>幅价格</w:t>
      </w:r>
      <w:proofErr w:type="gramEnd"/>
      <w:r w:rsidRPr="006E09FA">
        <w:rPr>
          <w:rFonts w:ascii="仿宋_GB2312" w:eastAsia="仿宋_GB2312" w:hAnsi="仿宋" w:cs="Arial" w:hint="eastAsia"/>
          <w:color w:val="000000"/>
          <w:sz w:val="30"/>
          <w:szCs w:val="30"/>
        </w:rPr>
        <w:t>的计算公式为：涨幅价格＝前收盘价格×（1＋涨幅比例），跌幅价格＝前收盘价格×（1－跌幅比例）。</w:t>
      </w:r>
    </w:p>
    <w:p w:rsidR="006E09FA" w:rsidRPr="006E09FA" w:rsidRDefault="006E09FA" w:rsidP="006E09FA">
      <w:pPr>
        <w:spacing w:line="360" w:lineRule="auto"/>
        <w:ind w:firstLineChars="200" w:firstLine="602"/>
        <w:rPr>
          <w:rFonts w:ascii="仿宋_GB2312" w:eastAsia="仿宋_GB2312" w:hAnsi="仿宋" w:cs="Arial"/>
          <w:color w:val="000000"/>
          <w:sz w:val="30"/>
          <w:szCs w:val="30"/>
        </w:rPr>
      </w:pPr>
      <w:r w:rsidRPr="006E09FA">
        <w:rPr>
          <w:rFonts w:ascii="仿宋_GB2312" w:eastAsia="仿宋_GB2312" w:hAnsi="仿宋" w:cs="Arial" w:hint="eastAsia"/>
          <w:b/>
          <w:color w:val="000000"/>
          <w:sz w:val="30"/>
          <w:szCs w:val="30"/>
        </w:rPr>
        <w:t>第八条</w:t>
      </w:r>
      <w:r w:rsidRPr="006E09FA">
        <w:rPr>
          <w:rFonts w:ascii="仿宋_GB2312" w:eastAsia="仿宋_GB2312" w:hAnsi="仿宋" w:cs="Arial" w:hint="eastAsia"/>
          <w:color w:val="000000"/>
          <w:sz w:val="30"/>
          <w:szCs w:val="30"/>
        </w:rPr>
        <w:t xml:space="preserve">  风险警示股票连续3个交易日内日收盘价格涨跌</w:t>
      </w:r>
      <w:r w:rsidRPr="006E09FA">
        <w:rPr>
          <w:rFonts w:ascii="仿宋_GB2312" w:eastAsia="仿宋_GB2312" w:hAnsi="仿宋" w:cs="Arial" w:hint="eastAsia"/>
          <w:color w:val="000000"/>
          <w:sz w:val="30"/>
          <w:szCs w:val="30"/>
        </w:rPr>
        <w:lastRenderedPageBreak/>
        <w:t>幅</w:t>
      </w:r>
      <w:proofErr w:type="gramStart"/>
      <w:r w:rsidRPr="006E09FA">
        <w:rPr>
          <w:rFonts w:ascii="仿宋_GB2312" w:eastAsia="仿宋_GB2312" w:hAnsi="仿宋" w:cs="Arial" w:hint="eastAsia"/>
          <w:color w:val="000000"/>
          <w:sz w:val="30"/>
          <w:szCs w:val="30"/>
        </w:rPr>
        <w:t>偏离值</w:t>
      </w:r>
      <w:proofErr w:type="gramEnd"/>
      <w:r w:rsidRPr="006E09FA">
        <w:rPr>
          <w:rFonts w:ascii="仿宋_GB2312" w:eastAsia="仿宋_GB2312" w:hAnsi="仿宋" w:cs="Arial" w:hint="eastAsia"/>
          <w:color w:val="000000"/>
          <w:sz w:val="30"/>
          <w:szCs w:val="30"/>
        </w:rPr>
        <w:t>累计达到±15%的，属于异常波动，本所分别公告该股票交易异常波动期间累计买入、卖出金额最大的5家会员营业部的名称及其买入、卖出金额。</w:t>
      </w:r>
    </w:p>
    <w:p w:rsidR="006E09FA" w:rsidRPr="006E09FA" w:rsidRDefault="006E09FA" w:rsidP="006E09FA">
      <w:pPr>
        <w:spacing w:line="360" w:lineRule="auto"/>
        <w:ind w:firstLineChars="200" w:firstLine="600"/>
        <w:rPr>
          <w:rFonts w:ascii="仿宋_GB2312" w:eastAsia="仿宋_GB2312" w:hAnsi="仿宋" w:cs="Arial"/>
          <w:color w:val="000000"/>
          <w:sz w:val="30"/>
          <w:szCs w:val="30"/>
        </w:rPr>
      </w:pPr>
      <w:r w:rsidRPr="006E09FA">
        <w:rPr>
          <w:rFonts w:ascii="仿宋_GB2312" w:eastAsia="仿宋_GB2312" w:hAnsi="仿宋" w:cs="Arial" w:hint="eastAsia"/>
          <w:color w:val="000000"/>
          <w:sz w:val="30"/>
          <w:szCs w:val="30"/>
        </w:rPr>
        <w:t>风险警示股票盘中换手率达到或超过30%的，属于异常波动，本所可以根据市场需要，对其实施盘中临时停牌，停牌时间持续至当日14:55。</w:t>
      </w:r>
    </w:p>
    <w:p w:rsidR="006E09FA" w:rsidRPr="006E09FA" w:rsidRDefault="006E09FA" w:rsidP="006E09FA">
      <w:pPr>
        <w:spacing w:line="360" w:lineRule="auto"/>
        <w:ind w:firstLineChars="200" w:firstLine="600"/>
        <w:rPr>
          <w:rFonts w:ascii="仿宋_GB2312" w:eastAsia="仿宋_GB2312" w:hAnsi="仿宋" w:cs="Arial"/>
          <w:color w:val="000000"/>
          <w:sz w:val="30"/>
          <w:szCs w:val="30"/>
        </w:rPr>
      </w:pPr>
      <w:r w:rsidRPr="006E09FA">
        <w:rPr>
          <w:rFonts w:ascii="仿宋_GB2312" w:eastAsia="仿宋_GB2312" w:hAnsi="仿宋" w:cs="Arial" w:hint="eastAsia"/>
          <w:color w:val="000000"/>
          <w:sz w:val="30"/>
          <w:szCs w:val="30"/>
        </w:rPr>
        <w:t>换手率的计算公式为：换手率＝成交量÷当日实际流通量。</w:t>
      </w:r>
    </w:p>
    <w:p w:rsidR="006E09FA" w:rsidRPr="006E09FA" w:rsidRDefault="006E09FA" w:rsidP="006E09FA">
      <w:pPr>
        <w:spacing w:line="360" w:lineRule="auto"/>
        <w:ind w:firstLineChars="200" w:firstLine="602"/>
        <w:rPr>
          <w:rFonts w:ascii="仿宋_GB2312" w:eastAsia="仿宋_GB2312" w:hAnsi="仿宋" w:cs="Arial"/>
          <w:sz w:val="30"/>
          <w:szCs w:val="30"/>
        </w:rPr>
      </w:pPr>
      <w:r w:rsidRPr="006E09FA">
        <w:rPr>
          <w:rFonts w:ascii="仿宋_GB2312" w:eastAsia="仿宋_GB2312" w:hAnsi="仿宋" w:cs="Arial" w:hint="eastAsia"/>
          <w:b/>
          <w:sz w:val="30"/>
          <w:szCs w:val="30"/>
        </w:rPr>
        <w:t>第九条</w:t>
      </w:r>
      <w:r w:rsidRPr="006E09FA">
        <w:rPr>
          <w:rFonts w:ascii="仿宋_GB2312" w:eastAsia="仿宋_GB2312" w:hAnsi="仿宋" w:cs="Arial" w:hint="eastAsia"/>
          <w:sz w:val="30"/>
          <w:szCs w:val="30"/>
        </w:rPr>
        <w:t xml:space="preserve">  暂停上市后恢复上市、退市后重新上市的股票，恢复上市或重新上市首日不设涨跌幅限制，当日盘中临时停牌事宜按照本所关于新股上市首日盘中临时停牌的规定执行。</w:t>
      </w:r>
    </w:p>
    <w:p w:rsidR="006E09FA" w:rsidRPr="006E09FA" w:rsidRDefault="006E09FA" w:rsidP="006E09FA">
      <w:pPr>
        <w:spacing w:line="360" w:lineRule="auto"/>
        <w:ind w:firstLineChars="200" w:firstLine="602"/>
        <w:rPr>
          <w:rFonts w:ascii="仿宋_GB2312" w:eastAsia="仿宋_GB2312" w:hAnsi="仿宋" w:cs="Arial"/>
          <w:color w:val="000000"/>
          <w:sz w:val="30"/>
          <w:szCs w:val="30"/>
        </w:rPr>
      </w:pPr>
      <w:r w:rsidRPr="006E09FA">
        <w:rPr>
          <w:rFonts w:ascii="仿宋_GB2312" w:eastAsia="仿宋_GB2312" w:hAnsi="仿宋" w:cs="Arial" w:hint="eastAsia"/>
          <w:b/>
          <w:color w:val="000000"/>
          <w:sz w:val="30"/>
          <w:szCs w:val="30"/>
        </w:rPr>
        <w:t>第十条</w:t>
      </w:r>
      <w:r w:rsidRPr="006E09FA">
        <w:rPr>
          <w:rFonts w:ascii="仿宋_GB2312" w:eastAsia="仿宋_GB2312" w:hAnsi="仿宋" w:cs="Arial" w:hint="eastAsia"/>
          <w:color w:val="000000"/>
          <w:sz w:val="30"/>
          <w:szCs w:val="30"/>
        </w:rPr>
        <w:t xml:space="preserve">  投资者当日通过竞价交易和大宗交易累计买入的单只风险警示股票，数量不得超过50万股。</w:t>
      </w:r>
    </w:p>
    <w:p w:rsidR="006E09FA" w:rsidRPr="006E09FA" w:rsidRDefault="006E09FA" w:rsidP="006E09FA">
      <w:pPr>
        <w:spacing w:line="360" w:lineRule="auto"/>
        <w:ind w:firstLineChars="200" w:firstLine="600"/>
        <w:rPr>
          <w:rFonts w:ascii="仿宋_GB2312" w:eastAsia="仿宋_GB2312" w:hAnsi="仿宋" w:cs="Arial"/>
          <w:color w:val="000000"/>
          <w:sz w:val="30"/>
          <w:szCs w:val="30"/>
        </w:rPr>
      </w:pPr>
      <w:r w:rsidRPr="006E09FA">
        <w:rPr>
          <w:rFonts w:ascii="仿宋_GB2312" w:eastAsia="仿宋_GB2312" w:hAnsi="仿宋" w:cs="Arial" w:hint="eastAsia"/>
          <w:color w:val="000000"/>
          <w:sz w:val="30"/>
          <w:szCs w:val="30"/>
        </w:rPr>
        <w:t>投资者当日累计买入风险警示股票数量，按照该投资者以本人名义开立的证券账户与融资融券信用证券账户的买入量合并计算；投资者委托买入数量与当日已买入数量及已申报</w:t>
      </w:r>
      <w:proofErr w:type="gramStart"/>
      <w:r w:rsidRPr="006E09FA">
        <w:rPr>
          <w:rFonts w:ascii="仿宋_GB2312" w:eastAsia="仿宋_GB2312" w:hAnsi="仿宋" w:cs="Arial" w:hint="eastAsia"/>
          <w:color w:val="000000"/>
          <w:sz w:val="30"/>
          <w:szCs w:val="30"/>
        </w:rPr>
        <w:t>买入但</w:t>
      </w:r>
      <w:proofErr w:type="gramEnd"/>
      <w:r w:rsidRPr="006E09FA">
        <w:rPr>
          <w:rFonts w:ascii="仿宋_GB2312" w:eastAsia="仿宋_GB2312" w:hAnsi="仿宋" w:cs="Arial" w:hint="eastAsia"/>
          <w:color w:val="000000"/>
          <w:sz w:val="30"/>
          <w:szCs w:val="30"/>
        </w:rPr>
        <w:t>尚未成交、也未撤销的数量之和，不得超过50万股。</w:t>
      </w:r>
    </w:p>
    <w:p w:rsidR="006E09FA" w:rsidRPr="006E09FA" w:rsidRDefault="006E09FA" w:rsidP="006E09FA">
      <w:pPr>
        <w:spacing w:line="360" w:lineRule="auto"/>
        <w:ind w:firstLineChars="200" w:firstLine="600"/>
        <w:rPr>
          <w:rFonts w:ascii="仿宋_GB2312" w:eastAsia="仿宋_GB2312" w:hAnsi="仿宋" w:cs="Arial"/>
          <w:color w:val="000000"/>
          <w:sz w:val="30"/>
          <w:szCs w:val="30"/>
        </w:rPr>
      </w:pPr>
      <w:r w:rsidRPr="006E09FA">
        <w:rPr>
          <w:rFonts w:ascii="仿宋_GB2312" w:eastAsia="仿宋_GB2312" w:hAnsi="仿宋" w:cs="Arial" w:hint="eastAsia"/>
          <w:color w:val="000000"/>
          <w:sz w:val="30"/>
          <w:szCs w:val="30"/>
        </w:rPr>
        <w:t>会员应当采取有效措施，对投资者当日累计买入单只风险警示股票的数量进行监控；发现客户违反前两款规定的，应当予以警示和制止，并及时向本所报告。</w:t>
      </w:r>
    </w:p>
    <w:p w:rsidR="006E09FA" w:rsidRPr="006E09FA" w:rsidRDefault="006E09FA" w:rsidP="006E09FA">
      <w:pPr>
        <w:spacing w:line="360" w:lineRule="auto"/>
        <w:ind w:firstLineChars="200" w:firstLine="602"/>
        <w:rPr>
          <w:rFonts w:ascii="仿宋_GB2312" w:eastAsia="仿宋_GB2312" w:hAnsi="仿宋" w:cs="Arial"/>
          <w:color w:val="000000"/>
          <w:sz w:val="30"/>
          <w:szCs w:val="30"/>
        </w:rPr>
      </w:pPr>
      <w:r w:rsidRPr="006E09FA">
        <w:rPr>
          <w:rFonts w:ascii="仿宋_GB2312" w:eastAsia="仿宋_GB2312" w:hAnsi="仿宋" w:cs="Arial" w:hint="eastAsia"/>
          <w:b/>
          <w:color w:val="000000"/>
          <w:sz w:val="30"/>
          <w:szCs w:val="30"/>
        </w:rPr>
        <w:t>第十一条</w:t>
      </w:r>
      <w:r w:rsidRPr="006E09FA">
        <w:rPr>
          <w:rFonts w:ascii="仿宋_GB2312" w:eastAsia="仿宋_GB2312" w:hAnsi="仿宋" w:cs="Arial" w:hint="eastAsia"/>
          <w:color w:val="000000"/>
          <w:sz w:val="30"/>
          <w:szCs w:val="30"/>
        </w:rPr>
        <w:t xml:space="preserve">  股票退市整理期间，本所公布其当日买入、卖出金额最大的5家会员证券营业部的名称及其各自的买入、卖出金额。</w:t>
      </w:r>
    </w:p>
    <w:p w:rsidR="006E09FA" w:rsidRPr="006E09FA" w:rsidRDefault="006E09FA" w:rsidP="006E09FA">
      <w:pPr>
        <w:spacing w:line="360" w:lineRule="auto"/>
        <w:ind w:firstLineChars="200" w:firstLine="602"/>
        <w:rPr>
          <w:rFonts w:ascii="仿宋_GB2312" w:eastAsia="仿宋_GB2312" w:hAnsi="仿宋" w:cs="Arial"/>
          <w:color w:val="000000"/>
          <w:sz w:val="30"/>
          <w:szCs w:val="30"/>
        </w:rPr>
      </w:pPr>
      <w:r w:rsidRPr="006E09FA">
        <w:rPr>
          <w:rFonts w:ascii="仿宋_GB2312" w:eastAsia="仿宋_GB2312" w:hAnsi="仿宋" w:cs="Arial" w:hint="eastAsia"/>
          <w:b/>
          <w:color w:val="000000"/>
          <w:sz w:val="30"/>
          <w:szCs w:val="30"/>
        </w:rPr>
        <w:lastRenderedPageBreak/>
        <w:t>第十二条</w:t>
      </w:r>
      <w:r w:rsidRPr="006E09FA">
        <w:rPr>
          <w:rFonts w:ascii="仿宋_GB2312" w:eastAsia="仿宋_GB2312" w:hAnsi="仿宋" w:cs="Arial" w:hint="eastAsia"/>
          <w:color w:val="000000"/>
          <w:sz w:val="30"/>
          <w:szCs w:val="30"/>
        </w:rPr>
        <w:t xml:space="preserve">  股票退市整理期间交易不纳入本所指数的计算，成交量计入当日市场成交总量。</w:t>
      </w:r>
    </w:p>
    <w:p w:rsidR="006E09FA" w:rsidRPr="006E09FA" w:rsidRDefault="006E09FA" w:rsidP="006E09FA">
      <w:pPr>
        <w:spacing w:line="360" w:lineRule="auto"/>
        <w:ind w:firstLineChars="200" w:firstLine="602"/>
        <w:rPr>
          <w:rFonts w:ascii="仿宋_GB2312" w:eastAsia="仿宋_GB2312" w:hAnsi="仿宋" w:cs="Arial"/>
          <w:color w:val="000000"/>
          <w:sz w:val="30"/>
          <w:szCs w:val="30"/>
        </w:rPr>
      </w:pPr>
      <w:r w:rsidRPr="006E09FA">
        <w:rPr>
          <w:rFonts w:ascii="仿宋_GB2312" w:eastAsia="仿宋_GB2312" w:hAnsi="仿宋" w:cs="Arial" w:hint="eastAsia"/>
          <w:b/>
          <w:color w:val="000000"/>
          <w:sz w:val="30"/>
          <w:szCs w:val="30"/>
        </w:rPr>
        <w:t>第十三条</w:t>
      </w:r>
      <w:r w:rsidRPr="006E09FA">
        <w:rPr>
          <w:rFonts w:ascii="仿宋_GB2312" w:eastAsia="仿宋_GB2312" w:hAnsi="仿宋" w:cs="Arial" w:hint="eastAsia"/>
          <w:color w:val="000000"/>
          <w:sz w:val="30"/>
          <w:szCs w:val="30"/>
        </w:rPr>
        <w:t xml:space="preserve">  个人投资者买入退市整理股票的，应当具备2年以上的股票交易经历，且以本人名义开立的证券账户和资金账户内资产在申请权限开通前20个交易日日均（不含通过融资融券交易融入的证券和资金）在人民币50万元以上。</w:t>
      </w:r>
    </w:p>
    <w:p w:rsidR="006E09FA" w:rsidRPr="006E09FA" w:rsidRDefault="006E09FA" w:rsidP="006E09FA">
      <w:pPr>
        <w:spacing w:line="360" w:lineRule="auto"/>
        <w:ind w:firstLineChars="200" w:firstLine="600"/>
        <w:rPr>
          <w:rFonts w:ascii="仿宋_GB2312" w:eastAsia="仿宋_GB2312" w:hAnsi="仿宋" w:cs="Arial"/>
          <w:color w:val="000000"/>
          <w:sz w:val="30"/>
          <w:szCs w:val="30"/>
        </w:rPr>
      </w:pPr>
      <w:r w:rsidRPr="006E09FA">
        <w:rPr>
          <w:rFonts w:ascii="仿宋_GB2312" w:eastAsia="仿宋_GB2312" w:hAnsi="仿宋" w:cs="Arial" w:hint="eastAsia"/>
          <w:color w:val="000000"/>
          <w:sz w:val="30"/>
          <w:szCs w:val="30"/>
        </w:rPr>
        <w:t>不符合以上规定的个人投资者，仅可卖出已持有的退市整理股票。</w:t>
      </w:r>
    </w:p>
    <w:p w:rsidR="006E09FA" w:rsidRPr="006E09FA" w:rsidRDefault="006E09FA" w:rsidP="006E09FA">
      <w:pPr>
        <w:spacing w:line="360" w:lineRule="auto"/>
        <w:ind w:firstLineChars="200" w:firstLine="602"/>
        <w:rPr>
          <w:rFonts w:ascii="仿宋_GB2312" w:eastAsia="仿宋_GB2312" w:hAnsi="仿宋" w:cs="Arial"/>
          <w:color w:val="000000"/>
          <w:sz w:val="30"/>
          <w:szCs w:val="30"/>
        </w:rPr>
      </w:pPr>
      <w:r w:rsidRPr="006E09FA">
        <w:rPr>
          <w:rFonts w:ascii="仿宋_GB2312" w:eastAsia="仿宋_GB2312" w:hAnsi="仿宋" w:cs="Arial" w:hint="eastAsia"/>
          <w:b/>
          <w:color w:val="000000"/>
          <w:sz w:val="30"/>
          <w:szCs w:val="30"/>
        </w:rPr>
        <w:t>第十四条</w:t>
      </w:r>
      <w:r w:rsidRPr="006E09FA">
        <w:rPr>
          <w:rFonts w:ascii="仿宋_GB2312" w:eastAsia="仿宋_GB2312" w:hAnsi="仿宋" w:cs="Arial" w:hint="eastAsia"/>
          <w:color w:val="000000"/>
          <w:sz w:val="30"/>
          <w:szCs w:val="30"/>
        </w:rPr>
        <w:t xml:space="preserve">  会员应当根据本办法要求对个人投资者参与退市整理股票交易的适当性进行审慎评估，不得接受不符合适当性条件的投资者买入退市整理股票的委托。</w:t>
      </w:r>
    </w:p>
    <w:p w:rsidR="006E09FA" w:rsidRPr="006E09FA" w:rsidRDefault="006E09FA" w:rsidP="006E09FA">
      <w:pPr>
        <w:spacing w:line="360" w:lineRule="auto"/>
        <w:ind w:firstLineChars="200" w:firstLine="600"/>
        <w:rPr>
          <w:rFonts w:ascii="仿宋_GB2312" w:eastAsia="仿宋_GB2312" w:hAnsi="仿宋" w:cs="Arial"/>
          <w:color w:val="000000"/>
          <w:sz w:val="30"/>
          <w:szCs w:val="30"/>
        </w:rPr>
      </w:pPr>
      <w:r w:rsidRPr="006E09FA">
        <w:rPr>
          <w:rFonts w:ascii="仿宋_GB2312" w:eastAsia="仿宋_GB2312" w:hAnsi="仿宋" w:cs="Arial" w:hint="eastAsia"/>
          <w:color w:val="000000"/>
          <w:sz w:val="30"/>
          <w:szCs w:val="30"/>
        </w:rPr>
        <w:t>投资者应当根据本办法规定的适当性要求以及自身风险承受能力，审慎决定是否参与退市整理股票交易，不得以不符合适当性条件为由拒绝承担退市整理股票交易及交收责任。</w:t>
      </w:r>
    </w:p>
    <w:p w:rsidR="006E09FA" w:rsidRPr="006E09FA" w:rsidRDefault="006E09FA" w:rsidP="006E09FA">
      <w:pPr>
        <w:spacing w:line="360" w:lineRule="auto"/>
        <w:ind w:firstLineChars="200" w:firstLine="602"/>
        <w:rPr>
          <w:rFonts w:ascii="仿宋_GB2312" w:eastAsia="仿宋_GB2312" w:hAnsi="仿宋" w:cs="Arial"/>
          <w:color w:val="000000"/>
          <w:sz w:val="30"/>
          <w:szCs w:val="30"/>
        </w:rPr>
      </w:pPr>
      <w:r w:rsidRPr="006E09FA">
        <w:rPr>
          <w:rFonts w:ascii="仿宋_GB2312" w:eastAsia="仿宋_GB2312" w:hAnsi="仿宋" w:cs="Arial" w:hint="eastAsia"/>
          <w:b/>
          <w:color w:val="000000"/>
          <w:sz w:val="30"/>
          <w:szCs w:val="30"/>
        </w:rPr>
        <w:t>第十五条</w:t>
      </w:r>
      <w:r w:rsidRPr="006E09FA">
        <w:rPr>
          <w:rFonts w:ascii="仿宋_GB2312" w:eastAsia="仿宋_GB2312" w:hAnsi="仿宋" w:cs="Arial" w:hint="eastAsia"/>
          <w:color w:val="000000"/>
          <w:sz w:val="30"/>
          <w:szCs w:val="30"/>
        </w:rPr>
        <w:t xml:space="preserve">  会员应当要求首次委托买入风险警示股票或者退市整理股票的客户，以书面或电子形式分别签署《风险警示股票风险揭示书》和《退市整理股票风险揭示书》。客户未签署《风险揭示书》的，会员不得接受其买入委托。</w:t>
      </w:r>
    </w:p>
    <w:p w:rsidR="006E09FA" w:rsidRPr="006E09FA" w:rsidRDefault="006E09FA" w:rsidP="006E09FA">
      <w:pPr>
        <w:spacing w:line="360" w:lineRule="auto"/>
        <w:ind w:firstLineChars="200" w:firstLine="600"/>
        <w:rPr>
          <w:rFonts w:ascii="仿宋_GB2312" w:eastAsia="仿宋_GB2312" w:hAnsi="仿宋" w:cs="Arial"/>
          <w:color w:val="000000"/>
          <w:sz w:val="30"/>
          <w:szCs w:val="30"/>
        </w:rPr>
      </w:pPr>
      <w:r w:rsidRPr="006E09FA">
        <w:rPr>
          <w:rFonts w:ascii="仿宋_GB2312" w:eastAsia="仿宋_GB2312" w:hAnsi="仿宋" w:cs="Arial" w:hint="eastAsia"/>
          <w:color w:val="000000"/>
          <w:sz w:val="30"/>
          <w:szCs w:val="30"/>
        </w:rPr>
        <w:t>会员应当于每月15日之前将与客户签署《风险揭示书》的情况进行汇总并报送至上交所。</w:t>
      </w:r>
    </w:p>
    <w:p w:rsidR="006E09FA" w:rsidRPr="006E09FA" w:rsidRDefault="006E09FA" w:rsidP="006E09FA">
      <w:pPr>
        <w:spacing w:line="360" w:lineRule="auto"/>
        <w:ind w:firstLineChars="200" w:firstLine="602"/>
        <w:rPr>
          <w:rFonts w:ascii="仿宋_GB2312" w:eastAsia="仿宋_GB2312" w:hAnsi="仿宋" w:cs="Arial"/>
          <w:color w:val="000000"/>
          <w:sz w:val="30"/>
          <w:szCs w:val="30"/>
        </w:rPr>
      </w:pPr>
      <w:r w:rsidRPr="006E09FA">
        <w:rPr>
          <w:rFonts w:ascii="仿宋_GB2312" w:eastAsia="仿宋_GB2312" w:hAnsi="仿宋" w:cs="Arial" w:hint="eastAsia"/>
          <w:b/>
          <w:color w:val="000000"/>
          <w:sz w:val="30"/>
          <w:szCs w:val="30"/>
        </w:rPr>
        <w:t>第十六条</w:t>
      </w:r>
      <w:r w:rsidRPr="006E09FA">
        <w:rPr>
          <w:rFonts w:ascii="仿宋_GB2312" w:eastAsia="仿宋_GB2312" w:hAnsi="仿宋" w:cs="Arial" w:hint="eastAsia"/>
          <w:color w:val="000000"/>
          <w:sz w:val="30"/>
          <w:szCs w:val="30"/>
        </w:rPr>
        <w:t xml:space="preserve">  会员应当通过其营业场所、公司网站、交易系统等多种渠道，重点揭示风险警示股票、退市整理股票的交易风险；</w:t>
      </w:r>
      <w:proofErr w:type="gramStart"/>
      <w:r w:rsidRPr="006E09FA">
        <w:rPr>
          <w:rFonts w:ascii="仿宋_GB2312" w:eastAsia="仿宋_GB2312" w:hAnsi="仿宋" w:cs="Arial" w:hint="eastAsia"/>
          <w:color w:val="000000"/>
          <w:sz w:val="30"/>
          <w:szCs w:val="30"/>
        </w:rPr>
        <w:lastRenderedPageBreak/>
        <w:t>对于退</w:t>
      </w:r>
      <w:proofErr w:type="gramEnd"/>
      <w:r w:rsidRPr="006E09FA">
        <w:rPr>
          <w:rFonts w:ascii="仿宋_GB2312" w:eastAsia="仿宋_GB2312" w:hAnsi="仿宋" w:cs="Arial" w:hint="eastAsia"/>
          <w:color w:val="000000"/>
          <w:sz w:val="30"/>
          <w:szCs w:val="30"/>
        </w:rPr>
        <w:t>市整理股票，还应当在每个交易日的开市前向客户提示相关股票的剩余交易日等信息。</w:t>
      </w:r>
    </w:p>
    <w:p w:rsidR="006E09FA" w:rsidRPr="006E09FA" w:rsidRDefault="006E09FA" w:rsidP="006E09FA">
      <w:pPr>
        <w:spacing w:line="360" w:lineRule="auto"/>
        <w:ind w:firstLineChars="200" w:firstLine="602"/>
        <w:rPr>
          <w:rFonts w:ascii="仿宋_GB2312" w:eastAsia="仿宋_GB2312" w:hAnsi="仿宋" w:cs="Arial"/>
          <w:color w:val="000000"/>
          <w:sz w:val="30"/>
          <w:szCs w:val="30"/>
        </w:rPr>
      </w:pPr>
      <w:r w:rsidRPr="006E09FA">
        <w:rPr>
          <w:rFonts w:ascii="仿宋_GB2312" w:eastAsia="仿宋_GB2312" w:hAnsi="仿宋" w:cs="Arial" w:hint="eastAsia"/>
          <w:b/>
          <w:color w:val="000000"/>
          <w:sz w:val="30"/>
          <w:szCs w:val="30"/>
        </w:rPr>
        <w:t>第十七条</w:t>
      </w:r>
      <w:r w:rsidRPr="006E09FA">
        <w:rPr>
          <w:rFonts w:ascii="仿宋_GB2312" w:eastAsia="仿宋_GB2312" w:hAnsi="仿宋" w:cs="Arial" w:hint="eastAsia"/>
          <w:color w:val="000000"/>
          <w:sz w:val="30"/>
          <w:szCs w:val="30"/>
        </w:rPr>
        <w:t xml:space="preserve">  会员违反本办法，本所将依据《会员管理规则》及其他有关规则，对其采取相应监管措施或者给予纪律处分。</w:t>
      </w:r>
    </w:p>
    <w:p w:rsidR="006E09FA" w:rsidRPr="006E09FA" w:rsidRDefault="006E09FA" w:rsidP="006E09FA">
      <w:pPr>
        <w:spacing w:line="360" w:lineRule="auto"/>
        <w:ind w:firstLineChars="200" w:firstLine="600"/>
        <w:rPr>
          <w:rFonts w:ascii="仿宋_GB2312" w:eastAsia="仿宋_GB2312" w:hAnsi="仿宋" w:cs="Arial"/>
          <w:color w:val="000000"/>
          <w:sz w:val="30"/>
          <w:szCs w:val="30"/>
        </w:rPr>
      </w:pPr>
      <w:r w:rsidRPr="006E09FA">
        <w:rPr>
          <w:rFonts w:ascii="仿宋_GB2312" w:eastAsia="仿宋_GB2312" w:hAnsi="仿宋" w:cs="Arial" w:hint="eastAsia"/>
          <w:color w:val="000000"/>
          <w:sz w:val="30"/>
          <w:szCs w:val="30"/>
        </w:rPr>
        <w:t>投资者违反本办法，本所将依据《交易规则》及其他有关规则，对其采取相应监管措施或者给予限制证券账户交易等纪律处分。</w:t>
      </w:r>
    </w:p>
    <w:p w:rsidR="006E09FA" w:rsidRPr="006E09FA" w:rsidRDefault="006E09FA" w:rsidP="006E09FA">
      <w:pPr>
        <w:spacing w:line="360" w:lineRule="auto"/>
        <w:ind w:firstLineChars="200" w:firstLine="602"/>
        <w:rPr>
          <w:rFonts w:ascii="仿宋_GB2312" w:eastAsia="仿宋_GB2312" w:hAnsi="仿宋" w:cs="Arial"/>
          <w:color w:val="000000"/>
          <w:sz w:val="30"/>
          <w:szCs w:val="30"/>
        </w:rPr>
      </w:pPr>
      <w:r w:rsidRPr="006E09FA">
        <w:rPr>
          <w:rFonts w:ascii="仿宋_GB2312" w:eastAsia="仿宋_GB2312" w:hAnsi="仿宋" w:cs="Arial" w:hint="eastAsia"/>
          <w:b/>
          <w:color w:val="000000"/>
          <w:sz w:val="30"/>
          <w:szCs w:val="30"/>
        </w:rPr>
        <w:t>第十八条</w:t>
      </w:r>
      <w:r w:rsidRPr="006E09FA">
        <w:rPr>
          <w:rFonts w:ascii="仿宋_GB2312" w:eastAsia="仿宋_GB2312" w:hAnsi="仿宋" w:cs="Arial" w:hint="eastAsia"/>
          <w:color w:val="000000"/>
          <w:sz w:val="30"/>
          <w:szCs w:val="30"/>
        </w:rPr>
        <w:t xml:space="preserve">  本办法经本所理事会通过，报中国证监会批准后生效。</w:t>
      </w:r>
    </w:p>
    <w:p w:rsidR="006E09FA" w:rsidRPr="006E09FA" w:rsidRDefault="006E09FA" w:rsidP="006E09FA">
      <w:pPr>
        <w:spacing w:line="360" w:lineRule="auto"/>
        <w:ind w:firstLineChars="200" w:firstLine="602"/>
        <w:rPr>
          <w:rFonts w:ascii="仿宋_GB2312" w:eastAsia="仿宋_GB2312" w:hAnsi="仿宋" w:cs="Arial"/>
          <w:color w:val="000000"/>
          <w:sz w:val="30"/>
          <w:szCs w:val="30"/>
        </w:rPr>
      </w:pPr>
      <w:r w:rsidRPr="006E09FA">
        <w:rPr>
          <w:rFonts w:ascii="仿宋_GB2312" w:eastAsia="仿宋_GB2312" w:hAnsi="仿宋" w:cs="Arial" w:hint="eastAsia"/>
          <w:b/>
          <w:color w:val="000000"/>
          <w:sz w:val="30"/>
          <w:szCs w:val="30"/>
        </w:rPr>
        <w:t>第十九条</w:t>
      </w:r>
      <w:r w:rsidRPr="006E09FA">
        <w:rPr>
          <w:rFonts w:ascii="仿宋_GB2312" w:eastAsia="仿宋_GB2312" w:hAnsi="仿宋" w:cs="Arial" w:hint="eastAsia"/>
          <w:color w:val="000000"/>
          <w:sz w:val="30"/>
          <w:szCs w:val="30"/>
        </w:rPr>
        <w:t xml:space="preserve">  本办法由本所负责解释。</w:t>
      </w:r>
    </w:p>
    <w:p w:rsidR="006E09FA" w:rsidRPr="006E09FA" w:rsidRDefault="006E09FA" w:rsidP="006E09FA">
      <w:pPr>
        <w:spacing w:line="360" w:lineRule="auto"/>
        <w:rPr>
          <w:rFonts w:ascii="仿宋_GB2312" w:eastAsia="仿宋_GB2312" w:hAnsi="仿宋" w:cs="Arial"/>
          <w:color w:val="000000"/>
          <w:sz w:val="30"/>
          <w:szCs w:val="30"/>
        </w:rPr>
      </w:pPr>
      <w:r w:rsidRPr="006E09FA">
        <w:rPr>
          <w:rFonts w:ascii="仿宋_GB2312" w:eastAsia="仿宋_GB2312" w:hAnsi="仿宋" w:cs="Arial" w:hint="eastAsia"/>
          <w:b/>
          <w:color w:val="000000"/>
          <w:sz w:val="30"/>
          <w:szCs w:val="30"/>
        </w:rPr>
        <w:t xml:space="preserve">    第二十条</w:t>
      </w:r>
      <w:r w:rsidRPr="006E09FA">
        <w:rPr>
          <w:rFonts w:ascii="仿宋_GB2312" w:eastAsia="仿宋_GB2312" w:hAnsi="仿宋" w:cs="Arial" w:hint="eastAsia"/>
          <w:color w:val="000000"/>
          <w:sz w:val="30"/>
          <w:szCs w:val="30"/>
        </w:rPr>
        <w:t xml:space="preserve">  本办法自发布之日起施行。</w:t>
      </w:r>
    </w:p>
    <w:p w:rsidR="006E09FA" w:rsidRPr="006E09FA" w:rsidRDefault="006E09FA" w:rsidP="006E09FA">
      <w:pPr>
        <w:widowControl/>
        <w:spacing w:line="360" w:lineRule="auto"/>
        <w:jc w:val="left"/>
        <w:rPr>
          <w:rFonts w:ascii="仿宋_GB2312" w:eastAsia="仿宋_GB2312" w:hAnsi="仿宋_GB2312" w:cs="Times New Roman"/>
          <w:sz w:val="30"/>
        </w:rPr>
      </w:pPr>
      <w:r w:rsidRPr="006E09FA">
        <w:rPr>
          <w:rFonts w:ascii="仿宋_GB2312" w:eastAsia="仿宋_GB2312" w:hAnsi="仿宋_GB2312" w:cs="Times New Roman"/>
          <w:sz w:val="30"/>
        </w:rPr>
        <w:t xml:space="preserve"> </w:t>
      </w:r>
    </w:p>
    <w:p w:rsidR="003131DF" w:rsidRPr="006E09FA" w:rsidRDefault="003131DF"/>
    <w:sectPr w:rsidR="003131DF" w:rsidRPr="006E09FA" w:rsidSect="003131DF">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774" w:rsidRDefault="00C92774" w:rsidP="006E09FA">
      <w:r>
        <w:separator/>
      </w:r>
    </w:p>
  </w:endnote>
  <w:endnote w:type="continuationSeparator" w:id="0">
    <w:p w:rsidR="00C92774" w:rsidRDefault="00C92774" w:rsidP="006E09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9FA" w:rsidRPr="006E09FA" w:rsidRDefault="006E09FA">
    <w:pPr>
      <w:pStyle w:val="a4"/>
      <w:jc w:val="center"/>
      <w:rPr>
        <w:rFonts w:ascii="仿宋_GB2312" w:eastAsia="仿宋_GB2312"/>
        <w:sz w:val="30"/>
        <w:szCs w:val="30"/>
      </w:rPr>
    </w:pPr>
    <w:r w:rsidRPr="006E09FA">
      <w:rPr>
        <w:rFonts w:ascii="仿宋_GB2312" w:eastAsia="仿宋_GB2312" w:hint="eastAsia"/>
        <w:sz w:val="30"/>
        <w:szCs w:val="30"/>
      </w:rPr>
      <w:t>-</w:t>
    </w:r>
    <w:sdt>
      <w:sdtPr>
        <w:rPr>
          <w:rFonts w:ascii="仿宋_GB2312" w:eastAsia="仿宋_GB2312" w:hint="eastAsia"/>
          <w:sz w:val="30"/>
          <w:szCs w:val="30"/>
        </w:rPr>
        <w:id w:val="26361638"/>
        <w:docPartObj>
          <w:docPartGallery w:val="Page Numbers (Bottom of Page)"/>
          <w:docPartUnique/>
        </w:docPartObj>
      </w:sdtPr>
      <w:sdtContent>
        <w:r w:rsidR="00AD0710" w:rsidRPr="006E09FA">
          <w:rPr>
            <w:rFonts w:ascii="仿宋_GB2312" w:eastAsia="仿宋_GB2312" w:hint="eastAsia"/>
            <w:sz w:val="30"/>
            <w:szCs w:val="30"/>
          </w:rPr>
          <w:fldChar w:fldCharType="begin"/>
        </w:r>
        <w:r w:rsidRPr="006E09FA">
          <w:rPr>
            <w:rFonts w:ascii="仿宋_GB2312" w:eastAsia="仿宋_GB2312" w:hint="eastAsia"/>
            <w:sz w:val="30"/>
            <w:szCs w:val="30"/>
          </w:rPr>
          <w:instrText xml:space="preserve"> PAGE   \* MERGEFORMAT </w:instrText>
        </w:r>
        <w:r w:rsidR="00AD0710" w:rsidRPr="006E09FA">
          <w:rPr>
            <w:rFonts w:ascii="仿宋_GB2312" w:eastAsia="仿宋_GB2312" w:hint="eastAsia"/>
            <w:sz w:val="30"/>
            <w:szCs w:val="30"/>
          </w:rPr>
          <w:fldChar w:fldCharType="separate"/>
        </w:r>
        <w:r w:rsidR="00C66A62" w:rsidRPr="00C66A62">
          <w:rPr>
            <w:rFonts w:ascii="仿宋_GB2312" w:eastAsia="仿宋_GB2312"/>
            <w:noProof/>
            <w:sz w:val="30"/>
            <w:szCs w:val="30"/>
            <w:lang w:val="zh-CN"/>
          </w:rPr>
          <w:t>1</w:t>
        </w:r>
        <w:r w:rsidR="00AD0710" w:rsidRPr="006E09FA">
          <w:rPr>
            <w:rFonts w:ascii="仿宋_GB2312" w:eastAsia="仿宋_GB2312" w:hint="eastAsia"/>
            <w:sz w:val="30"/>
            <w:szCs w:val="30"/>
          </w:rPr>
          <w:fldChar w:fldCharType="end"/>
        </w:r>
      </w:sdtContent>
    </w:sdt>
    <w:r w:rsidRPr="006E09FA">
      <w:rPr>
        <w:rFonts w:ascii="仿宋_GB2312" w:eastAsia="仿宋_GB2312" w:hint="eastAsia"/>
        <w:sz w:val="30"/>
        <w:szCs w:val="3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774" w:rsidRDefault="00C92774" w:rsidP="006E09FA">
      <w:r>
        <w:separator/>
      </w:r>
    </w:p>
  </w:footnote>
  <w:footnote w:type="continuationSeparator" w:id="0">
    <w:p w:rsidR="00C92774" w:rsidRDefault="00C92774" w:rsidP="006E09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E09FA"/>
    <w:rsid w:val="003131DF"/>
    <w:rsid w:val="006E09FA"/>
    <w:rsid w:val="00AD0710"/>
    <w:rsid w:val="00C66A62"/>
    <w:rsid w:val="00C927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1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E09F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E09FA"/>
    <w:rPr>
      <w:sz w:val="18"/>
      <w:szCs w:val="18"/>
    </w:rPr>
  </w:style>
  <w:style w:type="paragraph" w:styleId="a4">
    <w:name w:val="footer"/>
    <w:basedOn w:val="a"/>
    <w:link w:val="Char0"/>
    <w:uiPriority w:val="99"/>
    <w:unhideWhenUsed/>
    <w:rsid w:val="006E09FA"/>
    <w:pPr>
      <w:tabs>
        <w:tab w:val="center" w:pos="4153"/>
        <w:tab w:val="right" w:pos="8306"/>
      </w:tabs>
      <w:snapToGrid w:val="0"/>
      <w:jc w:val="left"/>
    </w:pPr>
    <w:rPr>
      <w:sz w:val="18"/>
      <w:szCs w:val="18"/>
    </w:rPr>
  </w:style>
  <w:style w:type="character" w:customStyle="1" w:styleId="Char0">
    <w:name w:val="页脚 Char"/>
    <w:basedOn w:val="a0"/>
    <w:link w:val="a4"/>
    <w:uiPriority w:val="99"/>
    <w:rsid w:val="006E09F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353</Words>
  <Characters>2013</Characters>
  <Application>Microsoft Office Word</Application>
  <DocSecurity>0</DocSecurity>
  <Lines>16</Lines>
  <Paragraphs>4</Paragraphs>
  <ScaleCrop>false</ScaleCrop>
  <Company/>
  <LinksUpToDate>false</LinksUpToDate>
  <CharactersWithSpaces>2362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赵婧(拟稿)</dc:creator>
  <cp:lastModifiedBy>徐婉琤(拟稿)</cp:lastModifiedBy>
  <cp:revision>2</cp:revision>
  <dcterms:created xsi:type="dcterms:W3CDTF">2018-01-11T08:13:00Z</dcterms:created>
  <dcterms:modified xsi:type="dcterms:W3CDTF">2018-01-11T09:00:00Z</dcterms:modified>
</cp:coreProperties>
</file>