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1DD" w:rsidRPr="00FC7A66" w:rsidRDefault="006B21DD" w:rsidP="00FC7A66">
      <w:pPr>
        <w:jc w:val="center"/>
        <w:rPr>
          <w:rFonts w:ascii="黑体" w:eastAsia="黑体" w:hAnsi="黑体"/>
          <w:b/>
          <w:kern w:val="0"/>
          <w:sz w:val="44"/>
          <w:szCs w:val="44"/>
        </w:rPr>
      </w:pPr>
      <w:bookmarkStart w:id="0" w:name="_Toc503277123"/>
      <w:r w:rsidRPr="00FC7A66">
        <w:rPr>
          <w:rFonts w:ascii="黑体" w:eastAsia="黑体" w:hAnsi="黑体" w:hint="eastAsia"/>
          <w:b/>
          <w:kern w:val="0"/>
          <w:sz w:val="44"/>
          <w:szCs w:val="44"/>
        </w:rPr>
        <w:t>关于修改《上海证券交易所交易规则》及《上海证券交易所债券交易实施细则》涉及债券交易若干条款的通知(2017年)</w:t>
      </w:r>
      <w:bookmarkEnd w:id="0"/>
    </w:p>
    <w:p w:rsidR="006B21DD" w:rsidRPr="00DF5BB5" w:rsidRDefault="006B21DD" w:rsidP="006B21DD">
      <w:pPr>
        <w:rPr>
          <w:kern w:val="0"/>
        </w:rPr>
      </w:pPr>
      <w:r w:rsidRPr="00DF5BB5">
        <w:rPr>
          <w:rFonts w:hint="eastAsia"/>
          <w:kern w:val="0"/>
        </w:rPr>
        <w:t>各市场参与者：</w:t>
      </w:r>
    </w:p>
    <w:p w:rsidR="006B21DD" w:rsidRPr="00DF5BB5" w:rsidRDefault="006B21DD" w:rsidP="006B21DD">
      <w:pPr>
        <w:rPr>
          <w:kern w:val="0"/>
        </w:rPr>
      </w:pPr>
      <w:r w:rsidRPr="00DF5BB5">
        <w:rPr>
          <w:rFonts w:hint="eastAsia"/>
          <w:kern w:val="0"/>
        </w:rPr>
        <w:t xml:space="preserve">　　经中国证监会批准，上海证券交易所（以下简称本所）对《上海证券交易所交易规则》（以下简称《交易规则》）、《上海证券交易所债券交易实施细则》（以下简称《实施细则》）中涉及债券质押式回购交易的若干条款进行了修改，具体修改内容如下：</w:t>
      </w:r>
    </w:p>
    <w:p w:rsidR="006B21DD" w:rsidRPr="00DF5BB5" w:rsidRDefault="006B21DD" w:rsidP="006B21DD">
      <w:pPr>
        <w:rPr>
          <w:kern w:val="0"/>
        </w:rPr>
      </w:pPr>
      <w:r w:rsidRPr="00DF5BB5">
        <w:rPr>
          <w:rFonts w:hint="eastAsia"/>
          <w:kern w:val="0"/>
        </w:rPr>
        <w:t xml:space="preserve">　　</w:t>
      </w:r>
      <w:r w:rsidRPr="00DF5BB5">
        <w:rPr>
          <w:rFonts w:hint="eastAsia"/>
          <w:b/>
          <w:bCs/>
          <w:kern w:val="0"/>
        </w:rPr>
        <w:t>一、《交易规则》相关条款修改内容</w:t>
      </w:r>
    </w:p>
    <w:p w:rsidR="006B21DD" w:rsidRPr="00DF5BB5" w:rsidRDefault="006B21DD" w:rsidP="006B21DD">
      <w:pPr>
        <w:rPr>
          <w:kern w:val="0"/>
        </w:rPr>
      </w:pPr>
      <w:r w:rsidRPr="00DF5BB5">
        <w:rPr>
          <w:rFonts w:hint="eastAsia"/>
          <w:kern w:val="0"/>
        </w:rPr>
        <w:t xml:space="preserve">　　修改质押式回购收盘价的计算方法。第4.1.3条修改为：“除本规则另有规定外，证券的收盘价为当日该证券最后一笔交易前一分钟所有交易的成交量加权平均价（含最后一笔交易）。当日无成交的，以前收盘价为当日收盘价。</w:t>
      </w:r>
    </w:p>
    <w:p w:rsidR="006B21DD" w:rsidRPr="00DF5BB5" w:rsidRDefault="006B21DD" w:rsidP="006B21DD">
      <w:pPr>
        <w:rPr>
          <w:kern w:val="0"/>
        </w:rPr>
      </w:pPr>
      <w:r w:rsidRPr="00DF5BB5">
        <w:rPr>
          <w:rFonts w:hint="eastAsia"/>
          <w:kern w:val="0"/>
        </w:rPr>
        <w:t xml:space="preserve">　　债券质押式回购的收盘价为当日该证券最后一笔交易前一小时所有交易的成交量加权平均价（含最后一笔交易）。当日无成交的，以前收盘价为当日收盘价。”</w:t>
      </w:r>
    </w:p>
    <w:p w:rsidR="006B21DD" w:rsidRPr="00DF5BB5" w:rsidRDefault="006B21DD" w:rsidP="006B21DD">
      <w:pPr>
        <w:rPr>
          <w:kern w:val="0"/>
        </w:rPr>
      </w:pPr>
      <w:r w:rsidRPr="00DF5BB5">
        <w:rPr>
          <w:rFonts w:hint="eastAsia"/>
          <w:kern w:val="0"/>
        </w:rPr>
        <w:t xml:space="preserve">　　</w:t>
      </w:r>
      <w:r w:rsidRPr="00DF5BB5">
        <w:rPr>
          <w:rFonts w:hint="eastAsia"/>
          <w:b/>
          <w:bCs/>
          <w:kern w:val="0"/>
        </w:rPr>
        <w:t>二、《实施细则》相关条款修改内容</w:t>
      </w:r>
    </w:p>
    <w:p w:rsidR="006B21DD" w:rsidRPr="00DF5BB5" w:rsidRDefault="006B21DD" w:rsidP="006B21DD">
      <w:pPr>
        <w:rPr>
          <w:kern w:val="0"/>
        </w:rPr>
      </w:pPr>
      <w:r w:rsidRPr="00DF5BB5">
        <w:rPr>
          <w:rFonts w:hint="eastAsia"/>
          <w:kern w:val="0"/>
        </w:rPr>
        <w:t xml:space="preserve">　　</w:t>
      </w:r>
      <w:r w:rsidRPr="00DF5BB5">
        <w:rPr>
          <w:rFonts w:hint="eastAsia"/>
          <w:b/>
          <w:bCs/>
          <w:kern w:val="0"/>
        </w:rPr>
        <w:t>（一）增加质押式回购开盘价和收盘价计算方法的相关条款</w:t>
      </w:r>
    </w:p>
    <w:p w:rsidR="006B21DD" w:rsidRPr="00DF5BB5" w:rsidRDefault="006B21DD" w:rsidP="006B21DD">
      <w:pPr>
        <w:rPr>
          <w:kern w:val="0"/>
        </w:rPr>
      </w:pPr>
      <w:r w:rsidRPr="00DF5BB5">
        <w:rPr>
          <w:rFonts w:hint="eastAsia"/>
          <w:kern w:val="0"/>
        </w:rPr>
        <w:t xml:space="preserve">　　增加一条作为第十六条：“债券回购交易开盘价，为当日该回购品种集合竞价中产生的价格；集合竞价不能产生开盘价的，连续竞价中的第一笔成交价为开盘价。</w:t>
      </w:r>
    </w:p>
    <w:p w:rsidR="006B21DD" w:rsidRPr="00DF5BB5" w:rsidRDefault="006B21DD" w:rsidP="006B21DD">
      <w:pPr>
        <w:rPr>
          <w:kern w:val="0"/>
        </w:rPr>
      </w:pPr>
      <w:r w:rsidRPr="00DF5BB5">
        <w:rPr>
          <w:rFonts w:hint="eastAsia"/>
          <w:kern w:val="0"/>
        </w:rPr>
        <w:t xml:space="preserve">　　债券回购的收盘价为当日该证券最后一笔交易前一小时所</w:t>
      </w:r>
      <w:r w:rsidRPr="00DF5BB5">
        <w:rPr>
          <w:rFonts w:hint="eastAsia"/>
          <w:kern w:val="0"/>
        </w:rPr>
        <w:lastRenderedPageBreak/>
        <w:t>有交易的成交量加权平均价（含最后一笔交易）。当日无成交的，以前收盘价为当日收盘价。”</w:t>
      </w:r>
    </w:p>
    <w:p w:rsidR="006B21DD" w:rsidRPr="00DF5BB5" w:rsidRDefault="006B21DD" w:rsidP="006B21DD">
      <w:pPr>
        <w:rPr>
          <w:kern w:val="0"/>
        </w:rPr>
      </w:pPr>
      <w:r w:rsidRPr="00DF5BB5">
        <w:rPr>
          <w:rFonts w:hint="eastAsia"/>
          <w:kern w:val="0"/>
        </w:rPr>
        <w:t xml:space="preserve">　　</w:t>
      </w:r>
      <w:r w:rsidRPr="00DF5BB5">
        <w:rPr>
          <w:rFonts w:hint="eastAsia"/>
          <w:b/>
          <w:bCs/>
          <w:kern w:val="0"/>
        </w:rPr>
        <w:t>（二）修改债券回购购回价的计算公式</w:t>
      </w:r>
    </w:p>
    <w:p w:rsidR="006B21DD" w:rsidRPr="00DF5BB5" w:rsidRDefault="006B21DD" w:rsidP="006B21DD">
      <w:pPr>
        <w:rPr>
          <w:kern w:val="0"/>
        </w:rPr>
      </w:pPr>
      <w:r w:rsidRPr="00DF5BB5">
        <w:rPr>
          <w:rFonts w:hint="eastAsia"/>
          <w:kern w:val="0"/>
        </w:rPr>
        <w:t xml:space="preserve">　　原第十八条修改为：“回购到期日，证券登记结算机构根据购回价公式计算应进行交割的资金和质押券数量。</w:t>
      </w:r>
    </w:p>
    <w:p w:rsidR="006B21DD" w:rsidRPr="00DF5BB5" w:rsidRDefault="006B21DD" w:rsidP="006B21DD">
      <w:pPr>
        <w:rPr>
          <w:kern w:val="0"/>
        </w:rPr>
      </w:pPr>
      <w:r w:rsidRPr="00DF5BB5">
        <w:rPr>
          <w:rFonts w:hint="eastAsia"/>
          <w:kern w:val="0"/>
        </w:rPr>
        <w:t xml:space="preserve">　　购回价计算公式为：购回价=100元＋年收益率×100元×实际占款天数/365。</w:t>
      </w:r>
    </w:p>
    <w:p w:rsidR="006B21DD" w:rsidRPr="00DF5BB5" w:rsidRDefault="006B21DD" w:rsidP="006B21DD">
      <w:pPr>
        <w:rPr>
          <w:kern w:val="0"/>
        </w:rPr>
      </w:pPr>
      <w:r w:rsidRPr="00DF5BB5">
        <w:rPr>
          <w:rFonts w:hint="eastAsia"/>
          <w:kern w:val="0"/>
        </w:rPr>
        <w:t xml:space="preserve">　　本条第二款所称实际占款天数，是指当次回购交易的首次交收日（含）至到期交收日（不含）的实际日历天数。”</w:t>
      </w:r>
    </w:p>
    <w:p w:rsidR="006B21DD" w:rsidRPr="00DF5BB5" w:rsidRDefault="006B21DD" w:rsidP="006B21DD">
      <w:pPr>
        <w:rPr>
          <w:kern w:val="0"/>
        </w:rPr>
      </w:pPr>
      <w:r w:rsidRPr="00DF5BB5">
        <w:rPr>
          <w:rFonts w:hint="eastAsia"/>
          <w:kern w:val="0"/>
        </w:rPr>
        <w:t xml:space="preserve">　　上述修改内容自2017年5月22日起实施。2017年5月22日前达成的回购交易到期购回价仍按原公式计算。</w:t>
      </w:r>
    </w:p>
    <w:p w:rsidR="006B21DD" w:rsidRPr="00DF5BB5" w:rsidRDefault="006B21DD" w:rsidP="006B21DD">
      <w:pPr>
        <w:rPr>
          <w:kern w:val="0"/>
        </w:rPr>
      </w:pPr>
      <w:r w:rsidRPr="00DF5BB5">
        <w:rPr>
          <w:rFonts w:hint="eastAsia"/>
          <w:kern w:val="0"/>
        </w:rPr>
        <w:t xml:space="preserve">　　特此通知。</w:t>
      </w:r>
      <w:r w:rsidRPr="00DF5BB5">
        <w:rPr>
          <w:rFonts w:hint="eastAsia"/>
          <w:kern w:val="0"/>
        </w:rPr>
        <w:br/>
      </w:r>
      <w:r w:rsidRPr="00DF5BB5">
        <w:rPr>
          <w:rFonts w:ascii="宋体" w:eastAsia="宋体" w:hAnsi="宋体" w:cs="宋体" w:hint="eastAsia"/>
          <w:kern w:val="0"/>
        </w:rPr>
        <w:t> </w:t>
      </w:r>
    </w:p>
    <w:p w:rsidR="006B21DD" w:rsidRPr="00DF5BB5" w:rsidRDefault="006B21DD" w:rsidP="006B21DD">
      <w:pPr>
        <w:jc w:val="right"/>
        <w:rPr>
          <w:kern w:val="0"/>
        </w:rPr>
      </w:pPr>
      <w:r w:rsidRPr="00DF5BB5">
        <w:rPr>
          <w:rFonts w:hint="eastAsia"/>
          <w:kern w:val="0"/>
        </w:rPr>
        <w:t xml:space="preserve">　　上海证券交易所</w:t>
      </w:r>
    </w:p>
    <w:p w:rsidR="006B21DD" w:rsidRDefault="006B21DD" w:rsidP="006B21DD">
      <w:pPr>
        <w:jc w:val="right"/>
        <w:rPr>
          <w:rFonts w:cs="仿宋_GB2312"/>
          <w:kern w:val="0"/>
        </w:rPr>
      </w:pPr>
      <w:r w:rsidRPr="00DF5BB5">
        <w:rPr>
          <w:rFonts w:hint="eastAsia"/>
          <w:kern w:val="0"/>
        </w:rPr>
        <w:t xml:space="preserve">　　二</w:t>
      </w:r>
      <w:r w:rsidRPr="00DF5BB5">
        <w:rPr>
          <w:rFonts w:ascii="宋体" w:eastAsia="宋体" w:hAnsi="宋体" w:cs="宋体" w:hint="eastAsia"/>
          <w:kern w:val="0"/>
        </w:rPr>
        <w:t>〇</w:t>
      </w:r>
      <w:r w:rsidRPr="00DF5BB5">
        <w:rPr>
          <w:rFonts w:cs="仿宋_GB2312" w:hint="eastAsia"/>
          <w:kern w:val="0"/>
        </w:rPr>
        <w:t>一七年四月十四日</w:t>
      </w:r>
    </w:p>
    <w:p w:rsidR="003131DF" w:rsidRDefault="003131DF"/>
    <w:sectPr w:rsidR="003131DF" w:rsidSect="003131D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C65" w:rsidRDefault="00864C65" w:rsidP="006B21DD">
      <w:pPr>
        <w:spacing w:line="240" w:lineRule="auto"/>
      </w:pPr>
      <w:r>
        <w:separator/>
      </w:r>
    </w:p>
  </w:endnote>
  <w:endnote w:type="continuationSeparator" w:id="0">
    <w:p w:rsidR="00864C65" w:rsidRDefault="00864C65" w:rsidP="006B21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1DD" w:rsidRPr="006B21DD" w:rsidRDefault="006B21DD">
    <w:pPr>
      <w:pStyle w:val="a4"/>
      <w:jc w:val="center"/>
      <w:rPr>
        <w:sz w:val="30"/>
        <w:szCs w:val="30"/>
      </w:rPr>
    </w:pPr>
    <w:r w:rsidRPr="006B21DD">
      <w:rPr>
        <w:rFonts w:hint="eastAsia"/>
        <w:sz w:val="30"/>
        <w:szCs w:val="30"/>
      </w:rPr>
      <w:t>-</w:t>
    </w:r>
    <w:sdt>
      <w:sdtPr>
        <w:rPr>
          <w:rFonts w:hint="eastAsia"/>
          <w:sz w:val="30"/>
          <w:szCs w:val="30"/>
        </w:rPr>
        <w:id w:val="26361626"/>
        <w:docPartObj>
          <w:docPartGallery w:val="Page Numbers (Bottom of Page)"/>
          <w:docPartUnique/>
        </w:docPartObj>
      </w:sdtPr>
      <w:sdtContent>
        <w:r w:rsidR="003778BD" w:rsidRPr="006B21DD">
          <w:rPr>
            <w:rFonts w:hint="eastAsia"/>
            <w:sz w:val="30"/>
            <w:szCs w:val="30"/>
          </w:rPr>
          <w:fldChar w:fldCharType="begin"/>
        </w:r>
        <w:r w:rsidRPr="006B21DD">
          <w:rPr>
            <w:rFonts w:hint="eastAsia"/>
            <w:sz w:val="30"/>
            <w:szCs w:val="30"/>
          </w:rPr>
          <w:instrText xml:space="preserve"> PAGE   \* MERGEFORMAT </w:instrText>
        </w:r>
        <w:r w:rsidR="003778BD" w:rsidRPr="006B21DD">
          <w:rPr>
            <w:rFonts w:hint="eastAsia"/>
            <w:sz w:val="30"/>
            <w:szCs w:val="30"/>
          </w:rPr>
          <w:fldChar w:fldCharType="separate"/>
        </w:r>
        <w:r w:rsidR="00FC7A66" w:rsidRPr="00FC7A66">
          <w:rPr>
            <w:noProof/>
            <w:sz w:val="30"/>
            <w:szCs w:val="30"/>
            <w:lang w:val="zh-CN"/>
          </w:rPr>
          <w:t>1</w:t>
        </w:r>
        <w:r w:rsidR="003778BD" w:rsidRPr="006B21DD">
          <w:rPr>
            <w:rFonts w:hint="eastAsia"/>
            <w:sz w:val="30"/>
            <w:szCs w:val="30"/>
          </w:rPr>
          <w:fldChar w:fldCharType="end"/>
        </w:r>
      </w:sdtContent>
    </w:sdt>
    <w:r w:rsidRPr="006B21DD">
      <w:rPr>
        <w:rFonts w:hint="eastAsia"/>
        <w:sz w:val="30"/>
        <w:szCs w:val="3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C65" w:rsidRDefault="00864C65" w:rsidP="006B21DD">
      <w:pPr>
        <w:spacing w:line="240" w:lineRule="auto"/>
      </w:pPr>
      <w:r>
        <w:separator/>
      </w:r>
    </w:p>
  </w:footnote>
  <w:footnote w:type="continuationSeparator" w:id="0">
    <w:p w:rsidR="00864C65" w:rsidRDefault="00864C65" w:rsidP="006B21D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21DD"/>
    <w:rsid w:val="003131DF"/>
    <w:rsid w:val="003778BD"/>
    <w:rsid w:val="006B21DD"/>
    <w:rsid w:val="00864C65"/>
    <w:rsid w:val="00FC7A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1DD"/>
    <w:pPr>
      <w:widowControl w:val="0"/>
      <w:spacing w:line="360" w:lineRule="auto"/>
      <w:jc w:val="both"/>
    </w:pPr>
    <w:rPr>
      <w:rFonts w:ascii="仿宋_GB2312" w:eastAsia="仿宋_GB2312" w:hAnsi="仿宋_GB2312" w:cs="Times New Roman"/>
      <w:sz w:val="30"/>
    </w:rPr>
  </w:style>
  <w:style w:type="paragraph" w:styleId="1">
    <w:name w:val="heading 1"/>
    <w:basedOn w:val="a"/>
    <w:next w:val="a"/>
    <w:link w:val="1Char"/>
    <w:qFormat/>
    <w:rsid w:val="006B21DD"/>
    <w:pPr>
      <w:keepNext/>
      <w:keepLines/>
      <w:pageBreakBefore/>
      <w:spacing w:before="340" w:after="330" w:line="578" w:lineRule="auto"/>
      <w:jc w:val="center"/>
      <w:outlineLvl w:val="0"/>
    </w:pPr>
    <w:rPr>
      <w:rFonts w:ascii="黑体" w:eastAsia="黑体" w:hAnsi="黑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B21DD"/>
    <w:rPr>
      <w:rFonts w:ascii="黑体" w:eastAsia="黑体" w:hAnsi="黑体" w:cs="Times New Roman"/>
      <w:b/>
      <w:bCs/>
      <w:kern w:val="44"/>
      <w:sz w:val="44"/>
      <w:szCs w:val="44"/>
    </w:rPr>
  </w:style>
  <w:style w:type="paragraph" w:styleId="a3">
    <w:name w:val="header"/>
    <w:basedOn w:val="a"/>
    <w:link w:val="Char"/>
    <w:uiPriority w:val="99"/>
    <w:semiHidden/>
    <w:unhideWhenUsed/>
    <w:rsid w:val="006B21D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6B21DD"/>
    <w:rPr>
      <w:rFonts w:ascii="仿宋_GB2312" w:eastAsia="仿宋_GB2312" w:hAnsi="仿宋_GB2312" w:cs="Times New Roman"/>
      <w:sz w:val="18"/>
      <w:szCs w:val="18"/>
    </w:rPr>
  </w:style>
  <w:style w:type="paragraph" w:styleId="a4">
    <w:name w:val="footer"/>
    <w:basedOn w:val="a"/>
    <w:link w:val="Char0"/>
    <w:uiPriority w:val="99"/>
    <w:unhideWhenUsed/>
    <w:rsid w:val="006B21DD"/>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6B21DD"/>
    <w:rPr>
      <w:rFonts w:ascii="仿宋_GB2312" w:eastAsia="仿宋_GB2312" w:hAnsi="仿宋_GB2312"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赵婧(拟稿)</dc:creator>
  <cp:lastModifiedBy>徐婉琤(拟稿)</cp:lastModifiedBy>
  <cp:revision>2</cp:revision>
  <dcterms:created xsi:type="dcterms:W3CDTF">2018-01-11T08:11:00Z</dcterms:created>
  <dcterms:modified xsi:type="dcterms:W3CDTF">2018-01-11T08:58:00Z</dcterms:modified>
</cp:coreProperties>
</file>