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14" w:rsidRDefault="009B0614" w:rsidP="009B0614">
      <w:pPr>
        <w:spacing w:line="560" w:lineRule="exac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附件13</w:t>
      </w:r>
    </w:p>
    <w:p w:rsidR="009B0614" w:rsidRPr="001B5009" w:rsidRDefault="009B0614" w:rsidP="009B0614">
      <w:pPr>
        <w:spacing w:line="560" w:lineRule="exact"/>
        <w:rPr>
          <w:rFonts w:ascii="仿宋_GB2312" w:eastAsia="仿宋_GB2312" w:hAnsi="宋体" w:cs="宋体"/>
          <w:color w:val="000000"/>
          <w:kern w:val="0"/>
          <w:sz w:val="30"/>
          <w:szCs w:val="30"/>
        </w:rPr>
      </w:pPr>
    </w:p>
    <w:p w:rsidR="009B0614" w:rsidRDefault="009B0614" w:rsidP="009B0614">
      <w:pPr>
        <w:spacing w:line="560" w:lineRule="exact"/>
        <w:jc w:val="center"/>
        <w:rPr>
          <w:rFonts w:ascii="方正大标宋简体" w:eastAsia="方正大标宋简体" w:hAnsi="宋体" w:cs="宋体"/>
          <w:color w:val="000000"/>
          <w:kern w:val="0"/>
          <w:sz w:val="42"/>
          <w:szCs w:val="42"/>
        </w:rPr>
      </w:pPr>
      <w:r w:rsidRPr="00C31DDF">
        <w:rPr>
          <w:rFonts w:ascii="方正大标宋简体" w:eastAsia="方正大标宋简体" w:hAnsi="宋体" w:cs="宋体" w:hint="eastAsia"/>
          <w:color w:val="000000"/>
          <w:spacing w:val="-4"/>
          <w:kern w:val="0"/>
          <w:sz w:val="42"/>
          <w:szCs w:val="42"/>
        </w:rPr>
        <w:t>关于制定</w:t>
      </w:r>
      <w:r w:rsidRPr="00C31DDF">
        <w:rPr>
          <w:rFonts w:ascii="方正大标宋简体" w:eastAsia="方正大标宋简体" w:hint="eastAsia"/>
          <w:color w:val="000000"/>
          <w:spacing w:val="-4"/>
          <w:sz w:val="42"/>
          <w:szCs w:val="42"/>
          <w:lang w:val="zh-CN"/>
        </w:rPr>
        <w:t>上海证券交易所</w:t>
      </w:r>
      <w:r w:rsidRPr="00C31DDF">
        <w:rPr>
          <w:rFonts w:ascii="方正大标宋简体" w:eastAsia="方正大标宋简体" w:hAnsi="宋体" w:cs="宋体" w:hint="eastAsia"/>
          <w:color w:val="000000"/>
          <w:spacing w:val="-4"/>
          <w:kern w:val="0"/>
          <w:sz w:val="42"/>
          <w:szCs w:val="42"/>
        </w:rPr>
        <w:t>第二十一</w:t>
      </w:r>
      <w:r w:rsidR="007B6CC7" w:rsidRPr="00C739EA">
        <w:rPr>
          <w:rFonts w:ascii="方正大标宋简体" w:eastAsia="方正大标宋简体" w:hAnsi="宋体" w:cs="宋体" w:hint="eastAsia"/>
          <w:color w:val="000000"/>
          <w:kern w:val="0"/>
          <w:sz w:val="42"/>
          <w:szCs w:val="42"/>
        </w:rPr>
        <w:t>号</w:t>
      </w:r>
      <w:r w:rsidRPr="00C31DDF">
        <w:rPr>
          <w:rFonts w:ascii="方正大标宋简体" w:eastAsia="方正大标宋简体" w:hAnsi="宋体" w:cs="宋体" w:hint="eastAsia"/>
          <w:color w:val="000000"/>
          <w:spacing w:val="-4"/>
          <w:kern w:val="0"/>
          <w:sz w:val="42"/>
          <w:szCs w:val="42"/>
        </w:rPr>
        <w:t>至第二十</w:t>
      </w:r>
      <w:r w:rsidRPr="00C739EA">
        <w:rPr>
          <w:rFonts w:ascii="方正大标宋简体" w:eastAsia="方正大标宋简体" w:hAnsi="宋体" w:cs="宋体" w:hint="eastAsia"/>
          <w:color w:val="000000"/>
          <w:kern w:val="0"/>
          <w:sz w:val="42"/>
          <w:szCs w:val="42"/>
        </w:rPr>
        <w:t>八号上市公司</w:t>
      </w:r>
      <w:r w:rsidR="00E72676" w:rsidRPr="00C739EA">
        <w:rPr>
          <w:rFonts w:ascii="方正大标宋简体" w:eastAsia="方正大标宋简体" w:hAnsi="宋体" w:cs="宋体" w:hint="eastAsia"/>
          <w:color w:val="000000"/>
          <w:kern w:val="0"/>
          <w:sz w:val="42"/>
          <w:szCs w:val="42"/>
        </w:rPr>
        <w:t>行业信息披露指引</w:t>
      </w:r>
      <w:r w:rsidRPr="00C739EA">
        <w:rPr>
          <w:rFonts w:ascii="方正大标宋简体" w:eastAsia="方正大标宋简体" w:hAnsi="宋体" w:cs="宋体" w:hint="eastAsia"/>
          <w:color w:val="000000"/>
          <w:kern w:val="0"/>
          <w:sz w:val="42"/>
          <w:szCs w:val="42"/>
        </w:rPr>
        <w:t>（征求意见稿）和修订部分指引的说明</w:t>
      </w:r>
    </w:p>
    <w:p w:rsidR="009B0614" w:rsidRDefault="009B0614" w:rsidP="009B0614">
      <w:pPr>
        <w:spacing w:line="560" w:lineRule="exact"/>
        <w:rPr>
          <w:rFonts w:ascii="仿宋_GB2312" w:eastAsia="仿宋_GB2312" w:hAnsi="宋体"/>
          <w:sz w:val="30"/>
          <w:szCs w:val="30"/>
        </w:rPr>
      </w:pP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983515">
        <w:rPr>
          <w:rFonts w:ascii="仿宋_GB2312" w:eastAsia="仿宋_GB2312" w:hAnsi="宋体" w:hint="eastAsia"/>
          <w:sz w:val="30"/>
          <w:szCs w:val="30"/>
        </w:rPr>
        <w:t>为持续深化分行业监管，建立健全行业信息披露规范体系，近日，上海证券交易所（以下简称本所）</w:t>
      </w:r>
      <w:r w:rsidRPr="00274F4B">
        <w:rPr>
          <w:rFonts w:ascii="仿宋_GB2312" w:eastAsia="仿宋_GB2312" w:hAnsi="宋体" w:hint="eastAsia"/>
          <w:sz w:val="30"/>
          <w:szCs w:val="30"/>
        </w:rPr>
        <w:t>新</w:t>
      </w:r>
      <w:r>
        <w:rPr>
          <w:rFonts w:ascii="仿宋_GB2312" w:eastAsia="仿宋_GB2312" w:hAnsi="宋体" w:hint="eastAsia"/>
          <w:sz w:val="30"/>
          <w:szCs w:val="30"/>
        </w:rPr>
        <w:t>制定</w:t>
      </w:r>
      <w:r w:rsidRPr="00274F4B">
        <w:rPr>
          <w:rFonts w:ascii="仿宋_GB2312" w:eastAsia="仿宋_GB2312" w:hAnsi="宋体" w:hint="eastAsia"/>
          <w:sz w:val="30"/>
          <w:szCs w:val="30"/>
        </w:rPr>
        <w:t>了集成电路、航空船舶铁路运输设备制造业、医疗器械、食品制造、黄金珠宝饰品、影视、家具制造、有色金属等</w:t>
      </w:r>
      <w:r w:rsidRPr="00274F4B">
        <w:rPr>
          <w:rFonts w:ascii="仿宋_GB2312" w:eastAsia="仿宋_GB2312" w:hAnsi="宋体"/>
          <w:sz w:val="30"/>
          <w:szCs w:val="30"/>
        </w:rPr>
        <w:t>8个行业</w:t>
      </w:r>
      <w:r w:rsidRPr="00274F4B">
        <w:rPr>
          <w:rFonts w:ascii="仿宋_GB2312" w:eastAsia="仿宋_GB2312" w:hAnsi="宋体" w:hint="eastAsia"/>
          <w:sz w:val="30"/>
          <w:szCs w:val="30"/>
        </w:rPr>
        <w:t>的</w:t>
      </w:r>
      <w:r w:rsidRPr="00983515">
        <w:rPr>
          <w:rFonts w:ascii="仿宋_GB2312" w:eastAsia="仿宋_GB2312" w:hAnsi="宋体" w:hint="eastAsia"/>
          <w:sz w:val="30"/>
          <w:szCs w:val="30"/>
        </w:rPr>
        <w:t>信息披露指引</w:t>
      </w:r>
      <w:r>
        <w:rPr>
          <w:rFonts w:ascii="仿宋_GB2312" w:eastAsia="仿宋_GB2312" w:hAnsi="宋体" w:hint="eastAsia"/>
          <w:sz w:val="30"/>
          <w:szCs w:val="30"/>
        </w:rPr>
        <w:t>；同时，对此前颁布的</w:t>
      </w:r>
      <w:r w:rsidRPr="00983515">
        <w:rPr>
          <w:rFonts w:ascii="仿宋_GB2312" w:eastAsia="仿宋_GB2312" w:hAnsi="宋体" w:hint="eastAsia"/>
          <w:sz w:val="30"/>
          <w:szCs w:val="30"/>
        </w:rPr>
        <w:t>电力、医药</w:t>
      </w:r>
      <w:r>
        <w:rPr>
          <w:rFonts w:ascii="仿宋_GB2312" w:eastAsia="仿宋_GB2312" w:hAnsi="宋体" w:hint="eastAsia"/>
          <w:sz w:val="30"/>
          <w:szCs w:val="30"/>
        </w:rPr>
        <w:t>制造</w:t>
      </w:r>
      <w:r w:rsidRPr="00983515">
        <w:rPr>
          <w:rFonts w:ascii="仿宋_GB2312" w:eastAsia="仿宋_GB2312" w:hAnsi="宋体" w:hint="eastAsia"/>
          <w:sz w:val="30"/>
          <w:szCs w:val="30"/>
        </w:rPr>
        <w:t>、光伏、服装等4个行业信息披露指引</w:t>
      </w:r>
      <w:r>
        <w:rPr>
          <w:rFonts w:ascii="仿宋_GB2312" w:eastAsia="仿宋_GB2312" w:hAnsi="宋体" w:hint="eastAsia"/>
          <w:sz w:val="30"/>
          <w:szCs w:val="30"/>
        </w:rPr>
        <w:t>进行修订</w:t>
      </w:r>
      <w:r w:rsidRPr="00983515">
        <w:rPr>
          <w:rFonts w:ascii="仿宋_GB2312" w:eastAsia="仿宋_GB2312" w:hAnsi="宋体" w:hint="eastAsia"/>
          <w:sz w:val="30"/>
          <w:szCs w:val="30"/>
        </w:rPr>
        <w:t>，向市场公开征求意见。</w:t>
      </w:r>
      <w:r>
        <w:rPr>
          <w:rFonts w:ascii="仿宋_GB2312" w:eastAsia="仿宋_GB2312" w:hAnsi="宋体" w:hint="eastAsia"/>
          <w:sz w:val="30"/>
          <w:szCs w:val="30"/>
        </w:rPr>
        <w:t>现将有关起草</w:t>
      </w:r>
      <w:r w:rsidRPr="00983515">
        <w:rPr>
          <w:rFonts w:ascii="仿宋_GB2312" w:eastAsia="仿宋_GB2312" w:hAnsi="宋体" w:hint="eastAsia"/>
          <w:sz w:val="30"/>
          <w:szCs w:val="30"/>
        </w:rPr>
        <w:t>情况说明如下。</w:t>
      </w:r>
    </w:p>
    <w:p w:rsidR="009B0614" w:rsidRDefault="009B0614" w:rsidP="009B0614">
      <w:pPr>
        <w:autoSpaceDE w:val="0"/>
        <w:autoSpaceDN w:val="0"/>
        <w:adjustRightInd w:val="0"/>
        <w:spacing w:line="560" w:lineRule="exact"/>
        <w:ind w:firstLineChars="200" w:firstLine="602"/>
        <w:rPr>
          <w:rFonts w:ascii="黑体" w:eastAsia="黑体" w:hAnsi="黑体"/>
          <w:b/>
          <w:sz w:val="30"/>
          <w:szCs w:val="30"/>
        </w:rPr>
      </w:pPr>
      <w:r w:rsidRPr="00274F4B">
        <w:rPr>
          <w:rFonts w:ascii="黑体" w:eastAsia="黑体" w:hAnsi="黑体" w:hint="eastAsia"/>
          <w:b/>
          <w:sz w:val="30"/>
          <w:szCs w:val="30"/>
        </w:rPr>
        <w:t>一、</w:t>
      </w:r>
      <w:r>
        <w:rPr>
          <w:rFonts w:ascii="黑体" w:eastAsia="黑体" w:hAnsi="黑体" w:hint="eastAsia"/>
          <w:b/>
          <w:sz w:val="30"/>
          <w:szCs w:val="30"/>
        </w:rPr>
        <w:t>主要考虑</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行业信息披露指引，是上市公司披露行业信息的基本规范。上交所自2015年全面实施</w:t>
      </w:r>
      <w:r w:rsidRPr="00983515">
        <w:rPr>
          <w:rFonts w:ascii="仿宋_GB2312" w:eastAsia="仿宋_GB2312" w:hAnsi="宋体" w:hint="eastAsia"/>
          <w:sz w:val="30"/>
          <w:szCs w:val="30"/>
        </w:rPr>
        <w:t>分行业监管</w:t>
      </w:r>
      <w:r>
        <w:rPr>
          <w:rFonts w:ascii="仿宋_GB2312" w:eastAsia="仿宋_GB2312" w:hAnsi="宋体" w:hint="eastAsia"/>
          <w:sz w:val="30"/>
          <w:szCs w:val="30"/>
        </w:rPr>
        <w:t>以来</w:t>
      </w:r>
      <w:r w:rsidRPr="00983515">
        <w:rPr>
          <w:rFonts w:ascii="仿宋_GB2312" w:eastAsia="仿宋_GB2312" w:hAnsi="宋体" w:hint="eastAsia"/>
          <w:sz w:val="30"/>
          <w:szCs w:val="30"/>
        </w:rPr>
        <w:t>，</w:t>
      </w:r>
      <w:r>
        <w:rPr>
          <w:rFonts w:ascii="仿宋_GB2312" w:eastAsia="仿宋_GB2312" w:hAnsi="宋体" w:hint="eastAsia"/>
          <w:sz w:val="30"/>
          <w:szCs w:val="30"/>
        </w:rPr>
        <w:t>针对沪市公司行业结构的特点，先后推出房地产、电力、医药、汽车、光伏、环保</w:t>
      </w:r>
      <w:r w:rsidRPr="00983515">
        <w:rPr>
          <w:rFonts w:ascii="仿宋_GB2312" w:eastAsia="仿宋_GB2312" w:hAnsi="宋体" w:hint="eastAsia"/>
          <w:sz w:val="30"/>
          <w:szCs w:val="30"/>
        </w:rPr>
        <w:t>等</w:t>
      </w:r>
      <w:r>
        <w:rPr>
          <w:rFonts w:ascii="仿宋_GB2312" w:eastAsia="仿宋_GB2312" w:hAnsi="宋体" w:hint="eastAsia"/>
          <w:sz w:val="30"/>
          <w:szCs w:val="30"/>
        </w:rPr>
        <w:t>20</w:t>
      </w:r>
      <w:r w:rsidRPr="00983515">
        <w:rPr>
          <w:rFonts w:ascii="仿宋_GB2312" w:eastAsia="仿宋_GB2312" w:hAnsi="宋体" w:hint="eastAsia"/>
          <w:sz w:val="30"/>
          <w:szCs w:val="30"/>
        </w:rPr>
        <w:t>项行业信息披露指引，</w:t>
      </w:r>
      <w:r w:rsidRPr="006074D2">
        <w:rPr>
          <w:rFonts w:ascii="仿宋_GB2312" w:eastAsia="仿宋_GB2312" w:hAnsi="宋体" w:hint="eastAsia"/>
          <w:sz w:val="30"/>
          <w:szCs w:val="30"/>
        </w:rPr>
        <w:t>加之证监会颁布的金融类行业指引</w:t>
      </w:r>
      <w:r>
        <w:rPr>
          <w:rFonts w:ascii="仿宋_GB2312" w:eastAsia="仿宋_GB2312" w:hAnsi="宋体" w:hint="eastAsia"/>
          <w:sz w:val="30"/>
          <w:szCs w:val="30"/>
        </w:rPr>
        <w:t>，目前</w:t>
      </w:r>
      <w:r w:rsidRPr="00983515">
        <w:rPr>
          <w:rFonts w:ascii="仿宋_GB2312" w:eastAsia="仿宋_GB2312" w:hAnsi="宋体" w:hint="eastAsia"/>
          <w:sz w:val="30"/>
          <w:szCs w:val="30"/>
        </w:rPr>
        <w:t>覆盖</w:t>
      </w:r>
      <w:r w:rsidRPr="00983515">
        <w:rPr>
          <w:rFonts w:ascii="仿宋_GB2312" w:eastAsia="仿宋_GB2312" w:hAnsi="宋体"/>
          <w:sz w:val="30"/>
          <w:szCs w:val="30"/>
        </w:rPr>
        <w:t>700</w:t>
      </w:r>
      <w:r>
        <w:rPr>
          <w:rFonts w:ascii="仿宋_GB2312" w:eastAsia="仿宋_GB2312" w:hAnsi="宋体" w:hint="eastAsia"/>
          <w:sz w:val="30"/>
          <w:szCs w:val="30"/>
        </w:rPr>
        <w:t>余</w:t>
      </w:r>
      <w:r w:rsidRPr="00983515">
        <w:rPr>
          <w:rFonts w:ascii="仿宋_GB2312" w:eastAsia="仿宋_GB2312" w:hAnsi="宋体"/>
          <w:sz w:val="30"/>
          <w:szCs w:val="30"/>
        </w:rPr>
        <w:t>家</w:t>
      </w:r>
      <w:r>
        <w:rPr>
          <w:rFonts w:ascii="仿宋_GB2312" w:eastAsia="仿宋_GB2312" w:hAnsi="宋体" w:hint="eastAsia"/>
          <w:sz w:val="30"/>
          <w:szCs w:val="30"/>
        </w:rPr>
        <w:t>上市公司</w:t>
      </w:r>
      <w:r w:rsidRPr="00983515">
        <w:rPr>
          <w:rFonts w:ascii="仿宋_GB2312" w:eastAsia="仿宋_GB2312" w:hAnsi="宋体"/>
          <w:sz w:val="30"/>
          <w:szCs w:val="30"/>
        </w:rPr>
        <w:t>，</w:t>
      </w:r>
      <w:r>
        <w:rPr>
          <w:rFonts w:ascii="仿宋_GB2312" w:eastAsia="仿宋_GB2312" w:hAnsi="宋体" w:hint="eastAsia"/>
          <w:sz w:val="30"/>
          <w:szCs w:val="30"/>
        </w:rPr>
        <w:t>涉及</w:t>
      </w:r>
      <w:r w:rsidRPr="00983515">
        <w:rPr>
          <w:rFonts w:ascii="仿宋_GB2312" w:eastAsia="仿宋_GB2312" w:hAnsi="宋体"/>
          <w:sz w:val="30"/>
          <w:szCs w:val="30"/>
        </w:rPr>
        <w:t>市值占</w:t>
      </w:r>
      <w:r>
        <w:rPr>
          <w:rFonts w:ascii="仿宋_GB2312" w:eastAsia="仿宋_GB2312" w:hAnsi="宋体" w:hint="eastAsia"/>
          <w:sz w:val="30"/>
          <w:szCs w:val="30"/>
        </w:rPr>
        <w:t>比</w:t>
      </w:r>
      <w:r w:rsidRPr="00983515">
        <w:rPr>
          <w:rFonts w:ascii="仿宋_GB2312" w:eastAsia="仿宋_GB2312" w:hAnsi="宋体"/>
          <w:sz w:val="30"/>
          <w:szCs w:val="30"/>
        </w:rPr>
        <w:t>约</w:t>
      </w:r>
      <w:r>
        <w:rPr>
          <w:rFonts w:ascii="仿宋_GB2312" w:eastAsia="仿宋_GB2312" w:hAnsi="宋体" w:hint="eastAsia"/>
          <w:sz w:val="30"/>
          <w:szCs w:val="30"/>
        </w:rPr>
        <w:t>计</w:t>
      </w:r>
      <w:r w:rsidRPr="00983515">
        <w:rPr>
          <w:rFonts w:ascii="仿宋_GB2312" w:eastAsia="仿宋_GB2312" w:hAnsi="宋体"/>
          <w:sz w:val="30"/>
          <w:szCs w:val="30"/>
        </w:rPr>
        <w:t>80%</w:t>
      </w:r>
      <w:r>
        <w:rPr>
          <w:rFonts w:ascii="仿宋_GB2312" w:eastAsia="仿宋_GB2312" w:hAnsi="宋体" w:hint="eastAsia"/>
          <w:sz w:val="30"/>
          <w:szCs w:val="30"/>
        </w:rPr>
        <w:t>，沪市行业信息披露规则体系已初步构建完成。本次制定8个新行业指引、修订4个既有行业指引，主要有如下考虑：</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C739EA">
        <w:rPr>
          <w:rFonts w:ascii="仿宋_GB2312" w:eastAsia="仿宋_GB2312" w:hAnsi="宋体" w:hint="eastAsia"/>
          <w:sz w:val="30"/>
          <w:szCs w:val="30"/>
        </w:rPr>
        <w:t>一是呼应沪市公司行业结构优化新进展。受益于经济结构调整，</w:t>
      </w:r>
      <w:r>
        <w:rPr>
          <w:rFonts w:ascii="仿宋_GB2312" w:eastAsia="仿宋_GB2312" w:hAnsi="宋体" w:hint="eastAsia"/>
          <w:sz w:val="30"/>
          <w:szCs w:val="30"/>
        </w:rPr>
        <w:t>沪市股票市场正在从过去以传统大盘蓝筹为主的市场转变为传统产业和战略新兴产业协同发展的新蓝筹市场，吸引了</w:t>
      </w:r>
      <w:r>
        <w:rPr>
          <w:rFonts w:ascii="仿宋_GB2312" w:eastAsia="仿宋_GB2312" w:hAnsi="宋体"/>
          <w:sz w:val="30"/>
          <w:szCs w:val="30"/>
        </w:rPr>
        <w:t>一批</w:t>
      </w:r>
      <w:hyperlink r:id="rId6" w:tgtFrame="_blank" w:history="1">
        <w:r>
          <w:rPr>
            <w:rFonts w:ascii="仿宋_GB2312" w:eastAsia="仿宋_GB2312" w:hAnsi="宋体"/>
            <w:sz w:val="30"/>
            <w:szCs w:val="30"/>
          </w:rPr>
          <w:t>科</w:t>
        </w:r>
        <w:r>
          <w:rPr>
            <w:rFonts w:ascii="仿宋_GB2312" w:eastAsia="仿宋_GB2312" w:hAnsi="宋体"/>
            <w:sz w:val="30"/>
            <w:szCs w:val="30"/>
          </w:rPr>
          <w:lastRenderedPageBreak/>
          <w:t>技</w:t>
        </w:r>
      </w:hyperlink>
      <w:r>
        <w:rPr>
          <w:rFonts w:ascii="仿宋_GB2312" w:eastAsia="仿宋_GB2312" w:hAnsi="宋体"/>
          <w:sz w:val="30"/>
          <w:szCs w:val="30"/>
        </w:rPr>
        <w:t>含量</w:t>
      </w:r>
      <w:r>
        <w:rPr>
          <w:rFonts w:ascii="仿宋_GB2312" w:eastAsia="仿宋_GB2312" w:hAnsi="宋体" w:hint="eastAsia"/>
          <w:sz w:val="30"/>
          <w:szCs w:val="30"/>
        </w:rPr>
        <w:t>高、增长潜力大</w:t>
      </w:r>
      <w:r>
        <w:rPr>
          <w:rFonts w:ascii="仿宋_GB2312" w:eastAsia="仿宋_GB2312" w:hAnsi="宋体"/>
          <w:sz w:val="30"/>
          <w:szCs w:val="30"/>
        </w:rPr>
        <w:t>的细分行业龙头</w:t>
      </w:r>
      <w:r>
        <w:rPr>
          <w:rFonts w:ascii="仿宋_GB2312" w:eastAsia="仿宋_GB2312" w:hAnsi="宋体" w:hint="eastAsia"/>
          <w:sz w:val="30"/>
          <w:szCs w:val="30"/>
        </w:rPr>
        <w:t>公司，涉及集成电路、高端设备制造、医疗器械等行业。同时，在近年来居民消费逐渐向品牌消费、品质消费升级的大背景下，食品制造、黄金珠宝饰品、影视、家具制造等沪市消费类上市公司，也加快了品牌建设、业态效率提升、供应链优化重塑的步伐，开始向产业链高端的跃升。本次新制定的行业信息披露指引，体现了沪市上市公司行业结构的这些积极变化，也能够帮助投资者更为准确的理解、把握这些高科技和新零售行业的价值与风险。</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C739EA">
        <w:rPr>
          <w:rFonts w:ascii="仿宋_GB2312" w:eastAsia="仿宋_GB2312" w:hAnsi="宋体" w:hint="eastAsia"/>
          <w:sz w:val="30"/>
          <w:szCs w:val="30"/>
        </w:rPr>
        <w:t>二是体现沪市上市公司行业发展新变化。</w:t>
      </w:r>
      <w:r>
        <w:rPr>
          <w:rFonts w:ascii="仿宋_GB2312" w:eastAsia="仿宋_GB2312" w:hAnsi="宋体" w:hint="eastAsia"/>
          <w:sz w:val="30"/>
          <w:szCs w:val="30"/>
        </w:rPr>
        <w:t>除新制定</w:t>
      </w:r>
      <w:r>
        <w:rPr>
          <w:rFonts w:ascii="仿宋_GB2312" w:eastAsia="仿宋_GB2312" w:hAnsi="宋体"/>
          <w:sz w:val="30"/>
          <w:szCs w:val="30"/>
        </w:rPr>
        <w:t>8项</w:t>
      </w:r>
      <w:r>
        <w:rPr>
          <w:rFonts w:ascii="仿宋_GB2312" w:eastAsia="仿宋_GB2312" w:hAnsi="宋体" w:hint="eastAsia"/>
          <w:sz w:val="30"/>
          <w:szCs w:val="30"/>
        </w:rPr>
        <w:t>指引外，此次还集中评估了此前发布的</w:t>
      </w:r>
      <w:r>
        <w:rPr>
          <w:rFonts w:ascii="仿宋_GB2312" w:eastAsia="仿宋_GB2312" w:hAnsi="宋体"/>
          <w:sz w:val="30"/>
          <w:szCs w:val="30"/>
        </w:rPr>
        <w:t>20项行业信息披露指引，</w:t>
      </w:r>
      <w:r>
        <w:rPr>
          <w:rFonts w:ascii="仿宋_GB2312" w:eastAsia="仿宋_GB2312" w:hAnsi="宋体" w:hint="eastAsia"/>
          <w:sz w:val="30"/>
          <w:szCs w:val="30"/>
        </w:rPr>
        <w:t>并结合行业重大变化及公司披露实践，对电力、医药制造、光伏、服装行业等</w:t>
      </w:r>
      <w:r>
        <w:rPr>
          <w:rFonts w:ascii="仿宋_GB2312" w:eastAsia="仿宋_GB2312" w:hAnsi="宋体"/>
          <w:sz w:val="30"/>
          <w:szCs w:val="30"/>
        </w:rPr>
        <w:t>4项</w:t>
      </w:r>
      <w:r>
        <w:rPr>
          <w:rFonts w:ascii="仿宋_GB2312" w:eastAsia="仿宋_GB2312" w:hAnsi="宋体" w:hint="eastAsia"/>
          <w:sz w:val="30"/>
          <w:szCs w:val="30"/>
        </w:rPr>
        <w:t>指引予以修订。如，在电力改革背景下，电力行业市场化的定价机制正在形成，市场化交易比重日益提高，同时配售电业务的加速放开有效激发了市场活力，市场主体更为多元，对此行业指引增加了上市公司参与市场化交易及经营售电公司相关信息的披露要求。再如，近年药品审批政策发生重大变革，同时仿制药一致性评价政策的执行，</w:t>
      </w:r>
      <w:r w:rsidR="00326948">
        <w:rPr>
          <w:rFonts w:ascii="仿宋_GB2312" w:eastAsia="仿宋_GB2312" w:hAnsi="宋体" w:hint="eastAsia"/>
          <w:sz w:val="30"/>
          <w:szCs w:val="30"/>
        </w:rPr>
        <w:t>对医药制造行业影响深远</w:t>
      </w:r>
      <w:r>
        <w:rPr>
          <w:rFonts w:ascii="仿宋_GB2312" w:eastAsia="仿宋_GB2312" w:hAnsi="宋体" w:hint="eastAsia"/>
          <w:sz w:val="30"/>
          <w:szCs w:val="30"/>
        </w:rPr>
        <w:t>，相应指引条款也需作修订。此外，光伏行业指引结合执行情况，将硅片产品关键技术指标由“杂质平均含量”修订为“非硅成本”等。同时，考虑到服装类公司加盟模式比重较大，相关店效数据的获取成本较高，行业指引对相关条款进行调整。</w:t>
      </w:r>
    </w:p>
    <w:p w:rsidR="009B0614" w:rsidRDefault="009B0614" w:rsidP="009B0614">
      <w:pPr>
        <w:autoSpaceDE w:val="0"/>
        <w:autoSpaceDN w:val="0"/>
        <w:adjustRightInd w:val="0"/>
        <w:spacing w:line="560" w:lineRule="exact"/>
        <w:ind w:firstLineChars="200" w:firstLine="602"/>
        <w:rPr>
          <w:rFonts w:ascii="黑体" w:eastAsia="黑体" w:hAnsi="黑体"/>
          <w:b/>
          <w:sz w:val="30"/>
          <w:szCs w:val="30"/>
        </w:rPr>
      </w:pPr>
      <w:r w:rsidRPr="00274F4B">
        <w:rPr>
          <w:rFonts w:ascii="黑体" w:eastAsia="黑体" w:hAnsi="黑体" w:hint="eastAsia"/>
          <w:b/>
          <w:sz w:val="30"/>
          <w:szCs w:val="30"/>
        </w:rPr>
        <w:t>二、</w:t>
      </w:r>
      <w:r>
        <w:rPr>
          <w:rFonts w:ascii="黑体" w:eastAsia="黑体" w:hAnsi="黑体" w:hint="eastAsia"/>
          <w:b/>
          <w:sz w:val="30"/>
          <w:szCs w:val="30"/>
        </w:rPr>
        <w:t>制定和修订</w:t>
      </w:r>
      <w:r w:rsidRPr="00274F4B">
        <w:rPr>
          <w:rFonts w:ascii="黑体" w:eastAsia="黑体" w:hAnsi="黑体" w:hint="eastAsia"/>
          <w:b/>
          <w:sz w:val="30"/>
          <w:szCs w:val="30"/>
        </w:rPr>
        <w:t>行业指引</w:t>
      </w:r>
      <w:r>
        <w:rPr>
          <w:rFonts w:ascii="黑体" w:eastAsia="黑体" w:hAnsi="黑体" w:hint="eastAsia"/>
          <w:b/>
          <w:sz w:val="30"/>
          <w:szCs w:val="30"/>
        </w:rPr>
        <w:t>主要思路</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C739EA">
        <w:rPr>
          <w:rFonts w:ascii="仿宋_GB2312" w:eastAsia="仿宋_GB2312" w:hAnsi="宋体" w:hint="eastAsia"/>
          <w:sz w:val="30"/>
          <w:szCs w:val="30"/>
        </w:rPr>
        <w:t>本次制定和修订行业指引遵循了上交所历次行业指引确定的基本原则和成熟做法。</w:t>
      </w:r>
      <w:r>
        <w:rPr>
          <w:rFonts w:ascii="仿宋_GB2312" w:eastAsia="仿宋_GB2312" w:hAnsi="宋体" w:hint="eastAsia"/>
          <w:sz w:val="30"/>
          <w:szCs w:val="30"/>
        </w:rPr>
        <w:t>披露要求上，仍然坚持合规性和有效性</w:t>
      </w:r>
      <w:r>
        <w:rPr>
          <w:rFonts w:ascii="仿宋_GB2312" w:eastAsia="仿宋_GB2312" w:hAnsi="宋体" w:hint="eastAsia"/>
          <w:sz w:val="30"/>
          <w:szCs w:val="30"/>
        </w:rPr>
        <w:lastRenderedPageBreak/>
        <w:t>并重、全面性和简明性并重、强制性和自愿性并重的基本理念；同时，注意平衡信息披露充分性和重要性的尺度，避免过度增加上市公司信息披露成本。披露内容上，立足投资者需求，紧密围绕反映公司价值与风险的核心要素，在行业宏观影响、客户市场发展、关键资源现状、盈利战略规划、关键流程执行等“五个维度”，重点强化了上市公司非财务信息的披露要求。在此基础上，按照经济高质量发展要求，着重强化了</w:t>
      </w:r>
      <w:r>
        <w:rPr>
          <w:rFonts w:ascii="仿宋_GB2312" w:eastAsia="仿宋_GB2312" w:hAnsi="宋体"/>
          <w:sz w:val="30"/>
          <w:szCs w:val="30"/>
        </w:rPr>
        <w:t>3</w:t>
      </w:r>
      <w:r>
        <w:rPr>
          <w:rFonts w:ascii="仿宋_GB2312" w:eastAsia="仿宋_GB2312" w:hAnsi="宋体" w:hint="eastAsia"/>
          <w:sz w:val="30"/>
          <w:szCs w:val="30"/>
        </w:rPr>
        <w:t>个方面的行业披露内容。</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C739EA">
        <w:rPr>
          <w:rFonts w:ascii="仿宋_GB2312" w:eastAsia="仿宋_GB2312" w:hAnsi="宋体" w:hint="eastAsia"/>
          <w:sz w:val="30"/>
          <w:szCs w:val="30"/>
        </w:rPr>
        <w:t>一是强化上市公司研发创新披露要求。创新</w:t>
      </w:r>
      <w:r>
        <w:rPr>
          <w:rFonts w:ascii="仿宋_GB2312" w:eastAsia="仿宋_GB2312" w:hAnsi="宋体" w:hint="eastAsia"/>
          <w:sz w:val="30"/>
          <w:szCs w:val="30"/>
        </w:rPr>
        <w:t>力是经济发展的根本源动力，企业的研发强度和创新能力更是提升自身核心竞争力的关键要素之一。为此，本次指引制订着重强化了反映上市公司技术水平和研发能力的信息披露要求。例如，集成电路、医疗器械等高技术行业指引明确要求公司披露专利信息、主要研发投向、研发团队构成及技术储备情况，黄金珠宝饰品、家具制造等消费类行业指引亦要求上市公司披露研发设计相关情况。</w:t>
      </w:r>
    </w:p>
    <w:p w:rsidR="009B0614" w:rsidRPr="00C739EA"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C739EA">
        <w:rPr>
          <w:rFonts w:ascii="仿宋_GB2312" w:eastAsia="仿宋_GB2312" w:hAnsi="宋体" w:hint="eastAsia"/>
          <w:sz w:val="30"/>
          <w:szCs w:val="30"/>
        </w:rPr>
        <w:t>二是强化上市公司社会责任披露要求。</w:t>
      </w:r>
      <w:r>
        <w:rPr>
          <w:rFonts w:ascii="仿宋_GB2312" w:eastAsia="仿宋_GB2312" w:hAnsi="宋体" w:hint="eastAsia"/>
          <w:sz w:val="30"/>
          <w:szCs w:val="30"/>
        </w:rPr>
        <w:t>本次行业指引制订中，特别注重通过信息披露引导上市公司更好承担社会责任，强化了上市公司履行社会责任和保护生态环境方面的信息披露要求。例如，食品制造行业指引要求公司披露</w:t>
      </w:r>
      <w:r>
        <w:rPr>
          <w:rFonts w:ascii="仿宋_GB2312" w:eastAsia="仿宋_GB2312" w:hAnsi="宋体"/>
          <w:sz w:val="30"/>
          <w:szCs w:val="30"/>
        </w:rPr>
        <w:t>食品安全</w:t>
      </w:r>
      <w:r>
        <w:rPr>
          <w:rFonts w:ascii="仿宋_GB2312" w:eastAsia="仿宋_GB2312" w:hAnsi="宋体" w:hint="eastAsia"/>
          <w:sz w:val="30"/>
          <w:szCs w:val="30"/>
        </w:rPr>
        <w:t>管理制度建设情况、相关资金投入及使用、重大食品安全事件影响等，有色金属行业指引要求公司披露主要节能环保投入以及为保持水土、复垦绿化、尾气处理、降低耗能等采取的制度建设与主要措施。</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C739EA">
        <w:rPr>
          <w:rFonts w:ascii="仿宋_GB2312" w:eastAsia="仿宋_GB2312" w:hAnsi="宋体" w:hint="eastAsia"/>
          <w:sz w:val="30"/>
          <w:szCs w:val="30"/>
        </w:rPr>
        <w:t>三是强化行业风险因素的披露和分析。上市公司风险</w:t>
      </w:r>
      <w:r>
        <w:rPr>
          <w:rFonts w:ascii="仿宋_GB2312" w:eastAsia="仿宋_GB2312" w:hAnsi="宋体" w:hint="eastAsia"/>
          <w:sz w:val="30"/>
          <w:szCs w:val="30"/>
        </w:rPr>
        <w:t>因素披露一直是投资者十分关心的信息披露内容。公司结合自身经营模式特点，对可能出现的风险因素进行具体、充分地分析，可以帮</w:t>
      </w:r>
      <w:r>
        <w:rPr>
          <w:rFonts w:ascii="仿宋_GB2312" w:eastAsia="仿宋_GB2312" w:hAnsi="宋体" w:hint="eastAsia"/>
          <w:sz w:val="30"/>
          <w:szCs w:val="30"/>
        </w:rPr>
        <w:lastRenderedPageBreak/>
        <w:t>助投资者客观判断，理性投资，有益于证券市场的稳定运行。但实践中，一些上市公司在披露风险因素时或浮于表面，或轻描淡写，或避重就轻，“报喜不报忧”的问题比较突出。为此，本次行业指引要求上市公司结合行业特点和自身经营模式，有针对性地披露可能对公司未来发展战略和经营目标的实现产生不利影响的风险因素，并进行实质分析，明确风险信息披露应当充分、准确、具体。上市公司经营模式或市场环境发生重大变化的，还应当对新增风险因素及其产生原因、影响和应对措施等进行分析。</w:t>
      </w:r>
    </w:p>
    <w:p w:rsidR="009B0614" w:rsidRDefault="009B0614" w:rsidP="009B0614">
      <w:pPr>
        <w:autoSpaceDE w:val="0"/>
        <w:autoSpaceDN w:val="0"/>
        <w:adjustRightInd w:val="0"/>
        <w:spacing w:line="560" w:lineRule="exact"/>
        <w:ind w:firstLineChars="200" w:firstLine="602"/>
        <w:rPr>
          <w:rFonts w:ascii="黑体" w:eastAsia="黑体" w:hAnsi="黑体"/>
          <w:b/>
          <w:sz w:val="30"/>
          <w:szCs w:val="30"/>
        </w:rPr>
      </w:pPr>
      <w:r w:rsidRPr="00274F4B">
        <w:rPr>
          <w:rFonts w:ascii="黑体" w:eastAsia="黑体" w:hAnsi="黑体" w:hint="eastAsia"/>
          <w:b/>
          <w:sz w:val="30"/>
          <w:szCs w:val="30"/>
        </w:rPr>
        <w:t>三、指引主要内容</w:t>
      </w:r>
    </w:p>
    <w:p w:rsidR="009B0614" w:rsidRDefault="009B0614" w:rsidP="009B0614">
      <w:pPr>
        <w:autoSpaceDE w:val="0"/>
        <w:autoSpaceDN w:val="0"/>
        <w:adjustRightInd w:val="0"/>
        <w:spacing w:line="560" w:lineRule="exact"/>
        <w:ind w:firstLineChars="200" w:firstLine="602"/>
        <w:rPr>
          <w:rFonts w:ascii="仿宋_GB2312" w:eastAsia="仿宋_GB2312" w:hAnsi="宋体"/>
          <w:b/>
          <w:sz w:val="30"/>
          <w:szCs w:val="30"/>
        </w:rPr>
      </w:pPr>
      <w:r w:rsidRPr="00514A64">
        <w:rPr>
          <w:rFonts w:ascii="仿宋_GB2312" w:eastAsia="仿宋_GB2312" w:hAnsi="宋体" w:hint="eastAsia"/>
          <w:b/>
          <w:sz w:val="30"/>
          <w:szCs w:val="30"/>
        </w:rPr>
        <w:t>（一）集成电路行业</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983515">
        <w:rPr>
          <w:rFonts w:ascii="仿宋_GB2312" w:eastAsia="仿宋_GB2312" w:hAnsi="宋体" w:hint="eastAsia"/>
          <w:sz w:val="30"/>
          <w:szCs w:val="30"/>
        </w:rPr>
        <w:t>集成电路行业是现代信息技术产业的基础和核心，是支撑国民经济和社会发展的战略性、基础性和先导性产业。近年来，随着国家政策、资金扶持不断加码，集成电路行业公司成为市场热点，但对于如何披露公司具体经营模式、关键技术指标，缺乏统一的标准。为此，指引区分细分产业链环节，要求公司结合自身经营模式和产品应用领域，细化披露工艺状况、技术发展、战略规划、产销量变化等关键行业经营性信息，反映公司行业经营特点和核心竞争力。同时，考虑到目前集成电路公司的发展阶段，指引要求公司提示发展过程中在技术研发、市场波动等方面存在的不确定性，</w:t>
      </w:r>
      <w:r>
        <w:rPr>
          <w:rFonts w:ascii="仿宋_GB2312" w:eastAsia="仿宋_GB2312" w:hAnsi="宋体" w:hint="eastAsia"/>
          <w:sz w:val="30"/>
          <w:szCs w:val="30"/>
        </w:rPr>
        <w:t>帮助</w:t>
      </w:r>
      <w:r w:rsidRPr="00983515">
        <w:rPr>
          <w:rFonts w:ascii="仿宋_GB2312" w:eastAsia="仿宋_GB2312" w:hAnsi="宋体" w:hint="eastAsia"/>
          <w:sz w:val="30"/>
          <w:szCs w:val="30"/>
        </w:rPr>
        <w:t>投资者全面判断公司发展趋势和风险。</w:t>
      </w:r>
    </w:p>
    <w:p w:rsidR="009B0614" w:rsidRDefault="009B0614" w:rsidP="009B0614">
      <w:pPr>
        <w:autoSpaceDE w:val="0"/>
        <w:autoSpaceDN w:val="0"/>
        <w:adjustRightInd w:val="0"/>
        <w:spacing w:line="560" w:lineRule="exact"/>
        <w:ind w:firstLineChars="200" w:firstLine="602"/>
        <w:rPr>
          <w:rFonts w:ascii="仿宋_GB2312" w:eastAsia="仿宋_GB2312" w:hAnsi="宋体"/>
          <w:b/>
          <w:sz w:val="30"/>
          <w:szCs w:val="30"/>
        </w:rPr>
      </w:pPr>
      <w:r w:rsidRPr="00514A64">
        <w:rPr>
          <w:rFonts w:ascii="仿宋_GB2312" w:eastAsia="仿宋_GB2312" w:hAnsi="宋体" w:hint="eastAsia"/>
          <w:b/>
          <w:sz w:val="30"/>
          <w:szCs w:val="30"/>
        </w:rPr>
        <w:t>（二）航空</w:t>
      </w:r>
      <w:r w:rsidRPr="00514A64">
        <w:rPr>
          <w:rFonts w:ascii="仿宋_GB2312" w:eastAsia="仿宋_GB2312" w:hAnsi="宋体"/>
          <w:b/>
          <w:sz w:val="30"/>
          <w:szCs w:val="30"/>
        </w:rPr>
        <w:t>、</w:t>
      </w:r>
      <w:r w:rsidRPr="00514A64">
        <w:rPr>
          <w:rFonts w:ascii="仿宋_GB2312" w:eastAsia="仿宋_GB2312" w:hAnsi="宋体" w:hint="eastAsia"/>
          <w:b/>
          <w:sz w:val="30"/>
          <w:szCs w:val="30"/>
        </w:rPr>
        <w:t>船舶</w:t>
      </w:r>
      <w:r w:rsidRPr="00514A64">
        <w:rPr>
          <w:rFonts w:ascii="仿宋_GB2312" w:eastAsia="仿宋_GB2312" w:hAnsi="宋体"/>
          <w:b/>
          <w:sz w:val="30"/>
          <w:szCs w:val="30"/>
        </w:rPr>
        <w:t>、铁路运输设备制造业</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274F4B">
        <w:rPr>
          <w:rFonts w:ascii="仿宋_GB2312" w:eastAsia="仿宋_GB2312" w:hAnsi="宋体" w:hint="eastAsia"/>
          <w:sz w:val="30"/>
          <w:szCs w:val="30"/>
        </w:rPr>
        <w:t>航空</w:t>
      </w:r>
      <w:r w:rsidRPr="00274F4B">
        <w:rPr>
          <w:rFonts w:ascii="仿宋_GB2312" w:eastAsia="仿宋_GB2312" w:hAnsi="宋体"/>
          <w:sz w:val="30"/>
          <w:szCs w:val="30"/>
        </w:rPr>
        <w:t>、</w:t>
      </w:r>
      <w:r w:rsidRPr="00274F4B">
        <w:rPr>
          <w:rFonts w:ascii="仿宋_GB2312" w:eastAsia="仿宋_GB2312" w:hAnsi="宋体" w:hint="eastAsia"/>
          <w:sz w:val="30"/>
          <w:szCs w:val="30"/>
        </w:rPr>
        <w:t>船舶</w:t>
      </w:r>
      <w:r w:rsidRPr="00274F4B">
        <w:rPr>
          <w:rFonts w:ascii="仿宋_GB2312" w:eastAsia="仿宋_GB2312" w:hAnsi="宋体"/>
          <w:sz w:val="30"/>
          <w:szCs w:val="30"/>
        </w:rPr>
        <w:t>、铁路运输设备制造业</w:t>
      </w:r>
      <w:r w:rsidRPr="00274F4B">
        <w:rPr>
          <w:rFonts w:ascii="仿宋_GB2312" w:eastAsia="仿宋_GB2312" w:hAnsi="宋体" w:hint="eastAsia"/>
          <w:sz w:val="30"/>
          <w:szCs w:val="30"/>
        </w:rPr>
        <w:t>是典型</w:t>
      </w:r>
      <w:r w:rsidRPr="00274F4B">
        <w:rPr>
          <w:rFonts w:ascii="仿宋_GB2312" w:eastAsia="仿宋_GB2312" w:hAnsi="宋体"/>
          <w:sz w:val="30"/>
          <w:szCs w:val="30"/>
        </w:rPr>
        <w:t>的高端装备制造</w:t>
      </w:r>
      <w:r w:rsidRPr="00274F4B">
        <w:rPr>
          <w:rFonts w:ascii="仿宋_GB2312" w:eastAsia="仿宋_GB2312" w:hAnsi="宋体" w:hint="eastAsia"/>
          <w:sz w:val="30"/>
          <w:szCs w:val="30"/>
        </w:rPr>
        <w:t>业</w:t>
      </w:r>
      <w:r w:rsidRPr="00274F4B">
        <w:rPr>
          <w:rFonts w:ascii="仿宋_GB2312" w:eastAsia="仿宋_GB2312" w:hAnsi="宋体"/>
          <w:sz w:val="30"/>
          <w:szCs w:val="30"/>
        </w:rPr>
        <w:t>，在《中国制造</w:t>
      </w:r>
      <w:r w:rsidRPr="00274F4B">
        <w:rPr>
          <w:rFonts w:ascii="仿宋_GB2312" w:eastAsia="仿宋_GB2312" w:hAnsi="宋体" w:hint="eastAsia"/>
          <w:sz w:val="30"/>
          <w:szCs w:val="30"/>
        </w:rPr>
        <w:t>2025》</w:t>
      </w:r>
      <w:r w:rsidRPr="00274F4B">
        <w:rPr>
          <w:rFonts w:ascii="仿宋_GB2312" w:eastAsia="仿宋_GB2312" w:hAnsi="宋体"/>
          <w:sz w:val="30"/>
          <w:szCs w:val="30"/>
        </w:rPr>
        <w:t>中</w:t>
      </w:r>
      <w:r w:rsidRPr="00274F4B">
        <w:rPr>
          <w:rFonts w:ascii="仿宋_GB2312" w:eastAsia="仿宋_GB2312" w:hAnsi="宋体" w:hint="eastAsia"/>
          <w:sz w:val="30"/>
          <w:szCs w:val="30"/>
        </w:rPr>
        <w:t>被</w:t>
      </w:r>
      <w:r w:rsidRPr="00274F4B">
        <w:rPr>
          <w:rFonts w:ascii="仿宋_GB2312" w:eastAsia="仿宋_GB2312" w:hAnsi="宋体"/>
          <w:sz w:val="30"/>
          <w:szCs w:val="30"/>
        </w:rPr>
        <w:t>列为重点领域。</w:t>
      </w:r>
      <w:r w:rsidRPr="00274F4B">
        <w:rPr>
          <w:rFonts w:ascii="仿宋_GB2312" w:eastAsia="仿宋_GB2312" w:hAnsi="宋体" w:hint="eastAsia"/>
          <w:sz w:val="30"/>
          <w:szCs w:val="30"/>
        </w:rPr>
        <w:t>行业</w:t>
      </w:r>
      <w:r>
        <w:rPr>
          <w:rFonts w:ascii="仿宋_GB2312" w:eastAsia="仿宋_GB2312" w:hAnsi="宋体" w:hint="eastAsia"/>
          <w:sz w:val="30"/>
          <w:szCs w:val="30"/>
        </w:rPr>
        <w:t>公司</w:t>
      </w:r>
      <w:r w:rsidRPr="00274F4B">
        <w:rPr>
          <w:rFonts w:ascii="仿宋_GB2312" w:eastAsia="仿宋_GB2312" w:hAnsi="宋体" w:hint="eastAsia"/>
          <w:sz w:val="30"/>
          <w:szCs w:val="30"/>
        </w:rPr>
        <w:t>技术含量普遍较高，</w:t>
      </w:r>
      <w:r w:rsidRPr="00274F4B">
        <w:rPr>
          <w:rFonts w:ascii="仿宋_GB2312" w:eastAsia="仿宋_GB2312" w:hAnsi="宋体"/>
          <w:sz w:val="30"/>
          <w:szCs w:val="30"/>
        </w:rPr>
        <w:t>且其客户</w:t>
      </w:r>
      <w:r w:rsidRPr="00274F4B">
        <w:rPr>
          <w:rFonts w:ascii="仿宋_GB2312" w:eastAsia="仿宋_GB2312" w:hAnsi="宋体" w:hint="eastAsia"/>
          <w:sz w:val="30"/>
          <w:szCs w:val="30"/>
        </w:rPr>
        <w:t>往往</w:t>
      </w:r>
      <w:r w:rsidRPr="00274F4B">
        <w:rPr>
          <w:rFonts w:ascii="仿宋_GB2312" w:eastAsia="仿宋_GB2312" w:hAnsi="宋体"/>
          <w:sz w:val="30"/>
          <w:szCs w:val="30"/>
        </w:rPr>
        <w:t>是大型企业或政府</w:t>
      </w:r>
      <w:r w:rsidRPr="00274F4B">
        <w:rPr>
          <w:rFonts w:ascii="仿宋_GB2312" w:eastAsia="仿宋_GB2312" w:hAnsi="宋体" w:hint="eastAsia"/>
          <w:sz w:val="30"/>
          <w:szCs w:val="30"/>
        </w:rPr>
        <w:t>机构</w:t>
      </w:r>
      <w:r w:rsidRPr="00274F4B">
        <w:rPr>
          <w:rFonts w:ascii="仿宋_GB2312" w:eastAsia="仿宋_GB2312" w:hAnsi="宋体"/>
          <w:sz w:val="30"/>
          <w:szCs w:val="30"/>
        </w:rPr>
        <w:t>，</w:t>
      </w:r>
      <w:r w:rsidRPr="00274F4B">
        <w:rPr>
          <w:rFonts w:ascii="仿宋_GB2312" w:eastAsia="仿宋_GB2312" w:hAnsi="宋体" w:hint="eastAsia"/>
          <w:sz w:val="30"/>
          <w:szCs w:val="30"/>
        </w:rPr>
        <w:t>并不直接</w:t>
      </w:r>
      <w:r w:rsidRPr="00274F4B">
        <w:rPr>
          <w:rFonts w:ascii="仿宋_GB2312" w:eastAsia="仿宋_GB2312" w:hAnsi="宋体"/>
          <w:sz w:val="30"/>
          <w:szCs w:val="30"/>
        </w:rPr>
        <w:t>面向终端</w:t>
      </w:r>
      <w:r w:rsidRPr="00274F4B">
        <w:rPr>
          <w:rFonts w:ascii="仿宋_GB2312" w:eastAsia="仿宋_GB2312" w:hAnsi="宋体"/>
          <w:sz w:val="30"/>
          <w:szCs w:val="30"/>
        </w:rPr>
        <w:lastRenderedPageBreak/>
        <w:t>消费者，</w:t>
      </w:r>
      <w:r w:rsidRPr="00274F4B">
        <w:rPr>
          <w:rFonts w:ascii="仿宋_GB2312" w:eastAsia="仿宋_GB2312" w:hAnsi="宋体" w:hint="eastAsia"/>
          <w:sz w:val="30"/>
          <w:szCs w:val="30"/>
        </w:rPr>
        <w:t>因此投资者</w:t>
      </w:r>
      <w:r w:rsidRPr="00274F4B">
        <w:rPr>
          <w:rFonts w:ascii="仿宋_GB2312" w:eastAsia="仿宋_GB2312" w:hAnsi="宋体"/>
          <w:sz w:val="30"/>
          <w:szCs w:val="30"/>
        </w:rPr>
        <w:t>在</w:t>
      </w:r>
      <w:r w:rsidRPr="00274F4B">
        <w:rPr>
          <w:rFonts w:ascii="仿宋_GB2312" w:eastAsia="仿宋_GB2312" w:hAnsi="宋体" w:hint="eastAsia"/>
          <w:sz w:val="30"/>
          <w:szCs w:val="30"/>
        </w:rPr>
        <w:t>信息</w:t>
      </w:r>
      <w:r w:rsidRPr="00274F4B">
        <w:rPr>
          <w:rFonts w:ascii="仿宋_GB2312" w:eastAsia="仿宋_GB2312" w:hAnsi="宋体"/>
          <w:sz w:val="30"/>
          <w:szCs w:val="30"/>
        </w:rPr>
        <w:t>获取与研究</w:t>
      </w:r>
      <w:r>
        <w:rPr>
          <w:rFonts w:ascii="仿宋_GB2312" w:eastAsia="仿宋_GB2312" w:hAnsi="宋体"/>
          <w:sz w:val="30"/>
          <w:szCs w:val="30"/>
        </w:rPr>
        <w:t>分析</w:t>
      </w:r>
      <w:r w:rsidRPr="00274F4B">
        <w:rPr>
          <w:rFonts w:ascii="仿宋_GB2312" w:eastAsia="仿宋_GB2312" w:hAnsi="宋体"/>
          <w:sz w:val="30"/>
          <w:szCs w:val="30"/>
        </w:rPr>
        <w:t>中</w:t>
      </w:r>
      <w:r w:rsidRPr="00274F4B">
        <w:rPr>
          <w:rFonts w:ascii="仿宋_GB2312" w:eastAsia="仿宋_GB2312" w:hAnsi="宋体" w:hint="eastAsia"/>
          <w:sz w:val="30"/>
          <w:szCs w:val="30"/>
        </w:rPr>
        <w:t>往往</w:t>
      </w:r>
      <w:r w:rsidRPr="00274F4B">
        <w:rPr>
          <w:rFonts w:ascii="仿宋_GB2312" w:eastAsia="仿宋_GB2312" w:hAnsi="宋体"/>
          <w:sz w:val="30"/>
          <w:szCs w:val="30"/>
        </w:rPr>
        <w:t>存在困难。</w:t>
      </w:r>
      <w:r w:rsidRPr="00274F4B">
        <w:rPr>
          <w:rFonts w:ascii="仿宋_GB2312" w:eastAsia="仿宋_GB2312" w:hAnsi="宋体" w:hint="eastAsia"/>
          <w:sz w:val="30"/>
          <w:szCs w:val="30"/>
        </w:rPr>
        <w:t>鉴此，指引</w:t>
      </w:r>
      <w:r w:rsidRPr="00274F4B">
        <w:rPr>
          <w:rFonts w:ascii="仿宋_GB2312" w:eastAsia="仿宋_GB2312" w:hAnsi="宋体"/>
          <w:sz w:val="30"/>
          <w:szCs w:val="30"/>
        </w:rPr>
        <w:t>在</w:t>
      </w:r>
      <w:r w:rsidRPr="00274F4B">
        <w:rPr>
          <w:rFonts w:ascii="仿宋_GB2312" w:eastAsia="仿宋_GB2312" w:hAnsi="宋体" w:hint="eastAsia"/>
          <w:sz w:val="30"/>
          <w:szCs w:val="30"/>
        </w:rPr>
        <w:t>行业信息</w:t>
      </w:r>
      <w:r w:rsidRPr="00274F4B">
        <w:rPr>
          <w:rFonts w:ascii="仿宋_GB2312" w:eastAsia="仿宋_GB2312" w:hAnsi="宋体"/>
          <w:sz w:val="30"/>
          <w:szCs w:val="30"/>
        </w:rPr>
        <w:t>与公司经营</w:t>
      </w:r>
      <w:r>
        <w:rPr>
          <w:rFonts w:ascii="仿宋_GB2312" w:eastAsia="仿宋_GB2312" w:hAnsi="宋体"/>
          <w:sz w:val="30"/>
          <w:szCs w:val="30"/>
        </w:rPr>
        <w:t>信息</w:t>
      </w:r>
      <w:r w:rsidRPr="00274F4B">
        <w:rPr>
          <w:rFonts w:ascii="仿宋_GB2312" w:eastAsia="仿宋_GB2312" w:hAnsi="宋体"/>
          <w:sz w:val="30"/>
          <w:szCs w:val="30"/>
        </w:rPr>
        <w:t>方面</w:t>
      </w:r>
      <w:r>
        <w:rPr>
          <w:rFonts w:ascii="仿宋_GB2312" w:eastAsia="仿宋_GB2312" w:hAnsi="宋体"/>
          <w:sz w:val="30"/>
          <w:szCs w:val="30"/>
        </w:rPr>
        <w:t>细化了</w:t>
      </w:r>
      <w:r w:rsidRPr="00274F4B">
        <w:rPr>
          <w:rFonts w:ascii="仿宋_GB2312" w:eastAsia="仿宋_GB2312" w:hAnsi="宋体" w:hint="eastAsia"/>
          <w:sz w:val="30"/>
          <w:szCs w:val="30"/>
        </w:rPr>
        <w:t>披露</w:t>
      </w:r>
      <w:r w:rsidRPr="00274F4B">
        <w:rPr>
          <w:rFonts w:ascii="仿宋_GB2312" w:eastAsia="仿宋_GB2312" w:hAnsi="宋体"/>
          <w:sz w:val="30"/>
          <w:szCs w:val="30"/>
        </w:rPr>
        <w:t>要求</w:t>
      </w:r>
      <w:r w:rsidRPr="00274F4B">
        <w:rPr>
          <w:rFonts w:ascii="仿宋_GB2312" w:eastAsia="仿宋_GB2312" w:hAnsi="宋体" w:hint="eastAsia"/>
          <w:sz w:val="30"/>
          <w:szCs w:val="30"/>
        </w:rPr>
        <w:t>。首先，</w:t>
      </w:r>
      <w:r w:rsidRPr="00274F4B">
        <w:rPr>
          <w:rFonts w:ascii="仿宋_GB2312" w:eastAsia="仿宋_GB2312" w:hAnsi="宋体"/>
          <w:sz w:val="30"/>
          <w:szCs w:val="30"/>
        </w:rPr>
        <w:t>指引要求公司</w:t>
      </w:r>
      <w:r w:rsidRPr="00274F4B">
        <w:rPr>
          <w:rFonts w:ascii="仿宋_GB2312" w:eastAsia="仿宋_GB2312" w:hAnsi="宋体" w:hint="eastAsia"/>
          <w:sz w:val="30"/>
          <w:szCs w:val="30"/>
        </w:rPr>
        <w:t>结合</w:t>
      </w:r>
      <w:r w:rsidRPr="00274F4B">
        <w:rPr>
          <w:rFonts w:ascii="仿宋_GB2312" w:eastAsia="仿宋_GB2312" w:hAnsi="宋体"/>
          <w:sz w:val="30"/>
          <w:szCs w:val="30"/>
        </w:rPr>
        <w:t>外部因素与自身经营状况，从经营模式、</w:t>
      </w:r>
      <w:r w:rsidRPr="00274F4B">
        <w:rPr>
          <w:rFonts w:ascii="仿宋_GB2312" w:eastAsia="仿宋_GB2312" w:hAnsi="宋体" w:hint="eastAsia"/>
          <w:sz w:val="30"/>
          <w:szCs w:val="30"/>
        </w:rPr>
        <w:t>潜在</w:t>
      </w:r>
      <w:r w:rsidRPr="00274F4B">
        <w:rPr>
          <w:rFonts w:ascii="仿宋_GB2312" w:eastAsia="仿宋_GB2312" w:hAnsi="宋体"/>
          <w:sz w:val="30"/>
          <w:szCs w:val="30"/>
        </w:rPr>
        <w:t>风险</w:t>
      </w:r>
      <w:r w:rsidRPr="00274F4B">
        <w:rPr>
          <w:rFonts w:ascii="仿宋_GB2312" w:eastAsia="仿宋_GB2312" w:hAnsi="宋体" w:hint="eastAsia"/>
          <w:sz w:val="30"/>
          <w:szCs w:val="30"/>
        </w:rPr>
        <w:t>、技术</w:t>
      </w:r>
      <w:r w:rsidRPr="00274F4B">
        <w:rPr>
          <w:rFonts w:ascii="仿宋_GB2312" w:eastAsia="仿宋_GB2312" w:hAnsi="宋体"/>
          <w:sz w:val="30"/>
          <w:szCs w:val="30"/>
        </w:rPr>
        <w:t>研发、</w:t>
      </w:r>
      <w:r w:rsidRPr="00274F4B">
        <w:rPr>
          <w:rFonts w:ascii="仿宋_GB2312" w:eastAsia="仿宋_GB2312" w:hAnsi="宋体" w:hint="eastAsia"/>
          <w:sz w:val="30"/>
          <w:szCs w:val="30"/>
        </w:rPr>
        <w:t>产品生产、</w:t>
      </w:r>
      <w:r w:rsidRPr="00274F4B">
        <w:rPr>
          <w:rFonts w:ascii="仿宋_GB2312" w:eastAsia="仿宋_GB2312" w:hAnsi="宋体"/>
          <w:sz w:val="30"/>
          <w:szCs w:val="30"/>
        </w:rPr>
        <w:t>供需结构</w:t>
      </w:r>
      <w:r w:rsidRPr="00274F4B">
        <w:rPr>
          <w:rFonts w:ascii="仿宋_GB2312" w:eastAsia="仿宋_GB2312" w:hAnsi="宋体" w:hint="eastAsia"/>
          <w:sz w:val="30"/>
          <w:szCs w:val="30"/>
        </w:rPr>
        <w:t>等</w:t>
      </w:r>
      <w:r w:rsidRPr="00274F4B">
        <w:rPr>
          <w:rFonts w:ascii="仿宋_GB2312" w:eastAsia="仿宋_GB2312" w:hAnsi="宋体"/>
          <w:sz w:val="30"/>
          <w:szCs w:val="30"/>
        </w:rPr>
        <w:t>维度进行</w:t>
      </w:r>
      <w:r>
        <w:rPr>
          <w:rFonts w:ascii="仿宋_GB2312" w:eastAsia="仿宋_GB2312" w:hAnsi="宋体" w:hint="eastAsia"/>
          <w:sz w:val="30"/>
          <w:szCs w:val="30"/>
        </w:rPr>
        <w:t>具体</w:t>
      </w:r>
      <w:r w:rsidRPr="00274F4B">
        <w:rPr>
          <w:rFonts w:ascii="仿宋_GB2312" w:eastAsia="仿宋_GB2312" w:hAnsi="宋体"/>
          <w:sz w:val="30"/>
          <w:szCs w:val="30"/>
        </w:rPr>
        <w:t>披露</w:t>
      </w:r>
      <w:r w:rsidRPr="00274F4B">
        <w:rPr>
          <w:rFonts w:ascii="仿宋_GB2312" w:eastAsia="仿宋_GB2312" w:hAnsi="宋体" w:hint="eastAsia"/>
          <w:sz w:val="30"/>
          <w:szCs w:val="30"/>
        </w:rPr>
        <w:t>。同时</w:t>
      </w:r>
      <w:r w:rsidRPr="00274F4B">
        <w:rPr>
          <w:rFonts w:ascii="仿宋_GB2312" w:eastAsia="仿宋_GB2312" w:hAnsi="宋体"/>
          <w:sz w:val="30"/>
          <w:szCs w:val="30"/>
        </w:rPr>
        <w:t>，针对投资者</w:t>
      </w:r>
      <w:r>
        <w:rPr>
          <w:rFonts w:ascii="仿宋_GB2312" w:eastAsia="仿宋_GB2312" w:hAnsi="宋体" w:hint="eastAsia"/>
          <w:sz w:val="30"/>
          <w:szCs w:val="30"/>
        </w:rPr>
        <w:t>普遍</w:t>
      </w:r>
      <w:r>
        <w:rPr>
          <w:rFonts w:ascii="仿宋_GB2312" w:eastAsia="仿宋_GB2312" w:hAnsi="宋体"/>
          <w:sz w:val="30"/>
          <w:szCs w:val="30"/>
        </w:rPr>
        <w:t>关注</w:t>
      </w:r>
      <w:r w:rsidRPr="00274F4B">
        <w:rPr>
          <w:rFonts w:ascii="仿宋_GB2312" w:eastAsia="仿宋_GB2312" w:hAnsi="宋体"/>
          <w:sz w:val="30"/>
          <w:szCs w:val="30"/>
        </w:rPr>
        <w:t>的</w:t>
      </w:r>
      <w:r w:rsidRPr="00274F4B">
        <w:rPr>
          <w:rFonts w:ascii="仿宋_GB2312" w:eastAsia="仿宋_GB2312" w:hAnsi="宋体" w:hint="eastAsia"/>
          <w:sz w:val="30"/>
          <w:szCs w:val="30"/>
        </w:rPr>
        <w:t>修理改装</w:t>
      </w:r>
      <w:r w:rsidRPr="00274F4B">
        <w:rPr>
          <w:rFonts w:ascii="仿宋_GB2312" w:eastAsia="仿宋_GB2312" w:hAnsi="宋体"/>
          <w:sz w:val="30"/>
          <w:szCs w:val="30"/>
        </w:rPr>
        <w:t>、海外</w:t>
      </w:r>
      <w:r w:rsidRPr="00274F4B">
        <w:rPr>
          <w:rFonts w:ascii="仿宋_GB2312" w:eastAsia="仿宋_GB2312" w:hAnsi="宋体" w:hint="eastAsia"/>
          <w:sz w:val="30"/>
          <w:szCs w:val="30"/>
        </w:rPr>
        <w:t>业务</w:t>
      </w:r>
      <w:r w:rsidRPr="00274F4B">
        <w:rPr>
          <w:rFonts w:ascii="仿宋_GB2312" w:eastAsia="仿宋_GB2312" w:hAnsi="宋体"/>
          <w:sz w:val="30"/>
          <w:szCs w:val="30"/>
        </w:rPr>
        <w:t>等</w:t>
      </w:r>
      <w:r w:rsidRPr="00274F4B">
        <w:rPr>
          <w:rFonts w:ascii="仿宋_GB2312" w:eastAsia="仿宋_GB2312" w:hAnsi="宋体" w:hint="eastAsia"/>
          <w:sz w:val="30"/>
          <w:szCs w:val="30"/>
        </w:rPr>
        <w:t>具备</w:t>
      </w:r>
      <w:r w:rsidRPr="00274F4B">
        <w:rPr>
          <w:rFonts w:ascii="仿宋_GB2312" w:eastAsia="仿宋_GB2312" w:hAnsi="宋体"/>
          <w:sz w:val="30"/>
          <w:szCs w:val="30"/>
        </w:rPr>
        <w:t>增长潜力的业务领域，</w:t>
      </w:r>
      <w:r w:rsidRPr="00274F4B">
        <w:rPr>
          <w:rFonts w:ascii="仿宋_GB2312" w:eastAsia="仿宋_GB2312" w:hAnsi="宋体" w:hint="eastAsia"/>
          <w:sz w:val="30"/>
          <w:szCs w:val="30"/>
        </w:rPr>
        <w:t>指引制定了专项</w:t>
      </w:r>
      <w:r w:rsidRPr="00274F4B">
        <w:rPr>
          <w:rFonts w:ascii="仿宋_GB2312" w:eastAsia="仿宋_GB2312" w:hAnsi="宋体"/>
          <w:sz w:val="30"/>
          <w:szCs w:val="30"/>
        </w:rPr>
        <w:t>的披露要求</w:t>
      </w:r>
      <w:r w:rsidRPr="00274F4B">
        <w:rPr>
          <w:rFonts w:ascii="仿宋_GB2312" w:eastAsia="仿宋_GB2312" w:hAnsi="宋体" w:hint="eastAsia"/>
          <w:sz w:val="30"/>
          <w:szCs w:val="30"/>
        </w:rPr>
        <w:t>。</w:t>
      </w:r>
      <w:r w:rsidRPr="00274F4B">
        <w:rPr>
          <w:rFonts w:ascii="仿宋_GB2312" w:eastAsia="仿宋_GB2312" w:hAnsi="宋体"/>
          <w:sz w:val="30"/>
          <w:szCs w:val="30"/>
        </w:rPr>
        <w:t>此外，</w:t>
      </w:r>
      <w:r w:rsidRPr="00274F4B">
        <w:rPr>
          <w:rFonts w:ascii="仿宋_GB2312" w:eastAsia="仿宋_GB2312" w:hAnsi="宋体" w:hint="eastAsia"/>
          <w:sz w:val="30"/>
          <w:szCs w:val="30"/>
        </w:rPr>
        <w:t>考虑</w:t>
      </w:r>
      <w:r w:rsidRPr="00274F4B">
        <w:rPr>
          <w:rFonts w:ascii="仿宋_GB2312" w:eastAsia="仿宋_GB2312" w:hAnsi="宋体"/>
          <w:sz w:val="30"/>
          <w:szCs w:val="30"/>
        </w:rPr>
        <w:t>到</w:t>
      </w:r>
      <w:r w:rsidRPr="00274F4B">
        <w:rPr>
          <w:rFonts w:ascii="仿宋_GB2312" w:eastAsia="仿宋_GB2312" w:hAnsi="宋体" w:hint="eastAsia"/>
          <w:sz w:val="30"/>
          <w:szCs w:val="30"/>
        </w:rPr>
        <w:t>航空</w:t>
      </w:r>
      <w:r w:rsidRPr="00274F4B">
        <w:rPr>
          <w:rFonts w:ascii="仿宋_GB2312" w:eastAsia="仿宋_GB2312" w:hAnsi="宋体"/>
          <w:sz w:val="30"/>
          <w:szCs w:val="30"/>
        </w:rPr>
        <w:t>、</w:t>
      </w:r>
      <w:r w:rsidRPr="00274F4B">
        <w:rPr>
          <w:rFonts w:ascii="仿宋_GB2312" w:eastAsia="仿宋_GB2312" w:hAnsi="宋体" w:hint="eastAsia"/>
          <w:sz w:val="30"/>
          <w:szCs w:val="30"/>
        </w:rPr>
        <w:t>船舶</w:t>
      </w:r>
      <w:r w:rsidRPr="00274F4B">
        <w:rPr>
          <w:rFonts w:ascii="仿宋_GB2312" w:eastAsia="仿宋_GB2312" w:hAnsi="宋体"/>
          <w:sz w:val="30"/>
          <w:szCs w:val="30"/>
        </w:rPr>
        <w:t>、铁路运输设备制造行业</w:t>
      </w:r>
      <w:r w:rsidRPr="00274F4B">
        <w:rPr>
          <w:rFonts w:ascii="仿宋_GB2312" w:eastAsia="仿宋_GB2312" w:hAnsi="宋体" w:hint="eastAsia"/>
          <w:sz w:val="30"/>
          <w:szCs w:val="30"/>
        </w:rPr>
        <w:t>政策性</w:t>
      </w:r>
      <w:r w:rsidRPr="00274F4B">
        <w:rPr>
          <w:rFonts w:ascii="仿宋_GB2312" w:eastAsia="仿宋_GB2312" w:hAnsi="宋体"/>
          <w:sz w:val="30"/>
          <w:szCs w:val="30"/>
        </w:rPr>
        <w:t>强、</w:t>
      </w:r>
      <w:r w:rsidRPr="00274F4B">
        <w:rPr>
          <w:rFonts w:ascii="仿宋_GB2312" w:eastAsia="仿宋_GB2312" w:hAnsi="宋体" w:hint="eastAsia"/>
          <w:sz w:val="30"/>
          <w:szCs w:val="30"/>
        </w:rPr>
        <w:t>单位价值量大</w:t>
      </w:r>
      <w:r w:rsidRPr="00274F4B">
        <w:rPr>
          <w:rFonts w:ascii="仿宋_GB2312" w:eastAsia="仿宋_GB2312" w:hAnsi="宋体"/>
          <w:sz w:val="30"/>
          <w:szCs w:val="30"/>
        </w:rPr>
        <w:t>、技术含量</w:t>
      </w:r>
      <w:r w:rsidRPr="00274F4B">
        <w:rPr>
          <w:rFonts w:ascii="仿宋_GB2312" w:eastAsia="仿宋_GB2312" w:hAnsi="宋体" w:hint="eastAsia"/>
          <w:sz w:val="30"/>
          <w:szCs w:val="30"/>
        </w:rPr>
        <w:t>高</w:t>
      </w:r>
      <w:r w:rsidRPr="00274F4B">
        <w:rPr>
          <w:rFonts w:ascii="仿宋_GB2312" w:eastAsia="仿宋_GB2312" w:hAnsi="宋体"/>
          <w:sz w:val="30"/>
          <w:szCs w:val="30"/>
        </w:rPr>
        <w:t>的特点，</w:t>
      </w:r>
      <w:r w:rsidRPr="00274F4B">
        <w:rPr>
          <w:rFonts w:ascii="仿宋_GB2312" w:eastAsia="仿宋_GB2312" w:hAnsi="宋体" w:hint="eastAsia"/>
          <w:sz w:val="30"/>
          <w:szCs w:val="30"/>
        </w:rPr>
        <w:t>指引</w:t>
      </w:r>
      <w:r w:rsidRPr="00274F4B">
        <w:rPr>
          <w:rFonts w:ascii="仿宋_GB2312" w:eastAsia="仿宋_GB2312" w:hAnsi="宋体"/>
          <w:sz w:val="30"/>
          <w:szCs w:val="30"/>
        </w:rPr>
        <w:t>要求公司</w:t>
      </w:r>
      <w:r w:rsidRPr="00274F4B">
        <w:rPr>
          <w:rFonts w:ascii="仿宋_GB2312" w:eastAsia="仿宋_GB2312" w:hAnsi="宋体" w:hint="eastAsia"/>
          <w:sz w:val="30"/>
          <w:szCs w:val="30"/>
        </w:rPr>
        <w:t>及时</w:t>
      </w:r>
      <w:r w:rsidRPr="00274F4B">
        <w:rPr>
          <w:rFonts w:ascii="仿宋_GB2312" w:eastAsia="仿宋_GB2312" w:hAnsi="宋体"/>
          <w:sz w:val="30"/>
          <w:szCs w:val="30"/>
        </w:rPr>
        <w:t>以临时公告的形式披露</w:t>
      </w:r>
      <w:r w:rsidRPr="00274F4B">
        <w:rPr>
          <w:rFonts w:ascii="仿宋_GB2312" w:eastAsia="仿宋_GB2312" w:hAnsi="宋体" w:hint="eastAsia"/>
          <w:sz w:val="30"/>
          <w:szCs w:val="30"/>
        </w:rPr>
        <w:t>行业</w:t>
      </w:r>
      <w:r w:rsidRPr="00274F4B">
        <w:rPr>
          <w:rFonts w:ascii="仿宋_GB2312" w:eastAsia="仿宋_GB2312" w:hAnsi="宋体"/>
          <w:sz w:val="30"/>
          <w:szCs w:val="30"/>
        </w:rPr>
        <w:t>重大变化、重要订单</w:t>
      </w:r>
      <w:r w:rsidRPr="00274F4B">
        <w:rPr>
          <w:rFonts w:ascii="仿宋_GB2312" w:eastAsia="仿宋_GB2312" w:hAnsi="宋体" w:hint="eastAsia"/>
          <w:sz w:val="30"/>
          <w:szCs w:val="30"/>
        </w:rPr>
        <w:t>、关键</w:t>
      </w:r>
      <w:r w:rsidRPr="00274F4B">
        <w:rPr>
          <w:rFonts w:ascii="仿宋_GB2312" w:eastAsia="仿宋_GB2312" w:hAnsi="宋体"/>
          <w:sz w:val="30"/>
          <w:szCs w:val="30"/>
        </w:rPr>
        <w:t>技术突破</w:t>
      </w:r>
      <w:r w:rsidRPr="00274F4B">
        <w:rPr>
          <w:rFonts w:ascii="仿宋_GB2312" w:eastAsia="仿宋_GB2312" w:hAnsi="宋体" w:hint="eastAsia"/>
          <w:sz w:val="30"/>
          <w:szCs w:val="30"/>
        </w:rPr>
        <w:t>等</w:t>
      </w:r>
      <w:r w:rsidRPr="00274F4B">
        <w:rPr>
          <w:rFonts w:ascii="仿宋_GB2312" w:eastAsia="仿宋_GB2312" w:hAnsi="宋体"/>
          <w:sz w:val="30"/>
          <w:szCs w:val="30"/>
        </w:rPr>
        <w:t>信息，并</w:t>
      </w:r>
      <w:r w:rsidRPr="00274F4B">
        <w:rPr>
          <w:rFonts w:ascii="仿宋_GB2312" w:eastAsia="仿宋_GB2312" w:hAnsi="宋体" w:hint="eastAsia"/>
          <w:sz w:val="30"/>
          <w:szCs w:val="30"/>
        </w:rPr>
        <w:t>持续披露</w:t>
      </w:r>
      <w:r w:rsidRPr="00274F4B">
        <w:rPr>
          <w:rFonts w:ascii="仿宋_GB2312" w:eastAsia="仿宋_GB2312" w:hAnsi="宋体"/>
          <w:sz w:val="30"/>
          <w:szCs w:val="30"/>
        </w:rPr>
        <w:t>重要进展</w:t>
      </w:r>
      <w:r>
        <w:rPr>
          <w:rFonts w:ascii="仿宋_GB2312" w:eastAsia="仿宋_GB2312" w:hAnsi="宋体"/>
          <w:sz w:val="30"/>
          <w:szCs w:val="30"/>
        </w:rPr>
        <w:t>和变化</w:t>
      </w:r>
      <w:r w:rsidRPr="00274F4B">
        <w:rPr>
          <w:rFonts w:ascii="仿宋_GB2312" w:eastAsia="仿宋_GB2312" w:hAnsi="宋体"/>
          <w:sz w:val="30"/>
          <w:szCs w:val="30"/>
        </w:rPr>
        <w:t>。</w:t>
      </w:r>
    </w:p>
    <w:p w:rsidR="009B0614" w:rsidRDefault="009B0614" w:rsidP="009B0614">
      <w:pPr>
        <w:autoSpaceDE w:val="0"/>
        <w:autoSpaceDN w:val="0"/>
        <w:adjustRightInd w:val="0"/>
        <w:spacing w:line="560" w:lineRule="exact"/>
        <w:ind w:firstLineChars="200" w:firstLine="602"/>
        <w:rPr>
          <w:rFonts w:ascii="仿宋_GB2312" w:eastAsia="仿宋_GB2312" w:hAnsi="宋体"/>
          <w:b/>
          <w:sz w:val="30"/>
          <w:szCs w:val="30"/>
        </w:rPr>
      </w:pPr>
      <w:r w:rsidRPr="00514A64">
        <w:rPr>
          <w:rFonts w:ascii="仿宋_GB2312" w:eastAsia="仿宋_GB2312" w:hAnsi="宋体" w:hint="eastAsia"/>
          <w:b/>
          <w:sz w:val="30"/>
          <w:szCs w:val="30"/>
        </w:rPr>
        <w:t>（三）医疗器械行业</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983515">
        <w:rPr>
          <w:rFonts w:ascii="仿宋_GB2312" w:eastAsia="仿宋_GB2312" w:hAnsi="宋体" w:hint="eastAsia"/>
          <w:sz w:val="30"/>
          <w:szCs w:val="30"/>
        </w:rPr>
        <w:t>医疗器械行业是医学、电子、材料等多学科交叉融合的高技术产业</w:t>
      </w:r>
      <w:r>
        <w:rPr>
          <w:rFonts w:ascii="仿宋_GB2312" w:eastAsia="仿宋_GB2312" w:hAnsi="宋体" w:hint="eastAsia"/>
          <w:sz w:val="30"/>
          <w:szCs w:val="30"/>
        </w:rPr>
        <w:t>。近年来受</w:t>
      </w:r>
      <w:r w:rsidRPr="00BA714D">
        <w:rPr>
          <w:rFonts w:ascii="仿宋_GB2312" w:eastAsia="仿宋_GB2312" w:hAnsi="宋体" w:hint="eastAsia"/>
          <w:sz w:val="30"/>
          <w:szCs w:val="30"/>
        </w:rPr>
        <w:t>益于国家政策支持</w:t>
      </w:r>
      <w:r w:rsidRPr="00983515">
        <w:rPr>
          <w:rFonts w:ascii="仿宋_GB2312" w:eastAsia="仿宋_GB2312" w:hAnsi="宋体" w:hint="eastAsia"/>
          <w:sz w:val="30"/>
          <w:szCs w:val="30"/>
        </w:rPr>
        <w:t>，</w:t>
      </w:r>
      <w:r>
        <w:rPr>
          <w:rFonts w:ascii="仿宋_GB2312" w:eastAsia="仿宋_GB2312" w:hAnsi="宋体" w:hint="eastAsia"/>
          <w:sz w:val="30"/>
          <w:szCs w:val="30"/>
        </w:rPr>
        <w:t>行业整体</w:t>
      </w:r>
      <w:r w:rsidRPr="00E65C0A">
        <w:rPr>
          <w:rFonts w:ascii="仿宋_GB2312" w:eastAsia="仿宋_GB2312" w:hAnsi="宋体" w:hint="eastAsia"/>
          <w:sz w:val="30"/>
          <w:szCs w:val="30"/>
        </w:rPr>
        <w:t>呈现持续快速发展的局面</w:t>
      </w:r>
      <w:r>
        <w:rPr>
          <w:rFonts w:ascii="仿宋_GB2312" w:eastAsia="仿宋_GB2312" w:hAnsi="宋体" w:hint="eastAsia"/>
          <w:sz w:val="30"/>
          <w:szCs w:val="30"/>
        </w:rPr>
        <w:t>，但企业平均规模、产品质量及研发投入等，距离发达国家仍有一定差距。同时，医疗器械行业细分领域广，不同领域的准入门槛、发展阶段与市场竞争情况不尽相同。对此，</w:t>
      </w:r>
      <w:r w:rsidRPr="00983515">
        <w:rPr>
          <w:rFonts w:ascii="仿宋_GB2312" w:eastAsia="仿宋_GB2312" w:hAnsi="宋体" w:hint="eastAsia"/>
          <w:sz w:val="30"/>
          <w:szCs w:val="30"/>
        </w:rPr>
        <w:t>为帮助投资者</w:t>
      </w:r>
      <w:r>
        <w:rPr>
          <w:rFonts w:ascii="仿宋_GB2312" w:eastAsia="仿宋_GB2312" w:hAnsi="宋体" w:hint="eastAsia"/>
          <w:sz w:val="30"/>
          <w:szCs w:val="30"/>
        </w:rPr>
        <w:t>准确理解行业特性与公司经营外部环境，指引要求公司结合自身所在的细分领域，披露行业基本发展状况</w:t>
      </w:r>
      <w:r w:rsidRPr="00983515">
        <w:rPr>
          <w:rFonts w:ascii="仿宋_GB2312" w:eastAsia="仿宋_GB2312" w:hAnsi="宋体" w:hint="eastAsia"/>
          <w:sz w:val="30"/>
          <w:szCs w:val="30"/>
        </w:rPr>
        <w:t>与公司所处市场地位，</w:t>
      </w:r>
      <w:r>
        <w:rPr>
          <w:rFonts w:ascii="仿宋_GB2312" w:eastAsia="仿宋_GB2312" w:hAnsi="宋体" w:hint="eastAsia"/>
          <w:sz w:val="30"/>
          <w:szCs w:val="30"/>
        </w:rPr>
        <w:t>分析行业政策变化及其</w:t>
      </w:r>
      <w:r w:rsidRPr="00983515">
        <w:rPr>
          <w:rFonts w:ascii="仿宋_GB2312" w:eastAsia="仿宋_GB2312" w:hAnsi="宋体" w:hint="eastAsia"/>
          <w:sz w:val="30"/>
          <w:szCs w:val="30"/>
        </w:rPr>
        <w:t>对公司的影响</w:t>
      </w:r>
      <w:r>
        <w:rPr>
          <w:rFonts w:ascii="仿宋_GB2312" w:eastAsia="仿宋_GB2312" w:hAnsi="宋体" w:hint="eastAsia"/>
          <w:sz w:val="30"/>
          <w:szCs w:val="30"/>
        </w:rPr>
        <w:t>等。同时，结合行业特点，</w:t>
      </w:r>
      <w:r w:rsidRPr="00983515">
        <w:rPr>
          <w:rFonts w:ascii="仿宋_GB2312" w:eastAsia="仿宋_GB2312" w:hAnsi="宋体" w:hint="eastAsia"/>
          <w:sz w:val="30"/>
          <w:szCs w:val="30"/>
        </w:rPr>
        <w:t>指引</w:t>
      </w:r>
      <w:r>
        <w:rPr>
          <w:rFonts w:ascii="仿宋_GB2312" w:eastAsia="仿宋_GB2312" w:hAnsi="宋体" w:hint="eastAsia"/>
          <w:sz w:val="30"/>
          <w:szCs w:val="30"/>
        </w:rPr>
        <w:t>还要求公司详细披露创新研发信息，包括研发投入、相关会计处理、主要产品研发注册进展等信息，以反映公司研发能力及</w:t>
      </w:r>
      <w:r w:rsidRPr="00983515">
        <w:rPr>
          <w:rFonts w:ascii="仿宋_GB2312" w:eastAsia="仿宋_GB2312" w:hAnsi="宋体" w:hint="eastAsia"/>
          <w:sz w:val="30"/>
          <w:szCs w:val="30"/>
        </w:rPr>
        <w:t>核心竞争力。</w:t>
      </w:r>
      <w:r>
        <w:rPr>
          <w:rFonts w:ascii="仿宋_GB2312" w:eastAsia="仿宋_GB2312" w:hAnsi="宋体" w:hint="eastAsia"/>
          <w:sz w:val="30"/>
          <w:szCs w:val="30"/>
        </w:rPr>
        <w:t>此外，指引进一步</w:t>
      </w:r>
      <w:r w:rsidRPr="00983515">
        <w:rPr>
          <w:rFonts w:ascii="仿宋_GB2312" w:eastAsia="仿宋_GB2312" w:hAnsi="宋体" w:hint="eastAsia"/>
          <w:sz w:val="30"/>
          <w:szCs w:val="30"/>
        </w:rPr>
        <w:t>细化</w:t>
      </w:r>
      <w:r>
        <w:rPr>
          <w:rFonts w:ascii="仿宋_GB2312" w:eastAsia="仿宋_GB2312" w:hAnsi="宋体" w:hint="eastAsia"/>
          <w:sz w:val="30"/>
          <w:szCs w:val="30"/>
        </w:rPr>
        <w:t>了对医疗器械行业上市公司不同</w:t>
      </w:r>
      <w:r w:rsidRPr="00983515">
        <w:rPr>
          <w:rFonts w:ascii="仿宋_GB2312" w:eastAsia="仿宋_GB2312" w:hAnsi="宋体" w:hint="eastAsia"/>
          <w:sz w:val="30"/>
          <w:szCs w:val="30"/>
        </w:rPr>
        <w:t>销售模式</w:t>
      </w:r>
      <w:r>
        <w:rPr>
          <w:rFonts w:ascii="仿宋_GB2312" w:eastAsia="仿宋_GB2312" w:hAnsi="宋体" w:hint="eastAsia"/>
          <w:sz w:val="30"/>
          <w:szCs w:val="30"/>
        </w:rPr>
        <w:t>的</w:t>
      </w:r>
      <w:r w:rsidRPr="00983515">
        <w:rPr>
          <w:rFonts w:ascii="仿宋_GB2312" w:eastAsia="仿宋_GB2312" w:hAnsi="宋体" w:hint="eastAsia"/>
          <w:sz w:val="30"/>
          <w:szCs w:val="30"/>
        </w:rPr>
        <w:t>信息披露</w:t>
      </w:r>
      <w:r>
        <w:rPr>
          <w:rFonts w:ascii="仿宋_GB2312" w:eastAsia="仿宋_GB2312" w:hAnsi="宋体" w:hint="eastAsia"/>
          <w:sz w:val="30"/>
          <w:szCs w:val="30"/>
        </w:rPr>
        <w:t>要求，</w:t>
      </w:r>
      <w:r w:rsidRPr="00983515">
        <w:rPr>
          <w:rFonts w:ascii="仿宋_GB2312" w:eastAsia="仿宋_GB2312" w:hAnsi="宋体" w:hint="eastAsia"/>
          <w:sz w:val="30"/>
          <w:szCs w:val="30"/>
        </w:rPr>
        <w:t>帮助投资者了解公司的经营情况和业务特点。</w:t>
      </w:r>
    </w:p>
    <w:p w:rsidR="009B0614" w:rsidRDefault="009B0614" w:rsidP="009B0614">
      <w:pPr>
        <w:autoSpaceDE w:val="0"/>
        <w:autoSpaceDN w:val="0"/>
        <w:adjustRightInd w:val="0"/>
        <w:spacing w:line="560" w:lineRule="exact"/>
        <w:ind w:firstLineChars="200" w:firstLine="602"/>
        <w:rPr>
          <w:rFonts w:ascii="仿宋_GB2312" w:eastAsia="仿宋_GB2312" w:hAnsi="宋体"/>
          <w:b/>
          <w:sz w:val="30"/>
          <w:szCs w:val="30"/>
        </w:rPr>
      </w:pPr>
      <w:r w:rsidRPr="00514A64">
        <w:rPr>
          <w:rFonts w:ascii="仿宋_GB2312" w:eastAsia="仿宋_GB2312" w:hAnsi="宋体" w:hint="eastAsia"/>
          <w:b/>
          <w:sz w:val="30"/>
          <w:szCs w:val="30"/>
        </w:rPr>
        <w:lastRenderedPageBreak/>
        <w:t>（</w:t>
      </w:r>
      <w:r>
        <w:rPr>
          <w:rFonts w:ascii="仿宋_GB2312" w:eastAsia="仿宋_GB2312" w:hAnsi="宋体" w:hint="eastAsia"/>
          <w:b/>
          <w:sz w:val="30"/>
          <w:szCs w:val="30"/>
        </w:rPr>
        <w:t>四</w:t>
      </w:r>
      <w:r w:rsidRPr="00514A64">
        <w:rPr>
          <w:rFonts w:ascii="仿宋_GB2312" w:eastAsia="仿宋_GB2312" w:hAnsi="宋体" w:hint="eastAsia"/>
          <w:b/>
          <w:sz w:val="30"/>
          <w:szCs w:val="30"/>
        </w:rPr>
        <w:t>）食品制造业</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983515">
        <w:rPr>
          <w:rFonts w:ascii="仿宋_GB2312" w:eastAsia="仿宋_GB2312" w:hAnsi="宋体" w:hint="eastAsia"/>
          <w:sz w:val="30"/>
          <w:szCs w:val="30"/>
        </w:rPr>
        <w:t>食品制造业</w:t>
      </w:r>
      <w:r w:rsidRPr="004640DA">
        <w:rPr>
          <w:rFonts w:ascii="仿宋_GB2312" w:eastAsia="仿宋_GB2312" w:hAnsi="宋体" w:hint="eastAsia"/>
          <w:sz w:val="30"/>
          <w:szCs w:val="30"/>
        </w:rPr>
        <w:t>是我国国民经济的重要支柱产业，关系着国计民生。</w:t>
      </w:r>
      <w:r>
        <w:rPr>
          <w:rFonts w:ascii="仿宋_GB2312" w:eastAsia="仿宋_GB2312" w:hAnsi="宋体" w:hint="eastAsia"/>
          <w:sz w:val="30"/>
          <w:szCs w:val="30"/>
        </w:rPr>
        <w:t>近年来，国内食品</w:t>
      </w:r>
      <w:r w:rsidRPr="004640DA">
        <w:rPr>
          <w:rFonts w:ascii="仿宋_GB2312" w:eastAsia="仿宋_GB2312" w:hAnsi="宋体" w:hint="eastAsia"/>
          <w:sz w:val="30"/>
          <w:szCs w:val="30"/>
        </w:rPr>
        <w:t>消费升级逐步走向成熟，在品类、渠道和区域上均呈现明显分化。</w:t>
      </w:r>
      <w:r>
        <w:rPr>
          <w:rFonts w:ascii="仿宋_GB2312" w:eastAsia="仿宋_GB2312" w:hAnsi="宋体" w:hint="eastAsia"/>
          <w:sz w:val="30"/>
          <w:szCs w:val="30"/>
        </w:rPr>
        <w:t>指引对相关上市公司所在</w:t>
      </w:r>
      <w:r w:rsidRPr="00983515">
        <w:rPr>
          <w:rFonts w:ascii="仿宋_GB2312" w:eastAsia="仿宋_GB2312" w:hAnsi="宋体" w:hint="eastAsia"/>
          <w:sz w:val="30"/>
          <w:szCs w:val="30"/>
        </w:rPr>
        <w:t>细分</w:t>
      </w:r>
      <w:r>
        <w:rPr>
          <w:rFonts w:ascii="仿宋_GB2312" w:eastAsia="仿宋_GB2312" w:hAnsi="宋体" w:hint="eastAsia"/>
          <w:sz w:val="30"/>
          <w:szCs w:val="30"/>
        </w:rPr>
        <w:t>领域的竞争格局、公司品牌运营、销售模式与渠道等明确了具体披露要求，以</w:t>
      </w:r>
      <w:r w:rsidRPr="00983515">
        <w:rPr>
          <w:rFonts w:ascii="仿宋_GB2312" w:eastAsia="仿宋_GB2312" w:hAnsi="宋体" w:hint="eastAsia"/>
          <w:sz w:val="30"/>
          <w:szCs w:val="30"/>
        </w:rPr>
        <w:t>帮助投资者了解公司</w:t>
      </w:r>
      <w:r>
        <w:rPr>
          <w:rFonts w:ascii="仿宋_GB2312" w:eastAsia="仿宋_GB2312" w:hAnsi="宋体" w:hint="eastAsia"/>
          <w:sz w:val="30"/>
          <w:szCs w:val="30"/>
        </w:rPr>
        <w:t>经营状况</w:t>
      </w:r>
      <w:r w:rsidRPr="00983515">
        <w:rPr>
          <w:rFonts w:ascii="仿宋_GB2312" w:eastAsia="仿宋_GB2312" w:hAnsi="宋体" w:hint="eastAsia"/>
          <w:sz w:val="30"/>
          <w:szCs w:val="30"/>
        </w:rPr>
        <w:t>、核心价值及风险情况，便于投资决策。同时，</w:t>
      </w:r>
      <w:r>
        <w:rPr>
          <w:rFonts w:ascii="仿宋_GB2312" w:eastAsia="仿宋_GB2312" w:hAnsi="宋体" w:hint="eastAsia"/>
          <w:sz w:val="30"/>
          <w:szCs w:val="30"/>
        </w:rPr>
        <w:t>考虑到</w:t>
      </w:r>
      <w:r>
        <w:rPr>
          <w:rFonts w:ascii="仿宋_GB2312" w:eastAsia="仿宋_GB2312" w:hAnsi="宋体" w:hint="eastAsia"/>
          <w:color w:val="000000"/>
          <w:sz w:val="28"/>
          <w:szCs w:val="28"/>
        </w:rPr>
        <w:t>食品行业</w:t>
      </w:r>
      <w:r>
        <w:rPr>
          <w:rFonts w:ascii="仿宋_GB2312" w:eastAsia="仿宋_GB2312" w:hAnsi="宋体"/>
          <w:color w:val="000000"/>
          <w:sz w:val="28"/>
          <w:szCs w:val="28"/>
        </w:rPr>
        <w:t>上下游产业关联度</w:t>
      </w:r>
      <w:r>
        <w:rPr>
          <w:rFonts w:ascii="仿宋_GB2312" w:eastAsia="仿宋_GB2312" w:hAnsi="宋体" w:hint="eastAsia"/>
          <w:color w:val="000000"/>
          <w:sz w:val="28"/>
          <w:szCs w:val="28"/>
        </w:rPr>
        <w:t>较</w:t>
      </w:r>
      <w:r>
        <w:rPr>
          <w:rFonts w:ascii="仿宋_GB2312" w:eastAsia="仿宋_GB2312" w:hAnsi="宋体"/>
          <w:color w:val="000000"/>
          <w:sz w:val="28"/>
          <w:szCs w:val="28"/>
        </w:rPr>
        <w:t>高，</w:t>
      </w:r>
      <w:r>
        <w:rPr>
          <w:rFonts w:ascii="仿宋_GB2312" w:eastAsia="仿宋_GB2312" w:hAnsi="宋体" w:hint="eastAsia"/>
          <w:color w:val="000000"/>
          <w:sz w:val="28"/>
          <w:szCs w:val="28"/>
        </w:rPr>
        <w:t>上游原材料价格变化可能会对公司的产品价格、毛利率等产生影响，而下游市场需求变化会影响公司的产销量规模，</w:t>
      </w:r>
      <w:r>
        <w:rPr>
          <w:rFonts w:ascii="仿宋_GB2312" w:eastAsia="仿宋_GB2312" w:hAnsi="宋体" w:hint="eastAsia"/>
          <w:sz w:val="30"/>
          <w:szCs w:val="30"/>
        </w:rPr>
        <w:t>指引进一步</w:t>
      </w:r>
      <w:r w:rsidRPr="00983515">
        <w:rPr>
          <w:rFonts w:ascii="仿宋_GB2312" w:eastAsia="仿宋_GB2312" w:hAnsi="宋体" w:hint="eastAsia"/>
          <w:sz w:val="30"/>
          <w:szCs w:val="30"/>
        </w:rPr>
        <w:t>要求公司</w:t>
      </w:r>
      <w:r>
        <w:rPr>
          <w:rFonts w:ascii="仿宋_GB2312" w:eastAsia="仿宋_GB2312" w:hAnsi="宋体" w:hint="eastAsia"/>
          <w:sz w:val="30"/>
          <w:szCs w:val="30"/>
        </w:rPr>
        <w:t>细化</w:t>
      </w:r>
      <w:r w:rsidRPr="00983515">
        <w:rPr>
          <w:rFonts w:ascii="仿宋_GB2312" w:eastAsia="仿宋_GB2312" w:hAnsi="宋体" w:hint="eastAsia"/>
          <w:sz w:val="30"/>
          <w:szCs w:val="30"/>
        </w:rPr>
        <w:t>披露</w:t>
      </w:r>
      <w:r>
        <w:rPr>
          <w:rFonts w:ascii="仿宋_GB2312" w:eastAsia="仿宋_GB2312" w:hAnsi="宋体" w:hint="eastAsia"/>
          <w:sz w:val="30"/>
          <w:szCs w:val="30"/>
        </w:rPr>
        <w:t>自身采购模式、销售模式调整、</w:t>
      </w:r>
      <w:r w:rsidRPr="00983515">
        <w:rPr>
          <w:rFonts w:ascii="仿宋_GB2312" w:eastAsia="仿宋_GB2312" w:hAnsi="宋体" w:hint="eastAsia"/>
          <w:sz w:val="30"/>
          <w:szCs w:val="30"/>
        </w:rPr>
        <w:t>原材料价格变动</w:t>
      </w:r>
      <w:r>
        <w:rPr>
          <w:rFonts w:ascii="仿宋_GB2312" w:eastAsia="仿宋_GB2312" w:hAnsi="宋体" w:hint="eastAsia"/>
          <w:sz w:val="30"/>
          <w:szCs w:val="30"/>
        </w:rPr>
        <w:t>影响</w:t>
      </w:r>
      <w:r w:rsidRPr="00983515">
        <w:rPr>
          <w:rFonts w:ascii="仿宋_GB2312" w:eastAsia="仿宋_GB2312" w:hAnsi="宋体" w:hint="eastAsia"/>
          <w:sz w:val="30"/>
          <w:szCs w:val="30"/>
        </w:rPr>
        <w:t>、</w:t>
      </w:r>
      <w:r>
        <w:rPr>
          <w:rFonts w:ascii="仿宋_GB2312" w:eastAsia="仿宋_GB2312" w:hAnsi="宋体" w:hint="eastAsia"/>
          <w:sz w:val="30"/>
          <w:szCs w:val="30"/>
        </w:rPr>
        <w:t>产能开工情况等信息。此外，结合</w:t>
      </w:r>
      <w:r w:rsidRPr="00983515">
        <w:rPr>
          <w:rFonts w:ascii="仿宋_GB2312" w:eastAsia="仿宋_GB2312" w:hAnsi="宋体" w:hint="eastAsia"/>
          <w:sz w:val="30"/>
          <w:szCs w:val="30"/>
        </w:rPr>
        <w:t>食品安全重要性突出特点，指引</w:t>
      </w:r>
      <w:r>
        <w:rPr>
          <w:rFonts w:ascii="仿宋_GB2312" w:eastAsia="仿宋_GB2312" w:hAnsi="宋体" w:hint="eastAsia"/>
          <w:sz w:val="30"/>
          <w:szCs w:val="30"/>
        </w:rPr>
        <w:t>着重强调了上市公司相关制度建设和实施信息的披露要求，明确了重大食品安全事故的披露标准，强化企业</w:t>
      </w:r>
      <w:r w:rsidRPr="00983515">
        <w:rPr>
          <w:rFonts w:ascii="仿宋_GB2312" w:eastAsia="仿宋_GB2312" w:hAnsi="宋体" w:hint="eastAsia"/>
          <w:sz w:val="30"/>
          <w:szCs w:val="30"/>
        </w:rPr>
        <w:t>社会责任</w:t>
      </w:r>
      <w:r>
        <w:rPr>
          <w:rFonts w:ascii="仿宋_GB2312" w:eastAsia="仿宋_GB2312" w:hAnsi="宋体" w:hint="eastAsia"/>
          <w:sz w:val="30"/>
          <w:szCs w:val="30"/>
        </w:rPr>
        <w:t>。</w:t>
      </w:r>
    </w:p>
    <w:p w:rsidR="009B0614" w:rsidRDefault="009B0614" w:rsidP="009B0614">
      <w:pPr>
        <w:autoSpaceDE w:val="0"/>
        <w:autoSpaceDN w:val="0"/>
        <w:adjustRightInd w:val="0"/>
        <w:spacing w:line="560" w:lineRule="exact"/>
        <w:ind w:firstLineChars="200" w:firstLine="602"/>
        <w:rPr>
          <w:rFonts w:ascii="仿宋_GB2312" w:eastAsia="仿宋_GB2312" w:hAnsi="宋体"/>
          <w:b/>
          <w:sz w:val="30"/>
          <w:szCs w:val="30"/>
        </w:rPr>
      </w:pPr>
      <w:r w:rsidRPr="00514A64">
        <w:rPr>
          <w:rFonts w:ascii="仿宋_GB2312" w:eastAsia="仿宋_GB2312" w:hAnsi="宋体" w:hint="eastAsia"/>
          <w:b/>
          <w:sz w:val="30"/>
          <w:szCs w:val="30"/>
        </w:rPr>
        <w:t>（五）黄金珠宝饰品业</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983515">
        <w:rPr>
          <w:rFonts w:ascii="仿宋_GB2312" w:eastAsia="仿宋_GB2312" w:hAnsi="宋体" w:hint="eastAsia"/>
          <w:sz w:val="30"/>
          <w:szCs w:val="30"/>
        </w:rPr>
        <w:t>黄金珠宝饰品业务属于批发零售行业类别，按经营模式大致可以分为黄金珠宝品饰品批发业务、零售业务和品牌运营业务等，按经营的黄金珠宝饰品品种大致可以分为贵金属、宝玉石等。黄金珠宝饰品作为较贵重的可选消费品和投资品，原材料价值、工艺设计和品牌对此类商品的价格具有较大影响，</w:t>
      </w:r>
      <w:r>
        <w:rPr>
          <w:rFonts w:ascii="仿宋_GB2312" w:eastAsia="仿宋_GB2312" w:hAnsi="宋体" w:hint="eastAsia"/>
          <w:sz w:val="30"/>
          <w:szCs w:val="30"/>
        </w:rPr>
        <w:t>行业</w:t>
      </w:r>
      <w:r w:rsidRPr="00983515">
        <w:rPr>
          <w:rFonts w:ascii="仿宋_GB2312" w:eastAsia="仿宋_GB2312" w:hAnsi="宋体" w:hint="eastAsia"/>
          <w:sz w:val="30"/>
          <w:szCs w:val="30"/>
        </w:rPr>
        <w:t>普遍具有单价较高、体积较小、个体商品价值差异较大等特点，商品存货的资产占比较高、占用公司资金较大。</w:t>
      </w:r>
      <w:r>
        <w:rPr>
          <w:rFonts w:ascii="仿宋_GB2312" w:eastAsia="仿宋_GB2312" w:hAnsi="宋体" w:hint="eastAsia"/>
          <w:sz w:val="30"/>
          <w:szCs w:val="30"/>
        </w:rPr>
        <w:t>对此，指引着重强化了上市公司关于存货及其变动、品牌定位、销售渠道等关键信息的披露力度。同时，结合行业内经营模式多元化的特点，对相关上市公司不同销售模式、生产模式、采购模式等细化明确了披露要求，</w:t>
      </w:r>
      <w:r>
        <w:rPr>
          <w:rFonts w:ascii="仿宋_GB2312" w:eastAsia="仿宋_GB2312" w:hAnsi="宋体" w:hint="eastAsia"/>
          <w:sz w:val="30"/>
          <w:szCs w:val="30"/>
        </w:rPr>
        <w:lastRenderedPageBreak/>
        <w:t>并加大对生产经营各类风险的揭示力度。此外，指引</w:t>
      </w:r>
      <w:r w:rsidRPr="00983515">
        <w:rPr>
          <w:rFonts w:ascii="仿宋_GB2312" w:eastAsia="仿宋_GB2312" w:hAnsi="宋体" w:hint="eastAsia"/>
          <w:sz w:val="30"/>
          <w:szCs w:val="30"/>
        </w:rPr>
        <w:t>要求</w:t>
      </w:r>
      <w:r>
        <w:rPr>
          <w:rFonts w:ascii="仿宋_GB2312" w:eastAsia="仿宋_GB2312" w:hAnsi="宋体" w:hint="eastAsia"/>
          <w:sz w:val="30"/>
          <w:szCs w:val="30"/>
        </w:rPr>
        <w:t>上市</w:t>
      </w:r>
      <w:r w:rsidRPr="00983515">
        <w:rPr>
          <w:rFonts w:ascii="仿宋_GB2312" w:eastAsia="仿宋_GB2312" w:hAnsi="宋体" w:hint="eastAsia"/>
          <w:sz w:val="30"/>
          <w:szCs w:val="30"/>
        </w:rPr>
        <w:t>公司</w:t>
      </w:r>
      <w:r>
        <w:rPr>
          <w:rFonts w:ascii="仿宋_GB2312" w:eastAsia="仿宋_GB2312" w:hAnsi="宋体" w:hint="eastAsia"/>
          <w:sz w:val="30"/>
          <w:szCs w:val="30"/>
        </w:rPr>
        <w:t>具体</w:t>
      </w:r>
      <w:r w:rsidRPr="00983515">
        <w:rPr>
          <w:rFonts w:ascii="仿宋_GB2312" w:eastAsia="仿宋_GB2312" w:hAnsi="宋体" w:hint="eastAsia"/>
          <w:sz w:val="30"/>
          <w:szCs w:val="30"/>
        </w:rPr>
        <w:t>披露收入确认、研发投入、退换货、以旧换新等多项行业具体会计政策和财务信息，以便于投资者了解公司的经营情况和风险。</w:t>
      </w:r>
    </w:p>
    <w:p w:rsidR="009B0614" w:rsidRDefault="009B0614" w:rsidP="009B0614">
      <w:pPr>
        <w:autoSpaceDE w:val="0"/>
        <w:autoSpaceDN w:val="0"/>
        <w:adjustRightInd w:val="0"/>
        <w:spacing w:line="560" w:lineRule="exact"/>
        <w:ind w:firstLineChars="200" w:firstLine="602"/>
        <w:rPr>
          <w:rFonts w:ascii="仿宋_GB2312" w:eastAsia="仿宋_GB2312" w:hAnsi="宋体"/>
          <w:b/>
          <w:sz w:val="30"/>
          <w:szCs w:val="30"/>
        </w:rPr>
      </w:pPr>
      <w:r w:rsidRPr="00514A64">
        <w:rPr>
          <w:rFonts w:ascii="仿宋_GB2312" w:eastAsia="仿宋_GB2312" w:hAnsi="宋体" w:hint="eastAsia"/>
          <w:b/>
          <w:sz w:val="30"/>
          <w:szCs w:val="30"/>
        </w:rPr>
        <w:t>（</w:t>
      </w:r>
      <w:r>
        <w:rPr>
          <w:rFonts w:ascii="仿宋_GB2312" w:eastAsia="仿宋_GB2312" w:hAnsi="宋体" w:hint="eastAsia"/>
          <w:b/>
          <w:sz w:val="30"/>
          <w:szCs w:val="30"/>
        </w:rPr>
        <w:t>六</w:t>
      </w:r>
      <w:r w:rsidRPr="00514A64">
        <w:rPr>
          <w:rFonts w:ascii="仿宋_GB2312" w:eastAsia="仿宋_GB2312" w:hAnsi="宋体" w:hint="eastAsia"/>
          <w:b/>
          <w:sz w:val="30"/>
          <w:szCs w:val="30"/>
        </w:rPr>
        <w:t>）影视行业</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983515">
        <w:rPr>
          <w:rFonts w:ascii="仿宋_GB2312" w:eastAsia="仿宋_GB2312" w:hAnsi="宋体" w:hint="eastAsia"/>
          <w:sz w:val="30"/>
          <w:szCs w:val="30"/>
        </w:rPr>
        <w:t>随着社会经济的持续发展和文化体制改革的不断深入，影视行业蓬勃发展，成为中</w:t>
      </w:r>
      <w:r>
        <w:rPr>
          <w:rFonts w:ascii="仿宋_GB2312" w:eastAsia="仿宋_GB2312" w:hAnsi="宋体" w:hint="eastAsia"/>
          <w:sz w:val="30"/>
          <w:szCs w:val="30"/>
        </w:rPr>
        <w:t>国经济持续快速增长和实现转型升级的“助推器”。信息披露方面，影视行业与传统行业属性差异较大，现有的信息披露规则难以揭示行业内上市公司的核心价值和潜在风险，无法满足投资者信息需求。为此，指引区分</w:t>
      </w:r>
      <w:r w:rsidRPr="00983515">
        <w:rPr>
          <w:rFonts w:ascii="仿宋_GB2312" w:eastAsia="仿宋_GB2312" w:hAnsi="宋体" w:hint="eastAsia"/>
          <w:sz w:val="30"/>
          <w:szCs w:val="30"/>
        </w:rPr>
        <w:t>电影制作和发行、电视剧和其他类型影视作品制作、电影放映业务分类，</w:t>
      </w:r>
      <w:r>
        <w:rPr>
          <w:rFonts w:ascii="仿宋_GB2312" w:eastAsia="仿宋_GB2312" w:hAnsi="宋体" w:hint="eastAsia"/>
          <w:sz w:val="30"/>
          <w:szCs w:val="30"/>
        </w:rPr>
        <w:t>明确了行业格局和公司经营信息的披露要求，加强上市公司信息披露的有效性和透明度</w:t>
      </w:r>
      <w:r w:rsidRPr="00983515">
        <w:rPr>
          <w:rFonts w:ascii="仿宋_GB2312" w:eastAsia="仿宋_GB2312" w:hAnsi="宋体" w:hint="eastAsia"/>
          <w:sz w:val="30"/>
          <w:szCs w:val="30"/>
        </w:rPr>
        <w:t>。</w:t>
      </w:r>
      <w:r>
        <w:rPr>
          <w:rFonts w:ascii="仿宋_GB2312" w:eastAsia="仿宋_GB2312" w:hAnsi="宋体" w:hint="eastAsia"/>
          <w:sz w:val="30"/>
          <w:szCs w:val="30"/>
        </w:rPr>
        <w:t>同时，指引结合行业特点，对相关公司应收账款、存货</w:t>
      </w:r>
      <w:r w:rsidRPr="00983515">
        <w:rPr>
          <w:rFonts w:ascii="仿宋_GB2312" w:eastAsia="仿宋_GB2312" w:hAnsi="宋体" w:hint="eastAsia"/>
          <w:sz w:val="30"/>
          <w:szCs w:val="30"/>
        </w:rPr>
        <w:t>信息</w:t>
      </w:r>
      <w:r>
        <w:rPr>
          <w:rFonts w:ascii="仿宋_GB2312" w:eastAsia="仿宋_GB2312" w:hAnsi="宋体" w:hint="eastAsia"/>
          <w:sz w:val="30"/>
          <w:szCs w:val="30"/>
        </w:rPr>
        <w:t>细化了披露标准和要求，帮助投资者评估公司的经营质量和潜在</w:t>
      </w:r>
      <w:r w:rsidRPr="00983515">
        <w:rPr>
          <w:rFonts w:ascii="仿宋_GB2312" w:eastAsia="仿宋_GB2312" w:hAnsi="宋体" w:hint="eastAsia"/>
          <w:sz w:val="30"/>
          <w:szCs w:val="30"/>
        </w:rPr>
        <w:t>风险。</w:t>
      </w:r>
    </w:p>
    <w:p w:rsidR="009B0614" w:rsidRDefault="009B0614" w:rsidP="009B0614">
      <w:pPr>
        <w:autoSpaceDE w:val="0"/>
        <w:autoSpaceDN w:val="0"/>
        <w:adjustRightInd w:val="0"/>
        <w:spacing w:line="560" w:lineRule="exact"/>
        <w:ind w:firstLineChars="200" w:firstLine="602"/>
        <w:rPr>
          <w:rFonts w:ascii="仿宋_GB2312" w:eastAsia="仿宋_GB2312" w:hAnsi="宋体"/>
          <w:b/>
          <w:sz w:val="30"/>
          <w:szCs w:val="30"/>
        </w:rPr>
      </w:pPr>
      <w:r w:rsidRPr="00514A64">
        <w:rPr>
          <w:rFonts w:ascii="仿宋_GB2312" w:eastAsia="仿宋_GB2312" w:hAnsi="宋体" w:hint="eastAsia"/>
          <w:b/>
          <w:sz w:val="30"/>
          <w:szCs w:val="30"/>
        </w:rPr>
        <w:t>（</w:t>
      </w:r>
      <w:r>
        <w:rPr>
          <w:rFonts w:ascii="仿宋_GB2312" w:eastAsia="仿宋_GB2312" w:hAnsi="宋体" w:hint="eastAsia"/>
          <w:b/>
          <w:sz w:val="30"/>
          <w:szCs w:val="30"/>
        </w:rPr>
        <w:t>七</w:t>
      </w:r>
      <w:r w:rsidRPr="00514A64">
        <w:rPr>
          <w:rFonts w:ascii="仿宋_GB2312" w:eastAsia="仿宋_GB2312" w:hAnsi="宋体" w:hint="eastAsia"/>
          <w:b/>
          <w:sz w:val="30"/>
          <w:szCs w:val="30"/>
        </w:rPr>
        <w:t>）家具制造业</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983515">
        <w:rPr>
          <w:rFonts w:ascii="仿宋_GB2312" w:eastAsia="仿宋_GB2312" w:hAnsi="宋体" w:hint="eastAsia"/>
          <w:sz w:val="30"/>
          <w:szCs w:val="30"/>
        </w:rPr>
        <w:t>家具制造业受到国民经济发展水平、居民可支配收入变化、房地产行业的景气程度以及消费习惯的转变等因素的影响较大。为此，家具制造业指引要求公司详细披露居民收入水平、房地产行业景气度等外部因素的变化情况。同时，</w:t>
      </w:r>
      <w:r>
        <w:rPr>
          <w:rFonts w:ascii="仿宋_GB2312" w:eastAsia="仿宋_GB2312" w:hAnsi="宋体" w:hint="eastAsia"/>
          <w:sz w:val="30"/>
          <w:szCs w:val="30"/>
        </w:rPr>
        <w:t>考虑到</w:t>
      </w:r>
      <w:r w:rsidRPr="00983515">
        <w:rPr>
          <w:rFonts w:ascii="仿宋_GB2312" w:eastAsia="仿宋_GB2312" w:hAnsi="宋体" w:hint="eastAsia"/>
          <w:sz w:val="30"/>
          <w:szCs w:val="30"/>
        </w:rPr>
        <w:t>不同细分业务类型公司的经营模式、盈利模式等存在较大差异，指引还要求公司按照</w:t>
      </w:r>
      <w:r w:rsidRPr="00983515">
        <w:rPr>
          <w:rFonts w:ascii="仿宋_GB2312" w:eastAsia="仿宋_GB2312" w:hAnsi="宋体"/>
          <w:sz w:val="30"/>
          <w:szCs w:val="30"/>
        </w:rPr>
        <w:t>定制化整体家具</w:t>
      </w:r>
      <w:r w:rsidRPr="00983515">
        <w:rPr>
          <w:rFonts w:ascii="仿宋_GB2312" w:eastAsia="仿宋_GB2312" w:hAnsi="宋体" w:hint="eastAsia"/>
          <w:sz w:val="30"/>
          <w:szCs w:val="30"/>
        </w:rPr>
        <w:t>和成品家具分类，披露主要产品和经营模式</w:t>
      </w:r>
      <w:r>
        <w:rPr>
          <w:rFonts w:ascii="仿宋_GB2312" w:eastAsia="仿宋_GB2312" w:hAnsi="宋体" w:hint="eastAsia"/>
          <w:sz w:val="30"/>
          <w:szCs w:val="30"/>
        </w:rPr>
        <w:t>，</w:t>
      </w:r>
      <w:r w:rsidRPr="00983515">
        <w:rPr>
          <w:rFonts w:ascii="仿宋_GB2312" w:eastAsia="仿宋_GB2312" w:hAnsi="宋体" w:hint="eastAsia"/>
          <w:sz w:val="30"/>
          <w:szCs w:val="30"/>
        </w:rPr>
        <w:t>分析公司所在的产业链位置、盈利模式、产品特色等内容。此外，指引对家具制造业上市公司的研发设计情况、品牌经营情</w:t>
      </w:r>
      <w:r w:rsidRPr="00983515">
        <w:rPr>
          <w:rFonts w:ascii="仿宋_GB2312" w:eastAsia="仿宋_GB2312" w:hAnsi="宋体" w:hint="eastAsia"/>
          <w:sz w:val="30"/>
          <w:szCs w:val="30"/>
        </w:rPr>
        <w:lastRenderedPageBreak/>
        <w:t>况、成本详细构成、销售渠道、存货情况等</w:t>
      </w:r>
      <w:r>
        <w:rPr>
          <w:rFonts w:ascii="仿宋_GB2312" w:eastAsia="仿宋_GB2312" w:hAnsi="宋体" w:hint="eastAsia"/>
          <w:sz w:val="30"/>
          <w:szCs w:val="30"/>
        </w:rPr>
        <w:t>细化</w:t>
      </w:r>
      <w:r w:rsidRPr="00983515">
        <w:rPr>
          <w:rFonts w:ascii="仿宋_GB2312" w:eastAsia="仿宋_GB2312" w:hAnsi="宋体" w:hint="eastAsia"/>
          <w:sz w:val="30"/>
          <w:szCs w:val="30"/>
        </w:rPr>
        <w:t>了披露要求，旨在有针对性地反映公司行业经营情况及核心价值，便于投资者投资决策。</w:t>
      </w:r>
    </w:p>
    <w:p w:rsidR="009B0614" w:rsidRDefault="009B0614" w:rsidP="009B0614">
      <w:pPr>
        <w:autoSpaceDE w:val="0"/>
        <w:autoSpaceDN w:val="0"/>
        <w:adjustRightInd w:val="0"/>
        <w:spacing w:line="560" w:lineRule="exact"/>
        <w:ind w:firstLineChars="200" w:firstLine="602"/>
        <w:rPr>
          <w:rFonts w:ascii="仿宋_GB2312" w:eastAsia="仿宋_GB2312" w:hAnsi="宋体"/>
          <w:b/>
          <w:sz w:val="30"/>
          <w:szCs w:val="30"/>
        </w:rPr>
      </w:pPr>
      <w:r w:rsidRPr="00514A64">
        <w:rPr>
          <w:rFonts w:ascii="仿宋_GB2312" w:eastAsia="仿宋_GB2312" w:hAnsi="宋体" w:hint="eastAsia"/>
          <w:b/>
          <w:sz w:val="30"/>
          <w:szCs w:val="30"/>
        </w:rPr>
        <w:t>（八）有色金属行业</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983515">
        <w:rPr>
          <w:rFonts w:ascii="仿宋_GB2312" w:eastAsia="仿宋_GB2312" w:hAnsi="宋体" w:hint="eastAsia"/>
          <w:sz w:val="30"/>
          <w:szCs w:val="30"/>
        </w:rPr>
        <w:t>有色金属行业对国内外基础资源依赖程度较高，</w:t>
      </w:r>
      <w:r>
        <w:rPr>
          <w:rFonts w:ascii="仿宋_GB2312" w:eastAsia="仿宋_GB2312" w:hAnsi="宋体" w:hint="eastAsia"/>
          <w:sz w:val="30"/>
          <w:szCs w:val="30"/>
        </w:rPr>
        <w:t>且</w:t>
      </w:r>
      <w:r w:rsidRPr="00983515">
        <w:rPr>
          <w:rFonts w:ascii="仿宋_GB2312" w:eastAsia="仿宋_GB2312" w:hAnsi="宋体" w:hint="eastAsia"/>
          <w:sz w:val="30"/>
          <w:szCs w:val="30"/>
        </w:rPr>
        <w:t>近年</w:t>
      </w:r>
      <w:r>
        <w:rPr>
          <w:rFonts w:ascii="仿宋_GB2312" w:eastAsia="仿宋_GB2312" w:hAnsi="宋体" w:hint="eastAsia"/>
          <w:sz w:val="30"/>
          <w:szCs w:val="30"/>
        </w:rPr>
        <w:t>来伴随</w:t>
      </w:r>
      <w:r w:rsidRPr="00983515">
        <w:rPr>
          <w:rFonts w:ascii="仿宋_GB2312" w:eastAsia="仿宋_GB2312" w:hAnsi="宋体" w:hint="eastAsia"/>
          <w:sz w:val="30"/>
          <w:szCs w:val="30"/>
        </w:rPr>
        <w:t>国内产能调整政策</w:t>
      </w:r>
      <w:r>
        <w:rPr>
          <w:rFonts w:ascii="仿宋_GB2312" w:eastAsia="仿宋_GB2312" w:hAnsi="宋体" w:hint="eastAsia"/>
          <w:sz w:val="30"/>
          <w:szCs w:val="30"/>
        </w:rPr>
        <w:t>逐步推进、</w:t>
      </w:r>
      <w:r w:rsidRPr="00983515">
        <w:rPr>
          <w:rFonts w:ascii="仿宋_GB2312" w:eastAsia="仿宋_GB2312" w:hAnsi="宋体" w:hint="eastAsia"/>
          <w:sz w:val="30"/>
          <w:szCs w:val="30"/>
        </w:rPr>
        <w:t>环保政策</w:t>
      </w:r>
      <w:r>
        <w:rPr>
          <w:rFonts w:ascii="仿宋_GB2312" w:eastAsia="仿宋_GB2312" w:hAnsi="宋体" w:hint="eastAsia"/>
          <w:sz w:val="30"/>
          <w:szCs w:val="30"/>
        </w:rPr>
        <w:t>不断加码、</w:t>
      </w:r>
      <w:r w:rsidRPr="00983515">
        <w:rPr>
          <w:rFonts w:ascii="仿宋_GB2312" w:eastAsia="仿宋_GB2312" w:hAnsi="宋体" w:hint="eastAsia"/>
          <w:sz w:val="30"/>
          <w:szCs w:val="30"/>
        </w:rPr>
        <w:t>国际贸易形势</w:t>
      </w:r>
      <w:r>
        <w:rPr>
          <w:rFonts w:ascii="仿宋_GB2312" w:eastAsia="仿宋_GB2312" w:hAnsi="宋体" w:hint="eastAsia"/>
          <w:sz w:val="30"/>
          <w:szCs w:val="30"/>
        </w:rPr>
        <w:t>复杂</w:t>
      </w:r>
      <w:r w:rsidRPr="00983515">
        <w:rPr>
          <w:rFonts w:ascii="仿宋_GB2312" w:eastAsia="仿宋_GB2312" w:hAnsi="宋体" w:hint="eastAsia"/>
          <w:sz w:val="30"/>
          <w:szCs w:val="30"/>
        </w:rPr>
        <w:t>多变</w:t>
      </w:r>
      <w:r>
        <w:rPr>
          <w:rFonts w:ascii="仿宋_GB2312" w:eastAsia="仿宋_GB2312" w:hAnsi="宋体" w:hint="eastAsia"/>
          <w:sz w:val="30"/>
          <w:szCs w:val="30"/>
        </w:rPr>
        <w:t>等</w:t>
      </w:r>
      <w:r w:rsidRPr="00983515">
        <w:rPr>
          <w:rFonts w:ascii="仿宋_GB2312" w:eastAsia="仿宋_GB2312" w:hAnsi="宋体" w:hint="eastAsia"/>
          <w:sz w:val="30"/>
          <w:szCs w:val="30"/>
        </w:rPr>
        <w:t>，行业</w:t>
      </w:r>
      <w:r>
        <w:rPr>
          <w:rFonts w:ascii="仿宋_GB2312" w:eastAsia="仿宋_GB2312" w:hAnsi="宋体" w:hint="eastAsia"/>
          <w:sz w:val="30"/>
          <w:szCs w:val="30"/>
        </w:rPr>
        <w:t>整体</w:t>
      </w:r>
      <w:r w:rsidRPr="00983515">
        <w:rPr>
          <w:rFonts w:ascii="仿宋_GB2312" w:eastAsia="仿宋_GB2312" w:hAnsi="宋体" w:hint="eastAsia"/>
          <w:sz w:val="30"/>
          <w:szCs w:val="30"/>
        </w:rPr>
        <w:t>面临</w:t>
      </w:r>
      <w:r>
        <w:rPr>
          <w:rFonts w:ascii="仿宋_GB2312" w:eastAsia="仿宋_GB2312" w:hAnsi="宋体" w:hint="eastAsia"/>
          <w:sz w:val="30"/>
          <w:szCs w:val="30"/>
        </w:rPr>
        <w:t>诸多</w:t>
      </w:r>
      <w:r w:rsidRPr="00983515">
        <w:rPr>
          <w:rFonts w:ascii="仿宋_GB2312" w:eastAsia="仿宋_GB2312" w:hAnsi="宋体" w:hint="eastAsia"/>
          <w:sz w:val="30"/>
          <w:szCs w:val="30"/>
        </w:rPr>
        <w:t>挑战。为此，有色金属行业指引着重要求公司</w:t>
      </w:r>
      <w:r>
        <w:rPr>
          <w:rFonts w:ascii="仿宋_GB2312" w:eastAsia="仿宋_GB2312" w:hAnsi="宋体" w:hint="eastAsia"/>
          <w:sz w:val="30"/>
          <w:szCs w:val="30"/>
        </w:rPr>
        <w:t>具体分析</w:t>
      </w:r>
      <w:r w:rsidRPr="00983515">
        <w:rPr>
          <w:rFonts w:ascii="仿宋_GB2312" w:eastAsia="仿宋_GB2312" w:hAnsi="宋体" w:hint="eastAsia"/>
          <w:sz w:val="30"/>
          <w:szCs w:val="30"/>
        </w:rPr>
        <w:t>宏观层面</w:t>
      </w:r>
      <w:r>
        <w:rPr>
          <w:rFonts w:ascii="仿宋_GB2312" w:eastAsia="仿宋_GB2312" w:hAnsi="宋体" w:hint="eastAsia"/>
          <w:sz w:val="30"/>
          <w:szCs w:val="30"/>
        </w:rPr>
        <w:t>上国内外局势和政策变动对公司经营的影响，并结合中观层面</w:t>
      </w:r>
      <w:r w:rsidRPr="00983515">
        <w:rPr>
          <w:rFonts w:ascii="仿宋_GB2312" w:eastAsia="仿宋_GB2312" w:hAnsi="宋体" w:hint="eastAsia"/>
          <w:sz w:val="30"/>
          <w:szCs w:val="30"/>
        </w:rPr>
        <w:t>上游矿产成本构成、自身生产盈利模式以及下游市场销售情况，说明公司业务模式和核心竞争力</w:t>
      </w:r>
      <w:r>
        <w:rPr>
          <w:rFonts w:ascii="仿宋_GB2312" w:eastAsia="仿宋_GB2312" w:hAnsi="宋体" w:hint="eastAsia"/>
          <w:sz w:val="30"/>
          <w:szCs w:val="30"/>
        </w:rPr>
        <w:t>情况。同时，指引</w:t>
      </w:r>
      <w:r>
        <w:rPr>
          <w:rFonts w:ascii="仿宋_GB2312" w:eastAsia="仿宋_GB2312" w:hAnsi="仿宋" w:cs="宋体" w:hint="eastAsia"/>
          <w:kern w:val="0"/>
          <w:sz w:val="30"/>
          <w:szCs w:val="30"/>
        </w:rPr>
        <w:t>针对行业内上市公司资源</w:t>
      </w:r>
      <w:r w:rsidRPr="00E9593E">
        <w:rPr>
          <w:rFonts w:ascii="仿宋_GB2312" w:eastAsia="仿宋_GB2312" w:hAnsi="仿宋" w:cs="宋体" w:hint="eastAsia"/>
          <w:kern w:val="0"/>
          <w:sz w:val="30"/>
          <w:szCs w:val="30"/>
        </w:rPr>
        <w:t>储量</w:t>
      </w:r>
      <w:r>
        <w:rPr>
          <w:rFonts w:ascii="仿宋_GB2312" w:eastAsia="仿宋_GB2312" w:hAnsi="仿宋" w:cs="宋体" w:hint="eastAsia"/>
          <w:kern w:val="0"/>
          <w:sz w:val="30"/>
          <w:szCs w:val="30"/>
        </w:rPr>
        <w:t>、开采和生产销售情况、</w:t>
      </w:r>
      <w:r w:rsidRPr="00E9593E">
        <w:rPr>
          <w:rFonts w:ascii="仿宋_GB2312" w:eastAsia="仿宋_GB2312" w:hAnsi="仿宋" w:cs="宋体" w:hint="eastAsia"/>
          <w:kern w:val="0"/>
          <w:sz w:val="30"/>
          <w:szCs w:val="30"/>
        </w:rPr>
        <w:t>重大</w:t>
      </w:r>
      <w:r>
        <w:rPr>
          <w:rFonts w:ascii="仿宋_GB2312" w:eastAsia="仿宋_GB2312" w:hAnsi="仿宋" w:cs="宋体" w:hint="eastAsia"/>
          <w:kern w:val="0"/>
          <w:sz w:val="30"/>
          <w:szCs w:val="30"/>
        </w:rPr>
        <w:t>建设项目及</w:t>
      </w:r>
      <w:r w:rsidRPr="00E9593E">
        <w:rPr>
          <w:rFonts w:ascii="仿宋_GB2312" w:eastAsia="仿宋_GB2312" w:hAnsi="仿宋" w:cs="宋体" w:hint="eastAsia"/>
          <w:kern w:val="0"/>
          <w:sz w:val="30"/>
          <w:szCs w:val="30"/>
        </w:rPr>
        <w:t>资产</w:t>
      </w:r>
      <w:r>
        <w:rPr>
          <w:rFonts w:ascii="仿宋_GB2312" w:eastAsia="仿宋_GB2312" w:hAnsi="仿宋" w:cs="宋体" w:hint="eastAsia"/>
          <w:kern w:val="0"/>
          <w:sz w:val="30"/>
          <w:szCs w:val="30"/>
        </w:rPr>
        <w:t>收购出售、</w:t>
      </w:r>
      <w:r w:rsidRPr="00E9593E">
        <w:rPr>
          <w:rFonts w:ascii="仿宋_GB2312" w:eastAsia="仿宋_GB2312" w:hAnsi="仿宋" w:cs="宋体" w:hint="eastAsia"/>
          <w:kern w:val="0"/>
          <w:sz w:val="30"/>
          <w:szCs w:val="30"/>
        </w:rPr>
        <w:t>安全环保工作</w:t>
      </w:r>
      <w:r>
        <w:rPr>
          <w:rFonts w:ascii="仿宋_GB2312" w:eastAsia="仿宋_GB2312" w:hAnsi="仿宋" w:cs="宋体" w:hint="eastAsia"/>
          <w:kern w:val="0"/>
          <w:sz w:val="30"/>
          <w:szCs w:val="30"/>
        </w:rPr>
        <w:t>等方面，细化了</w:t>
      </w:r>
      <w:r w:rsidRPr="00E9593E">
        <w:rPr>
          <w:rFonts w:ascii="仿宋_GB2312" w:eastAsia="仿宋_GB2312" w:hAnsi="仿宋" w:cs="宋体" w:hint="eastAsia"/>
          <w:kern w:val="0"/>
          <w:sz w:val="30"/>
          <w:szCs w:val="30"/>
        </w:rPr>
        <w:t>行业经营性信息</w:t>
      </w:r>
      <w:r>
        <w:rPr>
          <w:rFonts w:ascii="仿宋_GB2312" w:eastAsia="仿宋_GB2312" w:hAnsi="仿宋" w:cs="宋体" w:hint="eastAsia"/>
          <w:kern w:val="0"/>
          <w:sz w:val="30"/>
          <w:szCs w:val="30"/>
        </w:rPr>
        <w:t>的披露要求，同时</w:t>
      </w:r>
      <w:r>
        <w:rPr>
          <w:rFonts w:ascii="仿宋_GB2312" w:eastAsia="仿宋_GB2312" w:hAnsi="宋体" w:hint="eastAsia"/>
          <w:sz w:val="30"/>
          <w:szCs w:val="30"/>
        </w:rPr>
        <w:t>明确要求</w:t>
      </w:r>
      <w:r w:rsidRPr="00983515">
        <w:rPr>
          <w:rFonts w:ascii="仿宋_GB2312" w:eastAsia="仿宋_GB2312" w:hAnsi="宋体" w:hint="eastAsia"/>
          <w:sz w:val="30"/>
          <w:szCs w:val="30"/>
        </w:rPr>
        <w:t>披露</w:t>
      </w:r>
      <w:r>
        <w:rPr>
          <w:rFonts w:ascii="仿宋_GB2312" w:eastAsia="仿宋_GB2312" w:hAnsi="宋体" w:hint="eastAsia"/>
          <w:sz w:val="30"/>
          <w:szCs w:val="30"/>
        </w:rPr>
        <w:t>公司</w:t>
      </w:r>
      <w:r w:rsidRPr="00983515">
        <w:rPr>
          <w:rFonts w:ascii="仿宋_GB2312" w:eastAsia="仿宋_GB2312" w:hAnsi="宋体" w:hint="eastAsia"/>
          <w:sz w:val="30"/>
          <w:szCs w:val="30"/>
        </w:rPr>
        <w:t>参与</w:t>
      </w:r>
      <w:r>
        <w:rPr>
          <w:rFonts w:ascii="仿宋_GB2312" w:eastAsia="仿宋_GB2312" w:hAnsi="宋体" w:hint="eastAsia"/>
          <w:sz w:val="30"/>
          <w:szCs w:val="30"/>
        </w:rPr>
        <w:t>延伸产业链新业务相关信息，并分析与现有业务的协同效应及可能存在的运营风险</w:t>
      </w:r>
      <w:r w:rsidRPr="00983515">
        <w:rPr>
          <w:rFonts w:ascii="仿宋_GB2312" w:eastAsia="仿宋_GB2312" w:hAnsi="宋体" w:hint="eastAsia"/>
          <w:sz w:val="30"/>
          <w:szCs w:val="30"/>
        </w:rPr>
        <w:t>。</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r w:rsidRPr="00983515">
        <w:rPr>
          <w:rFonts w:ascii="仿宋_GB2312" w:eastAsia="仿宋_GB2312" w:hAnsi="宋体" w:hint="eastAsia"/>
          <w:sz w:val="30"/>
          <w:szCs w:val="30"/>
        </w:rPr>
        <w:t>特此说明。</w:t>
      </w: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p>
    <w:p w:rsidR="009B0614" w:rsidRDefault="009B0614" w:rsidP="009B0614">
      <w:pPr>
        <w:autoSpaceDE w:val="0"/>
        <w:autoSpaceDN w:val="0"/>
        <w:adjustRightInd w:val="0"/>
        <w:spacing w:line="560" w:lineRule="exact"/>
        <w:ind w:firstLineChars="200" w:firstLine="600"/>
        <w:rPr>
          <w:rFonts w:ascii="仿宋_GB2312" w:eastAsia="仿宋_GB2312" w:hAnsi="宋体"/>
          <w:sz w:val="30"/>
          <w:szCs w:val="30"/>
        </w:rPr>
      </w:pPr>
    </w:p>
    <w:p w:rsidR="00C00B54" w:rsidRDefault="00C00B54"/>
    <w:sectPr w:rsidR="00C00B54" w:rsidSect="003679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F56" w:rsidRDefault="00B43F56" w:rsidP="00775A64">
      <w:r>
        <w:separator/>
      </w:r>
    </w:p>
  </w:endnote>
  <w:endnote w:type="continuationSeparator" w:id="1">
    <w:p w:rsidR="00B43F56" w:rsidRDefault="00B43F56" w:rsidP="00775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10580"/>
      <w:docPartObj>
        <w:docPartGallery w:val="Page Numbers (Bottom of Page)"/>
        <w:docPartUnique/>
      </w:docPartObj>
    </w:sdtPr>
    <w:sdtContent>
      <w:p w:rsidR="00514A64" w:rsidRDefault="00733461">
        <w:pPr>
          <w:pStyle w:val="a3"/>
          <w:jc w:val="center"/>
        </w:pPr>
        <w:r>
          <w:fldChar w:fldCharType="begin"/>
        </w:r>
        <w:r w:rsidR="009B0614">
          <w:instrText xml:space="preserve"> PAGE   \* MERGEFORMAT </w:instrText>
        </w:r>
        <w:r>
          <w:fldChar w:fldCharType="separate"/>
        </w:r>
        <w:r w:rsidR="007B6CC7" w:rsidRPr="007B6CC7">
          <w:rPr>
            <w:noProof/>
            <w:lang w:val="zh-CN"/>
          </w:rPr>
          <w:t>1</w:t>
        </w:r>
        <w:r>
          <w:fldChar w:fldCharType="end"/>
        </w:r>
      </w:p>
    </w:sdtContent>
  </w:sdt>
  <w:p w:rsidR="001C5096" w:rsidRDefault="00B43F5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F56" w:rsidRDefault="00B43F56" w:rsidP="00775A64">
      <w:r>
        <w:separator/>
      </w:r>
    </w:p>
  </w:footnote>
  <w:footnote w:type="continuationSeparator" w:id="1">
    <w:p w:rsidR="00B43F56" w:rsidRDefault="00B43F56" w:rsidP="00775A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0614"/>
    <w:rsid w:val="001B5009"/>
    <w:rsid w:val="00326948"/>
    <w:rsid w:val="003C4096"/>
    <w:rsid w:val="00733461"/>
    <w:rsid w:val="00775A64"/>
    <w:rsid w:val="007B6CC7"/>
    <w:rsid w:val="009B0614"/>
    <w:rsid w:val="00B43F56"/>
    <w:rsid w:val="00C00B54"/>
    <w:rsid w:val="00C31DDF"/>
    <w:rsid w:val="00C874CB"/>
    <w:rsid w:val="00E72676"/>
    <w:rsid w:val="00F27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61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B06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9B0614"/>
    <w:rPr>
      <w:sz w:val="18"/>
      <w:szCs w:val="18"/>
    </w:rPr>
  </w:style>
  <w:style w:type="paragraph" w:styleId="a4">
    <w:name w:val="Balloon Text"/>
    <w:basedOn w:val="a"/>
    <w:link w:val="Char0"/>
    <w:uiPriority w:val="99"/>
    <w:semiHidden/>
    <w:unhideWhenUsed/>
    <w:rsid w:val="009B0614"/>
    <w:rPr>
      <w:sz w:val="18"/>
      <w:szCs w:val="18"/>
    </w:rPr>
  </w:style>
  <w:style w:type="character" w:customStyle="1" w:styleId="Char0">
    <w:name w:val="批注框文本 Char"/>
    <w:basedOn w:val="a0"/>
    <w:link w:val="a4"/>
    <w:uiPriority w:val="99"/>
    <w:semiHidden/>
    <w:rsid w:val="009B0614"/>
    <w:rPr>
      <w:rFonts w:ascii="Calibri" w:eastAsia="宋体" w:hAnsi="Calibri" w:cs="Times New Roman"/>
      <w:sz w:val="18"/>
      <w:szCs w:val="18"/>
    </w:rPr>
  </w:style>
  <w:style w:type="paragraph" w:styleId="a5">
    <w:name w:val="header"/>
    <w:basedOn w:val="a"/>
    <w:link w:val="Char1"/>
    <w:uiPriority w:val="99"/>
    <w:semiHidden/>
    <w:unhideWhenUsed/>
    <w:rsid w:val="0032694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2694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oguba.com.cn/search?searchContent=%E9%AB%98%E7%A7%91%E6%8A%80&amp;type=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秦懿(拟稿)</dc:creator>
  <cp:lastModifiedBy>费琼(编号)</cp:lastModifiedBy>
  <cp:revision>9</cp:revision>
  <dcterms:created xsi:type="dcterms:W3CDTF">2018-10-31T06:24:00Z</dcterms:created>
  <dcterms:modified xsi:type="dcterms:W3CDTF">2018-11-09T05:21:00Z</dcterms:modified>
</cp:coreProperties>
</file>