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13" w:rsidRDefault="006F180F">
      <w:pPr>
        <w:widowControl/>
        <w:shd w:val="clear" w:color="auto" w:fill="FFFFFF"/>
        <w:spacing w:after="167" w:line="375" w:lineRule="atLeast"/>
        <w:jc w:val="left"/>
        <w:rPr>
          <w:rFonts w:ascii="仿宋_GB2312" w:eastAsia="仿宋_GB2312"/>
          <w:sz w:val="30"/>
          <w:szCs w:val="30"/>
        </w:rPr>
      </w:pPr>
      <w:r>
        <w:rPr>
          <w:rFonts w:ascii="仿宋_GB2312" w:eastAsia="仿宋_GB2312" w:hint="eastAsia"/>
          <w:sz w:val="30"/>
          <w:szCs w:val="30"/>
        </w:rPr>
        <w:t>附件</w:t>
      </w:r>
      <w:r w:rsidR="00520CA7">
        <w:rPr>
          <w:rFonts w:ascii="仿宋_GB2312" w:eastAsia="仿宋_GB2312" w:hint="eastAsia"/>
          <w:sz w:val="30"/>
          <w:szCs w:val="30"/>
        </w:rPr>
        <w:t>2</w:t>
      </w:r>
    </w:p>
    <w:p w:rsidR="00605D13" w:rsidRDefault="00605D13">
      <w:pPr>
        <w:jc w:val="left"/>
        <w:rPr>
          <w:rFonts w:ascii="黑体" w:eastAsia="黑体" w:hAnsi="黑体"/>
          <w:b/>
          <w:sz w:val="36"/>
          <w:szCs w:val="36"/>
        </w:rPr>
      </w:pPr>
    </w:p>
    <w:p w:rsidR="00605D13" w:rsidRDefault="006F180F">
      <w:pPr>
        <w:jc w:val="center"/>
        <w:rPr>
          <w:rFonts w:ascii="黑体" w:eastAsia="黑体" w:hAnsi="黑体"/>
          <w:b/>
          <w:sz w:val="36"/>
          <w:szCs w:val="36"/>
        </w:rPr>
      </w:pPr>
      <w:r>
        <w:rPr>
          <w:rFonts w:ascii="黑体" w:eastAsia="黑体" w:hAnsi="黑体" w:hint="eastAsia"/>
          <w:b/>
          <w:sz w:val="36"/>
          <w:szCs w:val="36"/>
        </w:rPr>
        <w:t>《上海证券交易所与境外证券交易所互联互通存托凭证上市交易暂行办法（202</w:t>
      </w:r>
      <w:r w:rsidR="00605D13" w:rsidRPr="00605D13">
        <w:rPr>
          <w:rFonts w:ascii="黑体" w:eastAsia="黑体" w:hAnsi="黑体"/>
          <w:b/>
          <w:sz w:val="36"/>
          <w:szCs w:val="36"/>
        </w:rPr>
        <w:t>3</w:t>
      </w:r>
      <w:r>
        <w:rPr>
          <w:rFonts w:ascii="黑体" w:eastAsia="黑体" w:hAnsi="黑体" w:hint="eastAsia"/>
          <w:b/>
          <w:sz w:val="36"/>
          <w:szCs w:val="36"/>
        </w:rPr>
        <w:t>年修订）（征求意见稿）》起草说明</w:t>
      </w:r>
    </w:p>
    <w:p w:rsidR="00605D13" w:rsidRDefault="00605D13">
      <w:pPr>
        <w:jc w:val="center"/>
        <w:rPr>
          <w:rFonts w:ascii="黑体" w:eastAsia="黑体" w:hAnsi="黑体"/>
          <w:sz w:val="36"/>
          <w:szCs w:val="36"/>
        </w:rPr>
      </w:pPr>
    </w:p>
    <w:p w:rsidR="00605D13" w:rsidRDefault="006F180F" w:rsidP="00605D13">
      <w:pPr>
        <w:widowControl/>
        <w:shd w:val="clear" w:color="auto" w:fill="FFFFFF"/>
        <w:spacing w:line="56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为了进一步优化互联互通存托凭证业务机制，切实做好全球存托凭证（GDR）境外上市备案管理与全面实行注册制的衔接，按照中国证监会《境内外证券交易所互联互通存托凭证业务监管规定》《境内企业境外发行证券和上市管理试行办法》等有关规定，上海证券交易所（以下简称本所）制定了《上海证券交易所与境外证券交易所互联互通存托凭证上</w:t>
      </w:r>
      <w:bookmarkStart w:id="0" w:name="_GoBack"/>
      <w:bookmarkEnd w:id="0"/>
      <w:r>
        <w:rPr>
          <w:rFonts w:ascii="仿宋_GB2312" w:eastAsia="仿宋_GB2312" w:hAnsi="仿宋" w:cs="宋体" w:hint="eastAsia"/>
          <w:kern w:val="0"/>
          <w:sz w:val="30"/>
          <w:szCs w:val="30"/>
        </w:rPr>
        <w:t>市交易暂行办法（2023年修订）（征求意见稿）》（以下简称《暂行办法》）。</w:t>
      </w:r>
    </w:p>
    <w:p w:rsidR="00605D13" w:rsidRDefault="002D5EE3" w:rsidP="00605D13">
      <w:pPr>
        <w:widowControl/>
        <w:shd w:val="clear" w:color="auto" w:fill="FFFFFF"/>
        <w:spacing w:line="560" w:lineRule="exact"/>
        <w:ind w:firstLineChars="200" w:firstLine="600"/>
        <w:jc w:val="left"/>
        <w:rPr>
          <w:rFonts w:ascii="仿宋_GB2312" w:eastAsia="仿宋_GB2312" w:hAnsi="仿宋" w:cs="宋体"/>
          <w:kern w:val="0"/>
          <w:sz w:val="30"/>
          <w:szCs w:val="30"/>
        </w:rPr>
      </w:pPr>
      <w:r>
        <w:rPr>
          <w:rFonts w:ascii="仿宋_GB2312" w:eastAsia="仿宋_GB2312" w:hAnsi="仿宋" w:cs="宋体" w:hint="eastAsia"/>
          <w:kern w:val="0"/>
          <w:sz w:val="30"/>
          <w:szCs w:val="30"/>
        </w:rPr>
        <w:t>本次《暂行办法》修订，主要包括以下三</w:t>
      </w:r>
      <w:r w:rsidR="006F180F">
        <w:rPr>
          <w:rFonts w:ascii="仿宋_GB2312" w:eastAsia="仿宋_GB2312" w:hAnsi="仿宋" w:cs="宋体" w:hint="eastAsia"/>
          <w:kern w:val="0"/>
          <w:sz w:val="30"/>
          <w:szCs w:val="30"/>
        </w:rPr>
        <w:t>个方面：</w:t>
      </w:r>
    </w:p>
    <w:p w:rsidR="00605D13" w:rsidRDefault="006F180F">
      <w:pPr>
        <w:widowControl/>
        <w:shd w:val="clear" w:color="auto" w:fill="FFFFFF"/>
        <w:spacing w:line="560" w:lineRule="exact"/>
        <w:ind w:firstLine="585"/>
        <w:jc w:val="left"/>
        <w:rPr>
          <w:rFonts w:ascii="仿宋_GB2312" w:eastAsia="仿宋_GB2312" w:hAnsi="仿宋" w:cs="宋体"/>
          <w:kern w:val="0"/>
          <w:sz w:val="30"/>
          <w:szCs w:val="30"/>
        </w:rPr>
      </w:pPr>
      <w:r>
        <w:rPr>
          <w:rFonts w:ascii="仿宋_GB2312" w:eastAsia="仿宋_GB2312" w:hAnsi="仿宋" w:cs="宋体" w:hint="eastAsia"/>
          <w:kern w:val="0"/>
          <w:sz w:val="30"/>
          <w:szCs w:val="30"/>
        </w:rPr>
        <w:t>一是明确境外发行上市GDR应当符合的条件。本所上市公司以其境内新增股票为基础证券在境外发行上市GDR的，除了应当符合《上市公司证券发行注册管理办法》《境内外证券交易所互联互通存托凭证业务监管规定》规定的发行条件外，还应当已在本所上市满1年，且申请日前市值不低于人民币</w:t>
      </w:r>
      <w:r>
        <w:rPr>
          <w:rFonts w:ascii="仿宋_GB2312" w:eastAsia="仿宋_GB2312" w:hAnsi="仿宋" w:cs="宋体"/>
          <w:kern w:val="0"/>
          <w:sz w:val="30"/>
          <w:szCs w:val="30"/>
        </w:rPr>
        <w:t>200</w:t>
      </w:r>
      <w:r>
        <w:rPr>
          <w:rFonts w:ascii="仿宋_GB2312" w:eastAsia="仿宋_GB2312" w:hAnsi="仿宋" w:cs="宋体" w:hint="eastAsia"/>
          <w:kern w:val="0"/>
          <w:sz w:val="30"/>
          <w:szCs w:val="30"/>
        </w:rPr>
        <w:t>亿元。</w:t>
      </w:r>
    </w:p>
    <w:p w:rsidR="00605D13" w:rsidRDefault="006F180F">
      <w:pPr>
        <w:widowControl/>
        <w:shd w:val="clear" w:color="auto" w:fill="FFFFFF"/>
        <w:spacing w:line="560" w:lineRule="exact"/>
        <w:ind w:firstLine="585"/>
        <w:jc w:val="left"/>
        <w:rPr>
          <w:rFonts w:ascii="仿宋_GB2312" w:eastAsia="仿宋_GB2312" w:hAnsi="仿宋" w:cs="宋体"/>
          <w:kern w:val="0"/>
          <w:sz w:val="30"/>
          <w:szCs w:val="30"/>
        </w:rPr>
      </w:pPr>
      <w:r>
        <w:rPr>
          <w:rFonts w:ascii="仿宋_GB2312" w:eastAsia="仿宋_GB2312" w:hAnsi="仿宋" w:cs="宋体" w:hint="eastAsia"/>
          <w:kern w:val="0"/>
          <w:sz w:val="30"/>
          <w:szCs w:val="30"/>
        </w:rPr>
        <w:t>二是明确GDR对应新增基础股票发行上市申请的审核安排。按照全面实行注册制的要求，本所发行上市审核机构对上市公司境内新增基础股票的发行上市申请文件进行审核，相关审核程序、</w:t>
      </w:r>
      <w:r>
        <w:rPr>
          <w:rFonts w:ascii="仿宋_GB2312" w:eastAsia="仿宋_GB2312" w:hAnsi="仿宋" w:cs="宋体" w:hint="eastAsia"/>
          <w:kern w:val="0"/>
          <w:sz w:val="30"/>
          <w:szCs w:val="30"/>
        </w:rPr>
        <w:lastRenderedPageBreak/>
        <w:t>机制适用《上海证券交易所上市公司证券发行上市审核规则》中关于向特定对象发行证券的规定。</w:t>
      </w:r>
    </w:p>
    <w:p w:rsidR="00605D13" w:rsidRDefault="006F180F">
      <w:pPr>
        <w:widowControl/>
        <w:shd w:val="clear" w:color="auto" w:fill="FFFFFF"/>
        <w:spacing w:line="560" w:lineRule="exact"/>
        <w:ind w:firstLine="585"/>
        <w:jc w:val="left"/>
        <w:rPr>
          <w:rFonts w:ascii="Times New Roman" w:eastAsia="仿宋_GB2312" w:hAnsi="Times New Roman"/>
          <w:sz w:val="30"/>
          <w:szCs w:val="32"/>
        </w:rPr>
      </w:pPr>
      <w:r>
        <w:rPr>
          <w:rFonts w:ascii="仿宋_GB2312" w:eastAsia="仿宋_GB2312" w:hAnsi="仿宋" w:cs="宋体" w:hint="eastAsia"/>
          <w:kern w:val="0"/>
          <w:sz w:val="30"/>
          <w:szCs w:val="30"/>
        </w:rPr>
        <w:t>三是加强全过程信息披露监管。上市公司在境外发行上市GDR的，应当在履行内部审议程序、向境外有关机构提交发行上市申请、GDR在境外发行上市和募集资金到账等重要时间节点，及时披露进展情况。</w:t>
      </w:r>
    </w:p>
    <w:p w:rsidR="0097636B" w:rsidRDefault="0097636B" w:rsidP="00605D13">
      <w:pPr>
        <w:widowControl/>
        <w:shd w:val="clear" w:color="auto" w:fill="FFFFFF"/>
        <w:spacing w:line="560" w:lineRule="exact"/>
        <w:ind w:firstLine="630"/>
        <w:rPr>
          <w:rFonts w:ascii="仿宋_GB2312" w:eastAsia="仿宋_GB2312" w:hAnsi="仿宋" w:cs="宋体"/>
          <w:kern w:val="0"/>
          <w:sz w:val="30"/>
          <w:szCs w:val="30"/>
        </w:rPr>
      </w:pPr>
    </w:p>
    <w:p w:rsidR="00605D13" w:rsidRDefault="006F180F" w:rsidP="00605D13">
      <w:pPr>
        <w:widowControl/>
        <w:shd w:val="clear" w:color="auto" w:fill="FFFFFF"/>
        <w:spacing w:line="560" w:lineRule="exact"/>
        <w:ind w:firstLine="630"/>
      </w:pPr>
      <w:r>
        <w:rPr>
          <w:rFonts w:ascii="仿宋_GB2312" w:eastAsia="仿宋_GB2312" w:hAnsi="仿宋" w:cs="宋体" w:hint="eastAsia"/>
          <w:kern w:val="0"/>
          <w:sz w:val="30"/>
          <w:szCs w:val="30"/>
        </w:rPr>
        <w:t>特此说明。</w:t>
      </w:r>
    </w:p>
    <w:sectPr w:rsidR="00605D13" w:rsidSect="00605D1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FC0" w:rsidRDefault="00AB6FC0" w:rsidP="00605D13">
      <w:r>
        <w:separator/>
      </w:r>
    </w:p>
  </w:endnote>
  <w:endnote w:type="continuationSeparator" w:id="0">
    <w:p w:rsidR="00AB6FC0" w:rsidRDefault="00AB6FC0" w:rsidP="00605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74376"/>
    </w:sdtPr>
    <w:sdtContent>
      <w:p w:rsidR="00605D13" w:rsidRDefault="00F4764C">
        <w:pPr>
          <w:pStyle w:val="a3"/>
          <w:jc w:val="center"/>
        </w:pPr>
        <w:r w:rsidRPr="00F4764C">
          <w:fldChar w:fldCharType="begin"/>
        </w:r>
        <w:r w:rsidR="006F180F">
          <w:instrText xml:space="preserve"> PAGE   \* MERGEFORMAT </w:instrText>
        </w:r>
        <w:r w:rsidRPr="00F4764C">
          <w:fldChar w:fldCharType="separate"/>
        </w:r>
        <w:r w:rsidR="00520CA7" w:rsidRPr="00520CA7">
          <w:rPr>
            <w:noProof/>
            <w:lang w:val="zh-CN"/>
          </w:rPr>
          <w:t>1</w:t>
        </w:r>
        <w:r>
          <w:rPr>
            <w:lang w:val="zh-CN"/>
          </w:rPr>
          <w:fldChar w:fldCharType="end"/>
        </w:r>
      </w:p>
    </w:sdtContent>
  </w:sdt>
  <w:p w:rsidR="00605D13" w:rsidRDefault="00605D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FC0" w:rsidRDefault="00AB6FC0" w:rsidP="00605D13">
      <w:r>
        <w:separator/>
      </w:r>
    </w:p>
  </w:footnote>
  <w:footnote w:type="continuationSeparator" w:id="0">
    <w:p w:rsidR="00AB6FC0" w:rsidRDefault="00AB6FC0" w:rsidP="00605D1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cxie">
    <w15:presenceInfo w15:providerId="None" w15:userId="gcxi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317A0D"/>
    <w:rsid w:val="00055A89"/>
    <w:rsid w:val="000F5460"/>
    <w:rsid w:val="002146C1"/>
    <w:rsid w:val="002D5EE3"/>
    <w:rsid w:val="00317A0D"/>
    <w:rsid w:val="0034108F"/>
    <w:rsid w:val="00374FB8"/>
    <w:rsid w:val="003A4EF3"/>
    <w:rsid w:val="003E61F7"/>
    <w:rsid w:val="0042277E"/>
    <w:rsid w:val="00520CA7"/>
    <w:rsid w:val="005C2877"/>
    <w:rsid w:val="00605D13"/>
    <w:rsid w:val="006E3F71"/>
    <w:rsid w:val="006F180F"/>
    <w:rsid w:val="007246CD"/>
    <w:rsid w:val="00776D04"/>
    <w:rsid w:val="007D38F1"/>
    <w:rsid w:val="00804F6B"/>
    <w:rsid w:val="00826DBA"/>
    <w:rsid w:val="0084640C"/>
    <w:rsid w:val="0097636B"/>
    <w:rsid w:val="00981420"/>
    <w:rsid w:val="00987879"/>
    <w:rsid w:val="00A04F95"/>
    <w:rsid w:val="00A502C3"/>
    <w:rsid w:val="00AA719E"/>
    <w:rsid w:val="00AB6FC0"/>
    <w:rsid w:val="00B1521F"/>
    <w:rsid w:val="00B27FB8"/>
    <w:rsid w:val="00C57B6D"/>
    <w:rsid w:val="00C771F1"/>
    <w:rsid w:val="00C85473"/>
    <w:rsid w:val="00CC4E02"/>
    <w:rsid w:val="00CC64E5"/>
    <w:rsid w:val="00CD0B9C"/>
    <w:rsid w:val="00D011AC"/>
    <w:rsid w:val="00D87365"/>
    <w:rsid w:val="00DA7AB1"/>
    <w:rsid w:val="00E23CE0"/>
    <w:rsid w:val="00E6254F"/>
    <w:rsid w:val="00E91CC0"/>
    <w:rsid w:val="00EB4527"/>
    <w:rsid w:val="00F4764C"/>
    <w:rsid w:val="00F663BD"/>
    <w:rsid w:val="00FC3B69"/>
    <w:rsid w:val="00FF1DFA"/>
    <w:rsid w:val="00FF7C0D"/>
    <w:rsid w:val="1FD61926"/>
    <w:rsid w:val="20554557"/>
    <w:rsid w:val="21695877"/>
    <w:rsid w:val="49E51DDE"/>
    <w:rsid w:val="56BF6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13"/>
    <w:pPr>
      <w:widowControl w:val="0"/>
      <w:jc w:val="both"/>
    </w:pPr>
    <w:rPr>
      <w:rFonts w:ascii="Calibri" w:hAnsi="Calibri"/>
      <w:kern w:val="2"/>
      <w:sz w:val="21"/>
      <w:szCs w:val="22"/>
    </w:rPr>
  </w:style>
  <w:style w:type="paragraph" w:styleId="2">
    <w:name w:val="heading 2"/>
    <w:basedOn w:val="a"/>
    <w:next w:val="a"/>
    <w:uiPriority w:val="9"/>
    <w:semiHidden/>
    <w:unhideWhenUsed/>
    <w:qFormat/>
    <w:rsid w:val="00605D13"/>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05D13"/>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605D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605D13"/>
    <w:rPr>
      <w:sz w:val="18"/>
      <w:szCs w:val="18"/>
    </w:rPr>
  </w:style>
  <w:style w:type="character" w:customStyle="1" w:styleId="Char">
    <w:name w:val="页脚 Char"/>
    <w:basedOn w:val="a0"/>
    <w:link w:val="a3"/>
    <w:uiPriority w:val="99"/>
    <w:qFormat/>
    <w:rsid w:val="00605D13"/>
    <w:rPr>
      <w:sz w:val="18"/>
      <w:szCs w:val="18"/>
    </w:rPr>
  </w:style>
  <w:style w:type="paragraph" w:styleId="a5">
    <w:name w:val="Balloon Text"/>
    <w:basedOn w:val="a"/>
    <w:link w:val="Char1"/>
    <w:uiPriority w:val="99"/>
    <w:semiHidden/>
    <w:unhideWhenUsed/>
    <w:rsid w:val="000F5460"/>
    <w:rPr>
      <w:sz w:val="18"/>
      <w:szCs w:val="18"/>
    </w:rPr>
  </w:style>
  <w:style w:type="character" w:customStyle="1" w:styleId="Char1">
    <w:name w:val="批注框文本 Char"/>
    <w:basedOn w:val="a0"/>
    <w:link w:val="a5"/>
    <w:uiPriority w:val="99"/>
    <w:semiHidden/>
    <w:rsid w:val="000F5460"/>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Words>
  <Characters>549</Characters>
  <Application>Microsoft Office Word</Application>
  <DocSecurity>0</DocSecurity>
  <Lines>4</Lines>
  <Paragraphs>1</Paragraphs>
  <ScaleCrop>false</ScaleCrop>
  <Company>上海证券交易所</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杨俊蕊</dc:creator>
  <cp:lastModifiedBy>杨俊蕊(送相关人员)</cp:lastModifiedBy>
  <cp:revision>21</cp:revision>
  <cp:lastPrinted>2023-06-01T01:52:00Z</cp:lastPrinted>
  <dcterms:created xsi:type="dcterms:W3CDTF">2023-05-29T07:22:00Z</dcterms:created>
  <dcterms:modified xsi:type="dcterms:W3CDTF">2023-06-02T08:41:00Z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8D847D74A0B341509643C2C08F46E8CA</vt:lpwstr>
  </property>
</Properties>
</file>