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34" w:rsidRDefault="00697034" w:rsidP="00697034">
      <w:pPr>
        <w:spacing w:line="560" w:lineRule="exact"/>
        <w:jc w:val="left"/>
        <w:rPr>
          <w:rFonts w:ascii="仿宋_GB2312" w:eastAsia="仿宋_GB2312"/>
          <w:sz w:val="30"/>
          <w:szCs w:val="30"/>
        </w:rPr>
      </w:pPr>
      <w:bookmarkStart w:id="0" w:name="_GoBack"/>
      <w:bookmarkEnd w:id="0"/>
      <w:r w:rsidRPr="00B64C11">
        <w:rPr>
          <w:rFonts w:ascii="仿宋_GB2312" w:eastAsia="仿宋_GB2312" w:hint="eastAsia"/>
          <w:sz w:val="30"/>
          <w:szCs w:val="30"/>
        </w:rPr>
        <w:t>附件</w:t>
      </w:r>
      <w:r w:rsidR="00AA5FFE">
        <w:rPr>
          <w:rFonts w:ascii="仿宋_GB2312" w:eastAsia="仿宋_GB2312" w:hint="eastAsia"/>
          <w:sz w:val="30"/>
          <w:szCs w:val="30"/>
        </w:rPr>
        <w:t>6</w:t>
      </w:r>
    </w:p>
    <w:p w:rsidR="00AB65ED" w:rsidRDefault="00AB65ED">
      <w:pPr>
        <w:adjustRightInd w:val="0"/>
        <w:snapToGrid w:val="0"/>
        <w:spacing w:line="600" w:lineRule="exact"/>
        <w:rPr>
          <w:rFonts w:ascii="黑体" w:eastAsia="黑体" w:hAnsi="黑体"/>
          <w:b/>
          <w:color w:val="000000" w:themeColor="text1"/>
          <w:sz w:val="44"/>
          <w:szCs w:val="44"/>
        </w:rPr>
      </w:pPr>
    </w:p>
    <w:p w:rsidR="00AB65ED" w:rsidRDefault="00C9245C">
      <w:pPr>
        <w:spacing w:line="560" w:lineRule="exact"/>
        <w:jc w:val="center"/>
        <w:outlineLvl w:val="0"/>
        <w:rPr>
          <w:rFonts w:ascii="黑体" w:eastAsia="黑体" w:hAnsi="黑体" w:cs="Times New Roman"/>
          <w:b/>
          <w:sz w:val="44"/>
          <w:szCs w:val="44"/>
        </w:rPr>
      </w:pPr>
      <w:r>
        <w:rPr>
          <w:rFonts w:ascii="黑体" w:eastAsia="黑体" w:hAnsi="黑体" w:cs="Times New Roman" w:hint="eastAsia"/>
          <w:b/>
          <w:sz w:val="44"/>
          <w:szCs w:val="44"/>
        </w:rPr>
        <w:t>《上海证券交易所上市公司重大资产重组审核规则（征求意见稿）》起草说明</w:t>
      </w:r>
    </w:p>
    <w:p w:rsidR="00AB65ED" w:rsidRDefault="00AB65ED">
      <w:pPr>
        <w:adjustRightInd w:val="0"/>
        <w:snapToGrid w:val="0"/>
        <w:spacing w:line="600" w:lineRule="exact"/>
        <w:ind w:firstLineChars="200" w:firstLine="600"/>
        <w:jc w:val="left"/>
        <w:rPr>
          <w:rFonts w:ascii="仿宋_GB2312" w:eastAsia="仿宋_GB2312"/>
          <w:color w:val="000000" w:themeColor="text1"/>
          <w:sz w:val="30"/>
          <w:szCs w:val="30"/>
        </w:rPr>
      </w:pPr>
    </w:p>
    <w:p w:rsidR="0079286B" w:rsidRDefault="00C9245C" w:rsidP="0079286B">
      <w:pPr>
        <w:snapToGrid w:val="0"/>
        <w:spacing w:line="600" w:lineRule="exact"/>
        <w:rPr>
          <w:rFonts w:eastAsia="仿宋_GB2312"/>
          <w:sz w:val="30"/>
          <w:szCs w:val="30"/>
        </w:rPr>
      </w:pPr>
      <w:r>
        <w:rPr>
          <w:rFonts w:eastAsia="仿宋_GB2312" w:hint="eastAsia"/>
          <w:sz w:val="30"/>
          <w:szCs w:val="30"/>
        </w:rPr>
        <w:t xml:space="preserve">    </w:t>
      </w:r>
      <w:r>
        <w:rPr>
          <w:rFonts w:eastAsia="仿宋_GB2312"/>
          <w:sz w:val="30"/>
          <w:szCs w:val="30"/>
        </w:rPr>
        <w:t>为</w:t>
      </w:r>
      <w:r w:rsidR="000B4F08">
        <w:rPr>
          <w:rFonts w:eastAsia="仿宋_GB2312" w:hint="eastAsia"/>
          <w:sz w:val="30"/>
          <w:szCs w:val="30"/>
        </w:rPr>
        <w:t>了</w:t>
      </w:r>
      <w:r>
        <w:rPr>
          <w:rFonts w:eastAsia="仿宋_GB2312"/>
          <w:sz w:val="30"/>
          <w:szCs w:val="30"/>
        </w:rPr>
        <w:t>落实</w:t>
      </w:r>
      <w:r w:rsidR="000B4F08">
        <w:rPr>
          <w:rFonts w:eastAsia="仿宋_GB2312" w:hint="eastAsia"/>
          <w:sz w:val="30"/>
          <w:szCs w:val="30"/>
        </w:rPr>
        <w:t>党</w:t>
      </w:r>
      <w:r>
        <w:rPr>
          <w:rFonts w:eastAsia="仿宋_GB2312"/>
          <w:sz w:val="30"/>
          <w:szCs w:val="30"/>
        </w:rPr>
        <w:t>中央</w:t>
      </w:r>
      <w:r w:rsidR="000B4F08">
        <w:rPr>
          <w:rFonts w:eastAsia="仿宋_GB2312" w:hint="eastAsia"/>
          <w:sz w:val="30"/>
          <w:szCs w:val="30"/>
        </w:rPr>
        <w:t>国务院</w:t>
      </w:r>
      <w:r>
        <w:rPr>
          <w:rFonts w:eastAsia="仿宋_GB2312"/>
          <w:sz w:val="30"/>
          <w:szCs w:val="30"/>
        </w:rPr>
        <w:t>关于全面实行股票发行注册制的决策部署，</w:t>
      </w:r>
      <w:r w:rsidR="0079286B">
        <w:rPr>
          <w:rFonts w:eastAsia="仿宋_GB2312"/>
          <w:sz w:val="30"/>
          <w:szCs w:val="30"/>
        </w:rPr>
        <w:t>完善要素资源市场化配置体制机制，根据</w:t>
      </w:r>
      <w:r w:rsidR="0079286B">
        <w:rPr>
          <w:rFonts w:eastAsia="仿宋_GB2312" w:hint="eastAsia"/>
          <w:sz w:val="30"/>
          <w:szCs w:val="30"/>
        </w:rPr>
        <w:t>《关于在上海证券交易所设立科创板并试点注册制的实施意见》</w:t>
      </w:r>
      <w:r w:rsidR="0079286B">
        <w:rPr>
          <w:rFonts w:ascii="仿宋_GB2312" w:eastAsia="仿宋_GB2312" w:hint="eastAsia"/>
          <w:color w:val="000000" w:themeColor="text1"/>
          <w:sz w:val="30"/>
          <w:szCs w:val="30"/>
        </w:rPr>
        <w:t>《上市公司重大资产重组管理办法》（以下简称《重组办法》）</w:t>
      </w:r>
      <w:r w:rsidR="00263C4B">
        <w:rPr>
          <w:rFonts w:ascii="仿宋_GB2312" w:eastAsia="仿宋_GB2312" w:hint="eastAsia"/>
          <w:color w:val="000000" w:themeColor="text1"/>
          <w:sz w:val="30"/>
          <w:szCs w:val="30"/>
        </w:rPr>
        <w:t>、</w:t>
      </w:r>
      <w:r w:rsidR="0079286B">
        <w:rPr>
          <w:rFonts w:ascii="仿宋_GB2312" w:eastAsia="仿宋_GB2312" w:hint="eastAsia"/>
          <w:sz w:val="30"/>
          <w:szCs w:val="30"/>
        </w:rPr>
        <w:t>《科创板上市公司重大资产重组特别规定》（以下简称《重组特别规定》）</w:t>
      </w:r>
      <w:r w:rsidR="0079286B">
        <w:rPr>
          <w:rFonts w:eastAsia="仿宋_GB2312"/>
          <w:sz w:val="30"/>
          <w:szCs w:val="30"/>
        </w:rPr>
        <w:t>及其他相关规定，本所制定了</w:t>
      </w:r>
      <w:r w:rsidR="0079286B">
        <w:rPr>
          <w:rFonts w:ascii="仿宋_GB2312" w:eastAsia="仿宋_GB2312" w:hint="eastAsia"/>
          <w:color w:val="000000" w:themeColor="text1"/>
          <w:sz w:val="30"/>
          <w:szCs w:val="30"/>
        </w:rPr>
        <w:t>《</w:t>
      </w:r>
      <w:r w:rsidR="00985506" w:rsidRPr="00985506">
        <w:rPr>
          <w:rFonts w:ascii="仿宋_GB2312" w:eastAsia="仿宋_GB2312" w:hint="eastAsia"/>
          <w:color w:val="000000" w:themeColor="text1"/>
          <w:sz w:val="30"/>
          <w:szCs w:val="30"/>
        </w:rPr>
        <w:t>上海证券交易所</w:t>
      </w:r>
      <w:r w:rsidR="0079286B">
        <w:rPr>
          <w:rFonts w:ascii="仿宋_GB2312" w:eastAsia="仿宋_GB2312" w:hint="eastAsia"/>
          <w:color w:val="000000" w:themeColor="text1"/>
          <w:sz w:val="30"/>
          <w:szCs w:val="30"/>
        </w:rPr>
        <w:t>上市公司重大资产重组审核规则（征求意见稿）》（以下简称《重组审核规则》）</w:t>
      </w:r>
      <w:r w:rsidR="0079286B">
        <w:rPr>
          <w:rFonts w:eastAsia="仿宋_GB2312"/>
          <w:sz w:val="30"/>
          <w:szCs w:val="30"/>
        </w:rPr>
        <w:t>。现将有关情况说明如下。</w:t>
      </w:r>
    </w:p>
    <w:p w:rsidR="0079286B" w:rsidRDefault="0079286B" w:rsidP="0079286B">
      <w:pPr>
        <w:snapToGrid w:val="0"/>
        <w:spacing w:line="600" w:lineRule="exact"/>
        <w:ind w:firstLineChars="200" w:firstLine="602"/>
        <w:outlineLvl w:val="0"/>
        <w:rPr>
          <w:rFonts w:ascii="黑体" w:eastAsia="黑体" w:hAnsi="黑体" w:cs="Times New Roman"/>
          <w:b/>
          <w:sz w:val="30"/>
          <w:szCs w:val="30"/>
        </w:rPr>
      </w:pPr>
      <w:r>
        <w:rPr>
          <w:rFonts w:ascii="黑体" w:eastAsia="黑体" w:hAnsi="黑体" w:cs="Times New Roman" w:hint="eastAsia"/>
          <w:b/>
          <w:sz w:val="30"/>
          <w:szCs w:val="30"/>
        </w:rPr>
        <w:t>一、起草思路</w:t>
      </w:r>
    </w:p>
    <w:p w:rsidR="0079286B" w:rsidRDefault="0079286B" w:rsidP="0079286B">
      <w:pPr>
        <w:adjustRightInd w:val="0"/>
        <w:snapToGrid w:val="0"/>
        <w:spacing w:line="600" w:lineRule="exact"/>
        <w:ind w:firstLineChars="200" w:firstLine="602"/>
        <w:rPr>
          <w:rFonts w:eastAsia="仿宋_GB2312"/>
          <w:sz w:val="30"/>
          <w:szCs w:val="30"/>
        </w:rPr>
      </w:pPr>
      <w:r>
        <w:rPr>
          <w:rFonts w:ascii="楷体_GB2312" w:eastAsia="楷体_GB2312" w:hAnsi="Times New Roman" w:cs="Times New Roman" w:hint="eastAsia"/>
          <w:b/>
          <w:sz w:val="30"/>
          <w:szCs w:val="30"/>
        </w:rPr>
        <w:t>（一）整体沿用科创板重组审核安排。</w:t>
      </w:r>
      <w:r>
        <w:rPr>
          <w:rFonts w:eastAsia="仿宋_GB2312" w:hint="eastAsia"/>
          <w:sz w:val="30"/>
          <w:szCs w:val="30"/>
        </w:rPr>
        <w:t>前期，科创板试点注册制相关制度安排为全面实行股票发行注册制打下了坚实基础。《重组审核规则》整体沿用了《上海证券交易所科创板上市公司重大资产重组审核规则》（以下简称《科创板重组审核规则》）的体例与主要制度安排，将科创板上市公司重大资产重组的信息披露要求以及发行股份购买资产的审核程序、机制等，扩展适用至主板，并作了优化完善。</w:t>
      </w:r>
    </w:p>
    <w:p w:rsidR="0079286B" w:rsidRDefault="0079286B" w:rsidP="0079286B">
      <w:pPr>
        <w:adjustRightInd w:val="0"/>
        <w:snapToGrid w:val="0"/>
        <w:spacing w:line="600" w:lineRule="exact"/>
        <w:ind w:firstLineChars="200" w:firstLine="602"/>
        <w:rPr>
          <w:rFonts w:eastAsia="仿宋_GB2312"/>
          <w:sz w:val="30"/>
          <w:szCs w:val="30"/>
        </w:rPr>
      </w:pPr>
      <w:r>
        <w:rPr>
          <w:rFonts w:ascii="楷体_GB2312" w:eastAsia="楷体_GB2312" w:hAnsi="Times New Roman" w:cs="Times New Roman" w:hint="eastAsia"/>
          <w:b/>
          <w:sz w:val="30"/>
          <w:szCs w:val="30"/>
        </w:rPr>
        <w:t>（二）体现上位规则监管理念和实践需求。</w:t>
      </w:r>
      <w:r>
        <w:rPr>
          <w:rFonts w:eastAsia="仿宋_GB2312" w:hint="eastAsia"/>
          <w:sz w:val="30"/>
          <w:szCs w:val="30"/>
        </w:rPr>
        <w:t>根据上位规则修订情况并参考审核实践，《重组审核规则》对《科创板重组审核</w:t>
      </w:r>
      <w:r>
        <w:rPr>
          <w:rFonts w:eastAsia="仿宋_GB2312" w:hint="eastAsia"/>
          <w:sz w:val="30"/>
          <w:szCs w:val="30"/>
        </w:rPr>
        <w:lastRenderedPageBreak/>
        <w:t>规则》相关内容作了相应修改和完善，包括</w:t>
      </w:r>
      <w:r>
        <w:rPr>
          <w:rFonts w:ascii="仿宋_GB2312" w:eastAsia="仿宋_GB2312" w:hint="eastAsia"/>
          <w:sz w:val="30"/>
          <w:szCs w:val="30"/>
        </w:rPr>
        <w:t>坚持“开门办审核”理念，进一步完善咨询沟通相关规定；强化中介机构归位尽责要求，同时</w:t>
      </w:r>
      <w:r>
        <w:rPr>
          <w:rFonts w:eastAsia="仿宋_GB2312" w:hint="eastAsia"/>
          <w:sz w:val="30"/>
          <w:szCs w:val="30"/>
        </w:rPr>
        <w:t>删除中介机构立案调查与业务受理、中止审核挂钩的规定；完善审核程序，明确分类审核机制等。</w:t>
      </w:r>
    </w:p>
    <w:p w:rsidR="0079286B" w:rsidRDefault="0079286B" w:rsidP="0079286B">
      <w:pPr>
        <w:snapToGrid w:val="0"/>
        <w:spacing w:line="600" w:lineRule="exact"/>
        <w:ind w:firstLineChars="200" w:firstLine="602"/>
        <w:outlineLvl w:val="0"/>
        <w:rPr>
          <w:rFonts w:ascii="黑体" w:eastAsia="黑体" w:hAnsi="黑体" w:cs="Times New Roman"/>
          <w:b/>
          <w:sz w:val="30"/>
          <w:szCs w:val="30"/>
        </w:rPr>
      </w:pPr>
      <w:r>
        <w:rPr>
          <w:rFonts w:ascii="黑体" w:eastAsia="黑体" w:hAnsi="黑体" w:cs="Times New Roman" w:hint="eastAsia"/>
          <w:b/>
          <w:sz w:val="30"/>
          <w:szCs w:val="30"/>
        </w:rPr>
        <w:t>二、主要修改内容</w:t>
      </w:r>
    </w:p>
    <w:p w:rsidR="0079286B" w:rsidRDefault="0079286B" w:rsidP="0079286B">
      <w:pPr>
        <w:snapToGrid w:val="0"/>
        <w:spacing w:line="600" w:lineRule="exact"/>
        <w:ind w:firstLineChars="200" w:firstLine="600"/>
        <w:rPr>
          <w:rFonts w:eastAsia="仿宋_GB2312"/>
          <w:sz w:val="30"/>
          <w:szCs w:val="30"/>
        </w:rPr>
      </w:pPr>
      <w:r>
        <w:rPr>
          <w:rFonts w:eastAsia="仿宋_GB2312" w:hint="eastAsia"/>
          <w:sz w:val="30"/>
          <w:szCs w:val="30"/>
        </w:rPr>
        <w:t>《重组审核规则》</w:t>
      </w:r>
      <w:r>
        <w:rPr>
          <w:rFonts w:eastAsia="仿宋_GB2312"/>
          <w:sz w:val="30"/>
          <w:szCs w:val="30"/>
        </w:rPr>
        <w:t>共</w:t>
      </w:r>
      <w:r>
        <w:rPr>
          <w:rFonts w:eastAsia="仿宋_GB2312" w:hint="eastAsia"/>
          <w:sz w:val="30"/>
          <w:szCs w:val="30"/>
        </w:rPr>
        <w:t>九</w:t>
      </w:r>
      <w:r>
        <w:rPr>
          <w:rFonts w:eastAsia="仿宋_GB2312"/>
          <w:sz w:val="30"/>
          <w:szCs w:val="30"/>
        </w:rPr>
        <w:t>章，</w:t>
      </w:r>
      <w:r>
        <w:rPr>
          <w:rFonts w:eastAsia="仿宋_GB2312" w:hint="eastAsia"/>
          <w:sz w:val="30"/>
          <w:szCs w:val="30"/>
        </w:rPr>
        <w:t>八十</w:t>
      </w:r>
      <w:r>
        <w:rPr>
          <w:rFonts w:eastAsia="仿宋_GB2312"/>
          <w:sz w:val="30"/>
          <w:szCs w:val="30"/>
        </w:rPr>
        <w:t>条，</w:t>
      </w:r>
      <w:r>
        <w:rPr>
          <w:rFonts w:eastAsia="仿宋_GB2312" w:hint="eastAsia"/>
          <w:sz w:val="30"/>
          <w:szCs w:val="30"/>
        </w:rPr>
        <w:t>整体</w:t>
      </w:r>
      <w:r>
        <w:rPr>
          <w:rFonts w:eastAsia="仿宋_GB2312"/>
          <w:sz w:val="30"/>
          <w:szCs w:val="30"/>
        </w:rPr>
        <w:t>沿用</w:t>
      </w:r>
      <w:r>
        <w:rPr>
          <w:rFonts w:eastAsia="仿宋_GB2312" w:hint="eastAsia"/>
          <w:sz w:val="30"/>
          <w:szCs w:val="30"/>
        </w:rPr>
        <w:t>《科创板重组审核规则》章节、</w:t>
      </w:r>
      <w:r>
        <w:rPr>
          <w:rFonts w:eastAsia="仿宋_GB2312"/>
          <w:sz w:val="30"/>
          <w:szCs w:val="30"/>
        </w:rPr>
        <w:t>体例</w:t>
      </w:r>
      <w:r>
        <w:rPr>
          <w:rFonts w:eastAsia="仿宋_GB2312" w:hint="eastAsia"/>
          <w:sz w:val="30"/>
          <w:szCs w:val="30"/>
        </w:rPr>
        <w:t>及条款</w:t>
      </w:r>
      <w:r>
        <w:rPr>
          <w:rFonts w:eastAsia="仿宋_GB2312"/>
          <w:sz w:val="30"/>
          <w:szCs w:val="30"/>
        </w:rPr>
        <w:t>。</w:t>
      </w:r>
      <w:r>
        <w:rPr>
          <w:rFonts w:eastAsia="仿宋_GB2312" w:hint="eastAsia"/>
          <w:sz w:val="30"/>
          <w:szCs w:val="30"/>
        </w:rPr>
        <w:t>调整</w:t>
      </w:r>
      <w:r>
        <w:rPr>
          <w:rFonts w:eastAsia="仿宋_GB2312"/>
          <w:sz w:val="30"/>
          <w:szCs w:val="30"/>
        </w:rPr>
        <w:t>内容主要涉及以下</w:t>
      </w:r>
      <w:r>
        <w:rPr>
          <w:rFonts w:eastAsia="仿宋_GB2312" w:hint="eastAsia"/>
          <w:sz w:val="30"/>
          <w:szCs w:val="30"/>
        </w:rPr>
        <w:t>六</w:t>
      </w:r>
      <w:r>
        <w:rPr>
          <w:rFonts w:eastAsia="仿宋_GB2312"/>
          <w:sz w:val="30"/>
          <w:szCs w:val="30"/>
        </w:rPr>
        <w:t>个方面。</w:t>
      </w:r>
    </w:p>
    <w:p w:rsidR="0079286B" w:rsidRDefault="0079286B" w:rsidP="0079286B">
      <w:pPr>
        <w:snapToGrid w:val="0"/>
        <w:spacing w:line="600" w:lineRule="exact"/>
        <w:ind w:firstLineChars="200" w:firstLine="602"/>
        <w:rPr>
          <w:rFonts w:ascii="仿宋_GB2312" w:eastAsia="仿宋_GB2312"/>
          <w:color w:val="000000" w:themeColor="text1"/>
          <w:sz w:val="30"/>
          <w:szCs w:val="30"/>
        </w:rPr>
      </w:pPr>
      <w:r>
        <w:rPr>
          <w:rFonts w:ascii="楷体_GB2312" w:eastAsia="楷体_GB2312" w:cs="Arial" w:hint="eastAsia"/>
          <w:b/>
          <w:sz w:val="30"/>
          <w:szCs w:val="30"/>
        </w:rPr>
        <w:t>（一）对规则适用范围进行适应性调整。</w:t>
      </w:r>
      <w:r>
        <w:rPr>
          <w:rFonts w:ascii="仿宋_GB2312" w:eastAsia="仿宋_GB2312" w:hint="eastAsia"/>
          <w:color w:val="000000" w:themeColor="text1"/>
          <w:sz w:val="30"/>
          <w:szCs w:val="30"/>
        </w:rPr>
        <w:t>根据《重组办法》规定，涉及发行股份购买资产的，上市公司应当向证券交易所提出申请。证券交易所设立并购重组委员会审议上市公司发行股份购买资产申请。据此，本所相应调整了重组审核程序的适用范围，并明确了并购重组委员会的审议内容</w:t>
      </w:r>
      <w:r>
        <w:rPr>
          <w:rFonts w:ascii="仿宋_GB2312" w:eastAsia="仿宋_GB2312" w:hint="eastAsia"/>
          <w:sz w:val="30"/>
          <w:szCs w:val="30"/>
        </w:rPr>
        <w:t>。</w:t>
      </w:r>
    </w:p>
    <w:p w:rsidR="0079286B" w:rsidRDefault="0079286B" w:rsidP="0079286B">
      <w:pPr>
        <w:spacing w:line="600" w:lineRule="exact"/>
        <w:ind w:firstLineChars="200" w:firstLine="602"/>
        <w:jc w:val="left"/>
        <w:rPr>
          <w:rFonts w:ascii="楷体_GB2312" w:eastAsia="楷体_GB2312"/>
          <w:b/>
          <w:sz w:val="30"/>
          <w:szCs w:val="30"/>
        </w:rPr>
      </w:pPr>
      <w:r>
        <w:rPr>
          <w:rFonts w:ascii="楷体_GB2312" w:eastAsia="楷体_GB2312" w:hint="eastAsia"/>
          <w:b/>
          <w:sz w:val="30"/>
          <w:szCs w:val="30"/>
        </w:rPr>
        <w:t>（二）增设咨询沟通条款，进一步提升服务市场水平。</w:t>
      </w:r>
      <w:r>
        <w:rPr>
          <w:rFonts w:ascii="仿宋_GB2312" w:eastAsia="仿宋_GB2312" w:hint="eastAsia"/>
          <w:sz w:val="30"/>
          <w:szCs w:val="30"/>
        </w:rPr>
        <w:t>坚持“开门办审核”理念，明确咨询沟通机制，规定上市公司、独立财务顾问和证券服务机构在发行股份购买资产方案披露后至申报前、</w:t>
      </w:r>
      <w:r>
        <w:rPr>
          <w:rFonts w:ascii="仿宋_GB2312" w:eastAsia="仿宋_GB2312"/>
          <w:sz w:val="30"/>
          <w:szCs w:val="30"/>
        </w:rPr>
        <w:t>首轮审核问询发出后</w:t>
      </w:r>
      <w:r>
        <w:rPr>
          <w:rFonts w:ascii="仿宋_GB2312" w:eastAsia="仿宋_GB2312" w:hint="eastAsia"/>
          <w:sz w:val="30"/>
          <w:szCs w:val="30"/>
        </w:rPr>
        <w:t>，可以就重组审核相关业务问题或者事项向本所重组审核机构进行咨询沟通。</w:t>
      </w:r>
    </w:p>
    <w:p w:rsidR="0079286B" w:rsidRDefault="0079286B" w:rsidP="0079286B">
      <w:pPr>
        <w:adjustRightInd w:val="0"/>
        <w:snapToGrid w:val="0"/>
        <w:spacing w:line="600" w:lineRule="exact"/>
        <w:ind w:firstLineChars="200" w:firstLine="602"/>
        <w:jc w:val="left"/>
        <w:rPr>
          <w:rFonts w:ascii="仿宋_GB2312" w:eastAsia="仿宋_GB2312"/>
          <w:sz w:val="30"/>
          <w:szCs w:val="30"/>
        </w:rPr>
      </w:pPr>
      <w:r>
        <w:rPr>
          <w:rFonts w:ascii="楷体_GB2312" w:eastAsia="楷体_GB2312" w:cs="Arial" w:hint="eastAsia"/>
          <w:b/>
          <w:sz w:val="30"/>
          <w:szCs w:val="30"/>
        </w:rPr>
        <w:t>（三）优化规则体系，精简规则数量。</w:t>
      </w:r>
      <w:r>
        <w:rPr>
          <w:rFonts w:ascii="仿宋_GB2312" w:eastAsia="仿宋_GB2312" w:hint="eastAsia"/>
          <w:sz w:val="30"/>
          <w:szCs w:val="30"/>
        </w:rPr>
        <w:t>《科创板发行上市审核规则适用指引第2号——上市公司重大资产重组审核标准及相关事项》（以下简称《2号指引》）是对审核实践中相关经验的总结。为进一步优化规则体系，精简规则数量，本次《重组审核规则》修改，吸纳了《2号指引》有关内容。《重组审核规则》发布时，《2号指引》将相应废止。</w:t>
      </w:r>
    </w:p>
    <w:p w:rsidR="0079286B" w:rsidRDefault="0079286B" w:rsidP="0079286B">
      <w:pPr>
        <w:spacing w:line="600" w:lineRule="exact"/>
        <w:ind w:firstLineChars="200" w:firstLine="602"/>
        <w:rPr>
          <w:rFonts w:ascii="楷体_GB2312" w:eastAsia="楷体_GB2312"/>
          <w:b/>
          <w:sz w:val="30"/>
          <w:szCs w:val="30"/>
        </w:rPr>
      </w:pPr>
      <w:r>
        <w:rPr>
          <w:rFonts w:ascii="楷体_GB2312" w:eastAsia="楷体_GB2312" w:hint="eastAsia"/>
          <w:b/>
          <w:sz w:val="30"/>
          <w:szCs w:val="30"/>
        </w:rPr>
        <w:lastRenderedPageBreak/>
        <w:t>（四）强化中介机构归位尽责要求，同时删除中介机构立案调查与业务受理、中止审核挂钩的规定。</w:t>
      </w:r>
      <w:r>
        <w:rPr>
          <w:rFonts w:ascii="仿宋_GB2312" w:eastAsia="仿宋_GB2312" w:hint="eastAsia"/>
          <w:sz w:val="30"/>
          <w:szCs w:val="30"/>
        </w:rPr>
        <w:t>一方面，增加对独立财务顾问、证券服务机构及相关人员廉洁从业要求；明确要求申报即担责；扩大关键少数问责的违规情形；明确现场督导制度安排，并进一步规定前述主体的配合、保证义务及相应罚则。另一方面，考虑到行政处罚、民事赔偿、刑事追责相互衔接的立体惩戒体系更加成熟，且上位规则已删除立案调查与业务受理审核挂钩的规定，不再将中介机构立案调查作为不予受理及中止审核的情形。</w:t>
      </w:r>
    </w:p>
    <w:p w:rsidR="0079286B" w:rsidRDefault="0079286B" w:rsidP="0079286B">
      <w:pPr>
        <w:adjustRightInd w:val="0"/>
        <w:snapToGrid w:val="0"/>
        <w:spacing w:line="600" w:lineRule="exact"/>
        <w:ind w:firstLineChars="200" w:firstLine="602"/>
        <w:jc w:val="left"/>
        <w:rPr>
          <w:rFonts w:ascii="楷体_GB2312" w:eastAsia="楷体_GB2312"/>
          <w:b/>
          <w:sz w:val="30"/>
          <w:szCs w:val="30"/>
        </w:rPr>
      </w:pPr>
      <w:r>
        <w:rPr>
          <w:rFonts w:ascii="楷体_GB2312" w:eastAsia="楷体_GB2312" w:hint="eastAsia"/>
          <w:b/>
          <w:sz w:val="30"/>
          <w:szCs w:val="30"/>
        </w:rPr>
        <w:t>（五）</w:t>
      </w:r>
      <w:r>
        <w:rPr>
          <w:rFonts w:ascii="楷体_GB2312" w:eastAsia="楷体_GB2312" w:cs="Arial" w:hint="eastAsia"/>
          <w:b/>
          <w:sz w:val="30"/>
          <w:szCs w:val="30"/>
        </w:rPr>
        <w:t>完善审核程序。</w:t>
      </w:r>
      <w:r>
        <w:rPr>
          <w:rFonts w:ascii="仿宋_GB2312" w:eastAsia="仿宋_GB2312" w:hint="eastAsia"/>
          <w:sz w:val="30"/>
          <w:szCs w:val="30"/>
        </w:rPr>
        <w:t>借鉴主板“分道制”审核安排，本次《重组审核规则》明确规定，对于符合条件的重组申请，可以减少问询轮次和问询数量，优化审核内容，提高审核效率；明确交易所应按照中国证监会的要求，对注册程序中发现的影响重组条件的新增事项进行问询并形成审核意见；增加独立财务顾问主动撤回申请文件即触发终止审核情形等。</w:t>
      </w:r>
    </w:p>
    <w:p w:rsidR="0079286B" w:rsidRDefault="0079286B" w:rsidP="0079286B">
      <w:pPr>
        <w:snapToGrid w:val="0"/>
        <w:spacing w:line="600" w:lineRule="exact"/>
        <w:ind w:firstLineChars="200" w:firstLine="602"/>
        <w:rPr>
          <w:rFonts w:ascii="仿宋_GB2312" w:eastAsia="仿宋_GB2312"/>
          <w:sz w:val="30"/>
          <w:szCs w:val="30"/>
        </w:rPr>
      </w:pPr>
      <w:r>
        <w:rPr>
          <w:rFonts w:ascii="仿宋_GB2312" w:eastAsia="仿宋_GB2312" w:hint="eastAsia"/>
          <w:b/>
          <w:sz w:val="30"/>
          <w:szCs w:val="30"/>
        </w:rPr>
        <w:t>（六）其他修改内容。</w:t>
      </w:r>
      <w:r>
        <w:rPr>
          <w:rFonts w:ascii="仿宋_GB2312" w:eastAsia="仿宋_GB2312" w:hint="eastAsia"/>
          <w:sz w:val="30"/>
          <w:szCs w:val="30"/>
        </w:rPr>
        <w:t>包括参照主板首次公开发行上市条件，增加主板重组上市标的资产的条件；进一步完善计时扣除情形、增加日常工作措施等事项。</w:t>
      </w:r>
    </w:p>
    <w:p w:rsidR="0079286B" w:rsidRDefault="0079286B" w:rsidP="0079286B">
      <w:pPr>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特此说明。</w:t>
      </w:r>
    </w:p>
    <w:p w:rsidR="00AB65ED" w:rsidRDefault="00AB65ED" w:rsidP="0079286B">
      <w:pPr>
        <w:snapToGrid w:val="0"/>
        <w:spacing w:line="600" w:lineRule="exact"/>
        <w:rPr>
          <w:rFonts w:ascii="仿宋_GB2312" w:eastAsia="仿宋_GB2312"/>
          <w:sz w:val="30"/>
          <w:szCs w:val="30"/>
        </w:rPr>
      </w:pPr>
    </w:p>
    <w:sectPr w:rsidR="00AB65ED" w:rsidSect="00AB65E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9A" w:rsidRDefault="006F6C9A" w:rsidP="00AB65ED">
      <w:r>
        <w:separator/>
      </w:r>
    </w:p>
  </w:endnote>
  <w:endnote w:type="continuationSeparator" w:id="0">
    <w:p w:rsidR="006F6C9A" w:rsidRDefault="006F6C9A" w:rsidP="00AB6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5458547"/>
    </w:sdtPr>
    <w:sdtContent>
      <w:p w:rsidR="000975ED" w:rsidRPr="000975ED" w:rsidRDefault="00F358C0" w:rsidP="000975ED">
        <w:pPr>
          <w:pStyle w:val="a5"/>
          <w:jc w:val="center"/>
          <w:rPr>
            <w:rFonts w:ascii="Times New Roman" w:hAnsi="Times New Roman" w:cs="Times New Roman"/>
            <w:sz w:val="24"/>
            <w:szCs w:val="24"/>
          </w:rPr>
        </w:pPr>
        <w:r w:rsidRPr="000975ED">
          <w:rPr>
            <w:rFonts w:ascii="Times New Roman" w:hAnsi="Times New Roman" w:cs="Times New Roman"/>
            <w:sz w:val="24"/>
            <w:szCs w:val="24"/>
          </w:rPr>
          <w:fldChar w:fldCharType="begin"/>
        </w:r>
        <w:r w:rsidR="000975ED" w:rsidRPr="000975ED">
          <w:rPr>
            <w:rFonts w:ascii="Times New Roman" w:hAnsi="Times New Roman" w:cs="Times New Roman"/>
            <w:sz w:val="24"/>
            <w:szCs w:val="24"/>
          </w:rPr>
          <w:instrText xml:space="preserve"> PAGE   \* MERGEFORMAT </w:instrText>
        </w:r>
        <w:r w:rsidRPr="000975ED">
          <w:rPr>
            <w:rFonts w:ascii="Times New Roman" w:hAnsi="Times New Roman" w:cs="Times New Roman"/>
            <w:sz w:val="24"/>
            <w:szCs w:val="24"/>
          </w:rPr>
          <w:fldChar w:fldCharType="separate"/>
        </w:r>
        <w:r w:rsidR="00AA5FFE" w:rsidRPr="00AA5FFE">
          <w:rPr>
            <w:rFonts w:ascii="Times New Roman" w:hAnsi="Times New Roman" w:cs="Times New Roman"/>
            <w:noProof/>
            <w:sz w:val="24"/>
            <w:szCs w:val="24"/>
            <w:lang w:val="zh-CN"/>
          </w:rPr>
          <w:t>1</w:t>
        </w:r>
        <w:r w:rsidRPr="000975ED">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9A" w:rsidRDefault="006F6C9A" w:rsidP="00AB65ED">
      <w:r>
        <w:separator/>
      </w:r>
    </w:p>
  </w:footnote>
  <w:footnote w:type="continuationSeparator" w:id="0">
    <w:p w:rsidR="006F6C9A" w:rsidRDefault="006F6C9A" w:rsidP="00AB6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hkNTFiMzVhMGZlMDhmZTBlZDdhYTA1OGNlOWE1NDAifQ=="/>
  </w:docVars>
  <w:rsids>
    <w:rsidRoot w:val="002361FF"/>
    <w:rsid w:val="00010C57"/>
    <w:rsid w:val="0001135F"/>
    <w:rsid w:val="00014DB5"/>
    <w:rsid w:val="000154E6"/>
    <w:rsid w:val="00025706"/>
    <w:rsid w:val="00026ABA"/>
    <w:rsid w:val="0004454F"/>
    <w:rsid w:val="00060147"/>
    <w:rsid w:val="00064882"/>
    <w:rsid w:val="000744B1"/>
    <w:rsid w:val="00074F9A"/>
    <w:rsid w:val="00090989"/>
    <w:rsid w:val="00095F49"/>
    <w:rsid w:val="00096293"/>
    <w:rsid w:val="000975ED"/>
    <w:rsid w:val="000A2E49"/>
    <w:rsid w:val="000B31C0"/>
    <w:rsid w:val="000B4F08"/>
    <w:rsid w:val="000B61AE"/>
    <w:rsid w:val="000D68F1"/>
    <w:rsid w:val="00102D28"/>
    <w:rsid w:val="001070BB"/>
    <w:rsid w:val="00126FEA"/>
    <w:rsid w:val="001270A6"/>
    <w:rsid w:val="00130EB5"/>
    <w:rsid w:val="001402E7"/>
    <w:rsid w:val="001472F6"/>
    <w:rsid w:val="00154A59"/>
    <w:rsid w:val="00160D55"/>
    <w:rsid w:val="001670E1"/>
    <w:rsid w:val="00176007"/>
    <w:rsid w:val="00194DDF"/>
    <w:rsid w:val="001B71D2"/>
    <w:rsid w:val="001D170C"/>
    <w:rsid w:val="001E4AA5"/>
    <w:rsid w:val="001E629E"/>
    <w:rsid w:val="001E6721"/>
    <w:rsid w:val="001F462A"/>
    <w:rsid w:val="00200894"/>
    <w:rsid w:val="0023304C"/>
    <w:rsid w:val="00233122"/>
    <w:rsid w:val="002361FF"/>
    <w:rsid w:val="00243044"/>
    <w:rsid w:val="002433FC"/>
    <w:rsid w:val="00263C4B"/>
    <w:rsid w:val="00263D05"/>
    <w:rsid w:val="00271C43"/>
    <w:rsid w:val="00293273"/>
    <w:rsid w:val="00295611"/>
    <w:rsid w:val="002A5A39"/>
    <w:rsid w:val="002F0AE1"/>
    <w:rsid w:val="003011A5"/>
    <w:rsid w:val="0031484A"/>
    <w:rsid w:val="00334112"/>
    <w:rsid w:val="003344D1"/>
    <w:rsid w:val="003357BD"/>
    <w:rsid w:val="00340152"/>
    <w:rsid w:val="0034330F"/>
    <w:rsid w:val="0034604D"/>
    <w:rsid w:val="00347AF0"/>
    <w:rsid w:val="00361BD6"/>
    <w:rsid w:val="00381B9A"/>
    <w:rsid w:val="00392601"/>
    <w:rsid w:val="003B12EA"/>
    <w:rsid w:val="003B3463"/>
    <w:rsid w:val="003D58E2"/>
    <w:rsid w:val="003E20B5"/>
    <w:rsid w:val="003E4F8F"/>
    <w:rsid w:val="003E5D06"/>
    <w:rsid w:val="00412AD3"/>
    <w:rsid w:val="00412CC9"/>
    <w:rsid w:val="00454325"/>
    <w:rsid w:val="00467FCD"/>
    <w:rsid w:val="00471B2C"/>
    <w:rsid w:val="004C38B0"/>
    <w:rsid w:val="004E27D4"/>
    <w:rsid w:val="004F6A98"/>
    <w:rsid w:val="00524929"/>
    <w:rsid w:val="00535491"/>
    <w:rsid w:val="00554688"/>
    <w:rsid w:val="005568BC"/>
    <w:rsid w:val="00561AB3"/>
    <w:rsid w:val="005878C8"/>
    <w:rsid w:val="005B2D40"/>
    <w:rsid w:val="005B42DE"/>
    <w:rsid w:val="005C3630"/>
    <w:rsid w:val="005C3B29"/>
    <w:rsid w:val="005E74C9"/>
    <w:rsid w:val="005F04BA"/>
    <w:rsid w:val="00631A0E"/>
    <w:rsid w:val="00655064"/>
    <w:rsid w:val="00655A94"/>
    <w:rsid w:val="006913C6"/>
    <w:rsid w:val="0069368F"/>
    <w:rsid w:val="00697034"/>
    <w:rsid w:val="00697F39"/>
    <w:rsid w:val="006B5A78"/>
    <w:rsid w:val="006D1CE9"/>
    <w:rsid w:val="006D45B5"/>
    <w:rsid w:val="006D61EA"/>
    <w:rsid w:val="006D63E9"/>
    <w:rsid w:val="006E5FB2"/>
    <w:rsid w:val="006F6C9A"/>
    <w:rsid w:val="007015B4"/>
    <w:rsid w:val="00704F67"/>
    <w:rsid w:val="00714911"/>
    <w:rsid w:val="00715962"/>
    <w:rsid w:val="00741CE4"/>
    <w:rsid w:val="007433BA"/>
    <w:rsid w:val="00743F27"/>
    <w:rsid w:val="00747FC4"/>
    <w:rsid w:val="00756457"/>
    <w:rsid w:val="007822CB"/>
    <w:rsid w:val="0079286B"/>
    <w:rsid w:val="007A02E8"/>
    <w:rsid w:val="007A71EB"/>
    <w:rsid w:val="007C025C"/>
    <w:rsid w:val="007C7CB7"/>
    <w:rsid w:val="007D3185"/>
    <w:rsid w:val="007D7BD4"/>
    <w:rsid w:val="007E0E22"/>
    <w:rsid w:val="007E6022"/>
    <w:rsid w:val="007F5792"/>
    <w:rsid w:val="00822B06"/>
    <w:rsid w:val="0083317C"/>
    <w:rsid w:val="0083688E"/>
    <w:rsid w:val="008461A9"/>
    <w:rsid w:val="00850CAF"/>
    <w:rsid w:val="008542D0"/>
    <w:rsid w:val="00860F02"/>
    <w:rsid w:val="00861587"/>
    <w:rsid w:val="00873D8F"/>
    <w:rsid w:val="008777FD"/>
    <w:rsid w:val="008C1F3A"/>
    <w:rsid w:val="008D1A9D"/>
    <w:rsid w:val="008F5880"/>
    <w:rsid w:val="0092565F"/>
    <w:rsid w:val="00935CFE"/>
    <w:rsid w:val="00941B9C"/>
    <w:rsid w:val="00952BAD"/>
    <w:rsid w:val="00975965"/>
    <w:rsid w:val="00985506"/>
    <w:rsid w:val="00996AD1"/>
    <w:rsid w:val="009A5D5B"/>
    <w:rsid w:val="009D47E0"/>
    <w:rsid w:val="009E3857"/>
    <w:rsid w:val="009F6B40"/>
    <w:rsid w:val="00A066C3"/>
    <w:rsid w:val="00A231AB"/>
    <w:rsid w:val="00A330F4"/>
    <w:rsid w:val="00A40FB3"/>
    <w:rsid w:val="00A43EB7"/>
    <w:rsid w:val="00A640D7"/>
    <w:rsid w:val="00A70DF1"/>
    <w:rsid w:val="00A90DCD"/>
    <w:rsid w:val="00A92244"/>
    <w:rsid w:val="00AA1824"/>
    <w:rsid w:val="00AA194F"/>
    <w:rsid w:val="00AA5FFE"/>
    <w:rsid w:val="00AB65ED"/>
    <w:rsid w:val="00AC665D"/>
    <w:rsid w:val="00AE16E5"/>
    <w:rsid w:val="00AF0B8D"/>
    <w:rsid w:val="00AF7040"/>
    <w:rsid w:val="00B02AFC"/>
    <w:rsid w:val="00B04E2E"/>
    <w:rsid w:val="00B23624"/>
    <w:rsid w:val="00B3653E"/>
    <w:rsid w:val="00B61DD8"/>
    <w:rsid w:val="00B63300"/>
    <w:rsid w:val="00B66C6E"/>
    <w:rsid w:val="00B73275"/>
    <w:rsid w:val="00B846BB"/>
    <w:rsid w:val="00B84EAC"/>
    <w:rsid w:val="00B9263D"/>
    <w:rsid w:val="00BB2C19"/>
    <w:rsid w:val="00BC5C9A"/>
    <w:rsid w:val="00BD512F"/>
    <w:rsid w:val="00BD5CD7"/>
    <w:rsid w:val="00BE2322"/>
    <w:rsid w:val="00BE60B5"/>
    <w:rsid w:val="00BE7AA1"/>
    <w:rsid w:val="00BF13B0"/>
    <w:rsid w:val="00C04145"/>
    <w:rsid w:val="00C1219B"/>
    <w:rsid w:val="00C1285E"/>
    <w:rsid w:val="00C34BC1"/>
    <w:rsid w:val="00C713B9"/>
    <w:rsid w:val="00C9245C"/>
    <w:rsid w:val="00CB69B8"/>
    <w:rsid w:val="00CE509D"/>
    <w:rsid w:val="00CF6497"/>
    <w:rsid w:val="00D00EA1"/>
    <w:rsid w:val="00D10948"/>
    <w:rsid w:val="00D31F82"/>
    <w:rsid w:val="00D51F3C"/>
    <w:rsid w:val="00D567C9"/>
    <w:rsid w:val="00D740D7"/>
    <w:rsid w:val="00D77709"/>
    <w:rsid w:val="00D83835"/>
    <w:rsid w:val="00D865CB"/>
    <w:rsid w:val="00D90867"/>
    <w:rsid w:val="00D914AA"/>
    <w:rsid w:val="00D91848"/>
    <w:rsid w:val="00D938CB"/>
    <w:rsid w:val="00DA2AE5"/>
    <w:rsid w:val="00DC45D9"/>
    <w:rsid w:val="00DD02B7"/>
    <w:rsid w:val="00DD3F33"/>
    <w:rsid w:val="00DF320C"/>
    <w:rsid w:val="00E10727"/>
    <w:rsid w:val="00E12C77"/>
    <w:rsid w:val="00E15369"/>
    <w:rsid w:val="00E17FDC"/>
    <w:rsid w:val="00E22ADB"/>
    <w:rsid w:val="00E332B1"/>
    <w:rsid w:val="00E33DBC"/>
    <w:rsid w:val="00E3465A"/>
    <w:rsid w:val="00E349F4"/>
    <w:rsid w:val="00E4082F"/>
    <w:rsid w:val="00E56544"/>
    <w:rsid w:val="00E67A5D"/>
    <w:rsid w:val="00E77945"/>
    <w:rsid w:val="00EA272B"/>
    <w:rsid w:val="00EA5FEA"/>
    <w:rsid w:val="00EC66DB"/>
    <w:rsid w:val="00EE14D7"/>
    <w:rsid w:val="00F04571"/>
    <w:rsid w:val="00F07797"/>
    <w:rsid w:val="00F32392"/>
    <w:rsid w:val="00F358C0"/>
    <w:rsid w:val="00F562DD"/>
    <w:rsid w:val="00F6470E"/>
    <w:rsid w:val="00F70AF4"/>
    <w:rsid w:val="00F817A3"/>
    <w:rsid w:val="00F95ACA"/>
    <w:rsid w:val="00F9654F"/>
    <w:rsid w:val="00FD06BE"/>
    <w:rsid w:val="00FF638A"/>
    <w:rsid w:val="090027AD"/>
    <w:rsid w:val="0C297E1A"/>
    <w:rsid w:val="135359F3"/>
    <w:rsid w:val="1E482D48"/>
    <w:rsid w:val="206F0EC3"/>
    <w:rsid w:val="20E62072"/>
    <w:rsid w:val="228F4698"/>
    <w:rsid w:val="22CF5EF6"/>
    <w:rsid w:val="24700D89"/>
    <w:rsid w:val="2C087472"/>
    <w:rsid w:val="34C57BA3"/>
    <w:rsid w:val="3CDB07C2"/>
    <w:rsid w:val="58641B15"/>
    <w:rsid w:val="5E2A7133"/>
    <w:rsid w:val="61447228"/>
    <w:rsid w:val="6E6D5537"/>
    <w:rsid w:val="702B12DF"/>
    <w:rsid w:val="7AF5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B65ED"/>
    <w:rPr>
      <w:rFonts w:ascii="宋体" w:eastAsia="宋体"/>
      <w:sz w:val="18"/>
      <w:szCs w:val="18"/>
    </w:rPr>
  </w:style>
  <w:style w:type="paragraph" w:styleId="a4">
    <w:name w:val="Balloon Text"/>
    <w:basedOn w:val="a"/>
    <w:link w:val="Char0"/>
    <w:uiPriority w:val="99"/>
    <w:semiHidden/>
    <w:unhideWhenUsed/>
    <w:qFormat/>
    <w:rsid w:val="00AB65ED"/>
    <w:rPr>
      <w:sz w:val="18"/>
      <w:szCs w:val="18"/>
    </w:rPr>
  </w:style>
  <w:style w:type="paragraph" w:styleId="a5">
    <w:name w:val="footer"/>
    <w:basedOn w:val="a"/>
    <w:link w:val="Char1"/>
    <w:uiPriority w:val="99"/>
    <w:unhideWhenUsed/>
    <w:qFormat/>
    <w:rsid w:val="00AB65E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B65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AB65ED"/>
    <w:rPr>
      <w:sz w:val="18"/>
      <w:szCs w:val="18"/>
    </w:rPr>
  </w:style>
  <w:style w:type="character" w:customStyle="1" w:styleId="Char1">
    <w:name w:val="页脚 Char"/>
    <w:basedOn w:val="a0"/>
    <w:link w:val="a5"/>
    <w:uiPriority w:val="99"/>
    <w:qFormat/>
    <w:rsid w:val="00AB65ED"/>
    <w:rPr>
      <w:sz w:val="18"/>
      <w:szCs w:val="18"/>
    </w:rPr>
  </w:style>
  <w:style w:type="character" w:customStyle="1" w:styleId="Char">
    <w:name w:val="文档结构图 Char"/>
    <w:basedOn w:val="a0"/>
    <w:link w:val="a3"/>
    <w:uiPriority w:val="99"/>
    <w:semiHidden/>
    <w:qFormat/>
    <w:rsid w:val="00AB65ED"/>
    <w:rPr>
      <w:rFonts w:ascii="宋体" w:eastAsia="宋体"/>
      <w:sz w:val="18"/>
      <w:szCs w:val="18"/>
    </w:rPr>
  </w:style>
  <w:style w:type="character" w:customStyle="1" w:styleId="Char0">
    <w:name w:val="批注框文本 Char"/>
    <w:basedOn w:val="a0"/>
    <w:link w:val="a4"/>
    <w:uiPriority w:val="99"/>
    <w:semiHidden/>
    <w:qFormat/>
    <w:rsid w:val="00AB65E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1301</Characters>
  <Application>Microsoft Office Word</Application>
  <DocSecurity>0</DocSecurity>
  <Lines>10</Lines>
  <Paragraphs>3</Paragraphs>
  <ScaleCrop>false</ScaleCrop>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2023-01-18T02:42:00Z</cp:lastPrinted>
  <dcterms:created xsi:type="dcterms:W3CDTF">2022-03-25T04:06:00Z</dcterms:created>
  <dcterms:modified xsi:type="dcterms:W3CDTF">2023-02-01T03:17:00Z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63C4BB295F1F4B84B714C751A1342264</vt:lpwstr>
  </property>
</Properties>
</file>