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14" w:rsidRDefault="009B0614" w:rsidP="009B0614">
      <w:pPr>
        <w:spacing w:line="560" w:lineRule="exac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附件13</w:t>
      </w:r>
    </w:p>
    <w:p w:rsidR="009B0614" w:rsidRPr="001B5009" w:rsidRDefault="009B0614" w:rsidP="009B0614">
      <w:pPr>
        <w:spacing w:line="560" w:lineRule="exact"/>
        <w:rPr>
          <w:rFonts w:ascii="仿宋_GB2312" w:eastAsia="仿宋_GB2312" w:hAnsi="宋体" w:cs="宋体"/>
          <w:color w:val="000000"/>
          <w:kern w:val="0"/>
          <w:sz w:val="30"/>
          <w:szCs w:val="30"/>
        </w:rPr>
      </w:pPr>
    </w:p>
    <w:p w:rsidR="009B0614" w:rsidRDefault="009B0614" w:rsidP="009B0614">
      <w:pPr>
        <w:spacing w:line="560" w:lineRule="exact"/>
        <w:jc w:val="center"/>
        <w:rPr>
          <w:rFonts w:ascii="方正大标宋简体" w:eastAsia="方正大标宋简体" w:hAnsi="宋体" w:cs="宋体"/>
          <w:color w:val="000000"/>
          <w:kern w:val="0"/>
          <w:sz w:val="42"/>
          <w:szCs w:val="42"/>
        </w:rPr>
      </w:pPr>
      <w:r w:rsidRPr="00C31DDF">
        <w:rPr>
          <w:rFonts w:ascii="方正大标宋简体" w:eastAsia="方正大标宋简体" w:hAnsi="宋体" w:cs="宋体" w:hint="eastAsia"/>
          <w:color w:val="000000"/>
          <w:spacing w:val="-4"/>
          <w:kern w:val="0"/>
          <w:sz w:val="42"/>
          <w:szCs w:val="42"/>
        </w:rPr>
        <w:t>关于制定</w:t>
      </w:r>
      <w:r w:rsidRPr="00C31DDF">
        <w:rPr>
          <w:rFonts w:ascii="方正大标宋简体" w:eastAsia="方正大标宋简体" w:hint="eastAsia"/>
          <w:color w:val="000000"/>
          <w:spacing w:val="-4"/>
          <w:sz w:val="42"/>
          <w:szCs w:val="42"/>
          <w:lang w:val="zh-CN"/>
        </w:rPr>
        <w:t>上海证券交易所</w:t>
      </w:r>
      <w:r w:rsidRPr="00C31DDF">
        <w:rPr>
          <w:rFonts w:ascii="方正大标宋简体" w:eastAsia="方正大标宋简体" w:hAnsi="宋体" w:cs="宋体" w:hint="eastAsia"/>
          <w:color w:val="000000"/>
          <w:spacing w:val="-4"/>
          <w:kern w:val="0"/>
          <w:sz w:val="42"/>
          <w:szCs w:val="42"/>
        </w:rPr>
        <w:t>第二十一</w:t>
      </w:r>
      <w:r w:rsidR="007B6CC7" w:rsidRPr="00C739EA">
        <w:rPr>
          <w:rFonts w:ascii="方正大标宋简体" w:eastAsia="方正大标宋简体" w:hAnsi="宋体" w:cs="宋体" w:hint="eastAsia"/>
          <w:color w:val="000000"/>
          <w:kern w:val="0"/>
          <w:sz w:val="42"/>
          <w:szCs w:val="42"/>
        </w:rPr>
        <w:t>号</w:t>
      </w:r>
      <w:r w:rsidRPr="00C31DDF">
        <w:rPr>
          <w:rFonts w:ascii="方正大标宋简体" w:eastAsia="方正大标宋简体" w:hAnsi="宋体" w:cs="宋体" w:hint="eastAsia"/>
          <w:color w:val="000000"/>
          <w:spacing w:val="-4"/>
          <w:kern w:val="0"/>
          <w:sz w:val="42"/>
          <w:szCs w:val="42"/>
        </w:rPr>
        <w:t>至第二十</w:t>
      </w:r>
      <w:r w:rsidRPr="00C739EA">
        <w:rPr>
          <w:rFonts w:ascii="方正大标宋简体" w:eastAsia="方正大标宋简体" w:hAnsi="宋体" w:cs="宋体" w:hint="eastAsia"/>
          <w:color w:val="000000"/>
          <w:kern w:val="0"/>
          <w:sz w:val="42"/>
          <w:szCs w:val="42"/>
        </w:rPr>
        <w:t>八号上市公司</w:t>
      </w:r>
      <w:r w:rsidR="00E72676" w:rsidRPr="00C739EA">
        <w:rPr>
          <w:rFonts w:ascii="方正大标宋简体" w:eastAsia="方正大标宋简体" w:hAnsi="宋体" w:cs="宋体" w:hint="eastAsia"/>
          <w:color w:val="000000"/>
          <w:kern w:val="0"/>
          <w:sz w:val="42"/>
          <w:szCs w:val="42"/>
        </w:rPr>
        <w:t>行业信息披露指引</w:t>
      </w:r>
      <w:r w:rsidRPr="00C739EA">
        <w:rPr>
          <w:rFonts w:ascii="方正大标宋简体" w:eastAsia="方正大标宋简体" w:hAnsi="宋体" w:cs="宋体" w:hint="eastAsia"/>
          <w:color w:val="000000"/>
          <w:kern w:val="0"/>
          <w:sz w:val="42"/>
          <w:szCs w:val="42"/>
        </w:rPr>
        <w:t>（征求意见稿）和修订部分指引的说明</w:t>
      </w:r>
    </w:p>
    <w:p w:rsidR="009B0614" w:rsidRDefault="009B0614" w:rsidP="009B0614">
      <w:pPr>
        <w:spacing w:line="560" w:lineRule="exact"/>
        <w:rPr>
          <w:rFonts w:ascii="仿宋_GB2312" w:eastAsia="仿宋_GB2312" w:hAnsi="宋体"/>
          <w:sz w:val="30"/>
          <w:szCs w:val="30"/>
        </w:rPr>
      </w:pP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983515">
        <w:rPr>
          <w:rFonts w:ascii="仿宋_GB2312" w:eastAsia="仿宋_GB2312" w:hAnsi="宋体" w:hint="eastAsia"/>
          <w:sz w:val="30"/>
          <w:szCs w:val="30"/>
        </w:rPr>
        <w:t>为持续深化分行业监管，建立健全行业信息披露规范体系，近日，上海证券交易所（以下简称本所）</w:t>
      </w:r>
      <w:r w:rsidRPr="00274F4B">
        <w:rPr>
          <w:rFonts w:ascii="仿宋_GB2312" w:eastAsia="仿宋_GB2312" w:hAnsi="宋体" w:hint="eastAsia"/>
          <w:sz w:val="30"/>
          <w:szCs w:val="30"/>
        </w:rPr>
        <w:t>新</w:t>
      </w:r>
      <w:r>
        <w:rPr>
          <w:rFonts w:ascii="仿宋_GB2312" w:eastAsia="仿宋_GB2312" w:hAnsi="宋体" w:hint="eastAsia"/>
          <w:sz w:val="30"/>
          <w:szCs w:val="30"/>
        </w:rPr>
        <w:t>制定</w:t>
      </w:r>
      <w:r w:rsidRPr="00274F4B">
        <w:rPr>
          <w:rFonts w:ascii="仿宋_GB2312" w:eastAsia="仿宋_GB2312" w:hAnsi="宋体" w:hint="eastAsia"/>
          <w:sz w:val="30"/>
          <w:szCs w:val="30"/>
        </w:rPr>
        <w:t>了集成电路、航空船舶铁路运输设备制造业、医疗器械、食品制造、黄金珠宝饰品、影视、家具制造、有色金属等</w:t>
      </w:r>
      <w:r w:rsidRPr="00274F4B">
        <w:rPr>
          <w:rFonts w:ascii="仿宋_GB2312" w:eastAsia="仿宋_GB2312" w:hAnsi="宋体"/>
          <w:sz w:val="30"/>
          <w:szCs w:val="30"/>
        </w:rPr>
        <w:t>8个行业</w:t>
      </w:r>
      <w:r w:rsidRPr="00274F4B">
        <w:rPr>
          <w:rFonts w:ascii="仿宋_GB2312" w:eastAsia="仿宋_GB2312" w:hAnsi="宋体" w:hint="eastAsia"/>
          <w:sz w:val="30"/>
          <w:szCs w:val="30"/>
        </w:rPr>
        <w:t>的</w:t>
      </w:r>
      <w:r w:rsidRPr="00983515">
        <w:rPr>
          <w:rFonts w:ascii="仿宋_GB2312" w:eastAsia="仿宋_GB2312" w:hAnsi="宋体" w:hint="eastAsia"/>
          <w:sz w:val="30"/>
          <w:szCs w:val="30"/>
        </w:rPr>
        <w:t>信息披露指引</w:t>
      </w:r>
      <w:r>
        <w:rPr>
          <w:rFonts w:ascii="仿宋_GB2312" w:eastAsia="仿宋_GB2312" w:hAnsi="宋体" w:hint="eastAsia"/>
          <w:sz w:val="30"/>
          <w:szCs w:val="30"/>
        </w:rPr>
        <w:t>；同时，对此前颁布的</w:t>
      </w:r>
      <w:r w:rsidRPr="00983515">
        <w:rPr>
          <w:rFonts w:ascii="仿宋_GB2312" w:eastAsia="仿宋_GB2312" w:hAnsi="宋体" w:hint="eastAsia"/>
          <w:sz w:val="30"/>
          <w:szCs w:val="30"/>
        </w:rPr>
        <w:t>电力、医药</w:t>
      </w:r>
      <w:r>
        <w:rPr>
          <w:rFonts w:ascii="仿宋_GB2312" w:eastAsia="仿宋_GB2312" w:hAnsi="宋体" w:hint="eastAsia"/>
          <w:sz w:val="30"/>
          <w:szCs w:val="30"/>
        </w:rPr>
        <w:t>制造</w:t>
      </w:r>
      <w:r w:rsidRPr="00983515">
        <w:rPr>
          <w:rFonts w:ascii="仿宋_GB2312" w:eastAsia="仿宋_GB2312" w:hAnsi="宋体" w:hint="eastAsia"/>
          <w:sz w:val="30"/>
          <w:szCs w:val="30"/>
        </w:rPr>
        <w:t>、光伏、服装等4个行业信息披露指引</w:t>
      </w:r>
      <w:r>
        <w:rPr>
          <w:rFonts w:ascii="仿宋_GB2312" w:eastAsia="仿宋_GB2312" w:hAnsi="宋体" w:hint="eastAsia"/>
          <w:sz w:val="30"/>
          <w:szCs w:val="30"/>
        </w:rPr>
        <w:t>进行修订</w:t>
      </w:r>
      <w:r w:rsidRPr="00983515">
        <w:rPr>
          <w:rFonts w:ascii="仿宋_GB2312" w:eastAsia="仿宋_GB2312" w:hAnsi="宋体" w:hint="eastAsia"/>
          <w:sz w:val="30"/>
          <w:szCs w:val="30"/>
        </w:rPr>
        <w:t>，向市场公开征求意见。</w:t>
      </w:r>
      <w:r>
        <w:rPr>
          <w:rFonts w:ascii="仿宋_GB2312" w:eastAsia="仿宋_GB2312" w:hAnsi="宋体" w:hint="eastAsia"/>
          <w:sz w:val="30"/>
          <w:szCs w:val="30"/>
        </w:rPr>
        <w:t>现将有关起草</w:t>
      </w:r>
      <w:r w:rsidRPr="00983515">
        <w:rPr>
          <w:rFonts w:ascii="仿宋_GB2312" w:eastAsia="仿宋_GB2312" w:hAnsi="宋体" w:hint="eastAsia"/>
          <w:sz w:val="30"/>
          <w:szCs w:val="30"/>
        </w:rPr>
        <w:t>情况说明如下。</w:t>
      </w:r>
    </w:p>
    <w:p w:rsidR="009B0614" w:rsidRDefault="009B0614" w:rsidP="009B0614">
      <w:pPr>
        <w:autoSpaceDE w:val="0"/>
        <w:autoSpaceDN w:val="0"/>
        <w:adjustRightInd w:val="0"/>
        <w:spacing w:line="560" w:lineRule="exact"/>
        <w:ind w:firstLineChars="200" w:firstLine="602"/>
        <w:rPr>
          <w:rFonts w:ascii="黑体" w:eastAsia="黑体" w:hAnsi="黑体"/>
          <w:b/>
          <w:sz w:val="30"/>
          <w:szCs w:val="30"/>
        </w:rPr>
      </w:pPr>
      <w:r w:rsidRPr="00274F4B">
        <w:rPr>
          <w:rFonts w:ascii="黑体" w:eastAsia="黑体" w:hAnsi="黑体" w:hint="eastAsia"/>
          <w:b/>
          <w:sz w:val="30"/>
          <w:szCs w:val="30"/>
        </w:rPr>
        <w:t>一、</w:t>
      </w:r>
      <w:r>
        <w:rPr>
          <w:rFonts w:ascii="黑体" w:eastAsia="黑体" w:hAnsi="黑体" w:hint="eastAsia"/>
          <w:b/>
          <w:sz w:val="30"/>
          <w:szCs w:val="30"/>
        </w:rPr>
        <w:t>主要考虑</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行业信息披露指引，是上市公司披露行业信息的基本规范。上交所自2015年全面实施</w:t>
      </w:r>
      <w:r w:rsidRPr="00983515">
        <w:rPr>
          <w:rFonts w:ascii="仿宋_GB2312" w:eastAsia="仿宋_GB2312" w:hAnsi="宋体" w:hint="eastAsia"/>
          <w:sz w:val="30"/>
          <w:szCs w:val="30"/>
        </w:rPr>
        <w:t>分行业监管</w:t>
      </w:r>
      <w:r>
        <w:rPr>
          <w:rFonts w:ascii="仿宋_GB2312" w:eastAsia="仿宋_GB2312" w:hAnsi="宋体" w:hint="eastAsia"/>
          <w:sz w:val="30"/>
          <w:szCs w:val="30"/>
        </w:rPr>
        <w:t>以来</w:t>
      </w:r>
      <w:r w:rsidRPr="00983515">
        <w:rPr>
          <w:rFonts w:ascii="仿宋_GB2312" w:eastAsia="仿宋_GB2312" w:hAnsi="宋体" w:hint="eastAsia"/>
          <w:sz w:val="30"/>
          <w:szCs w:val="30"/>
        </w:rPr>
        <w:t>，</w:t>
      </w:r>
      <w:r>
        <w:rPr>
          <w:rFonts w:ascii="仿宋_GB2312" w:eastAsia="仿宋_GB2312" w:hAnsi="宋体" w:hint="eastAsia"/>
          <w:sz w:val="30"/>
          <w:szCs w:val="30"/>
        </w:rPr>
        <w:t>针对沪市公司行业结构的特点，先后推出房地产、电力、医药、汽车、光伏、环保</w:t>
      </w:r>
      <w:r w:rsidRPr="00983515">
        <w:rPr>
          <w:rFonts w:ascii="仿宋_GB2312" w:eastAsia="仿宋_GB2312" w:hAnsi="宋体" w:hint="eastAsia"/>
          <w:sz w:val="30"/>
          <w:szCs w:val="30"/>
        </w:rPr>
        <w:t>等</w:t>
      </w:r>
      <w:r>
        <w:rPr>
          <w:rFonts w:ascii="仿宋_GB2312" w:eastAsia="仿宋_GB2312" w:hAnsi="宋体" w:hint="eastAsia"/>
          <w:sz w:val="30"/>
          <w:szCs w:val="30"/>
        </w:rPr>
        <w:t>20</w:t>
      </w:r>
      <w:r w:rsidRPr="00983515">
        <w:rPr>
          <w:rFonts w:ascii="仿宋_GB2312" w:eastAsia="仿宋_GB2312" w:hAnsi="宋体" w:hint="eastAsia"/>
          <w:sz w:val="30"/>
          <w:szCs w:val="30"/>
        </w:rPr>
        <w:t>项行业信息披露指引，</w:t>
      </w:r>
      <w:r w:rsidRPr="006074D2">
        <w:rPr>
          <w:rFonts w:ascii="仿宋_GB2312" w:eastAsia="仿宋_GB2312" w:hAnsi="宋体" w:hint="eastAsia"/>
          <w:sz w:val="30"/>
          <w:szCs w:val="30"/>
        </w:rPr>
        <w:t>加之证监会颁布的金融类行业指引</w:t>
      </w:r>
      <w:r>
        <w:rPr>
          <w:rFonts w:ascii="仿宋_GB2312" w:eastAsia="仿宋_GB2312" w:hAnsi="宋体" w:hint="eastAsia"/>
          <w:sz w:val="30"/>
          <w:szCs w:val="30"/>
        </w:rPr>
        <w:t>，目前</w:t>
      </w:r>
      <w:r w:rsidRPr="00983515">
        <w:rPr>
          <w:rFonts w:ascii="仿宋_GB2312" w:eastAsia="仿宋_GB2312" w:hAnsi="宋体" w:hint="eastAsia"/>
          <w:sz w:val="30"/>
          <w:szCs w:val="30"/>
        </w:rPr>
        <w:t>覆盖</w:t>
      </w:r>
      <w:r w:rsidRPr="00983515">
        <w:rPr>
          <w:rFonts w:ascii="仿宋_GB2312" w:eastAsia="仿宋_GB2312" w:hAnsi="宋体"/>
          <w:sz w:val="30"/>
          <w:szCs w:val="30"/>
        </w:rPr>
        <w:t>700</w:t>
      </w:r>
      <w:r>
        <w:rPr>
          <w:rFonts w:ascii="仿宋_GB2312" w:eastAsia="仿宋_GB2312" w:hAnsi="宋体" w:hint="eastAsia"/>
          <w:sz w:val="30"/>
          <w:szCs w:val="30"/>
        </w:rPr>
        <w:t>余</w:t>
      </w:r>
      <w:r w:rsidRPr="00983515">
        <w:rPr>
          <w:rFonts w:ascii="仿宋_GB2312" w:eastAsia="仿宋_GB2312" w:hAnsi="宋体"/>
          <w:sz w:val="30"/>
          <w:szCs w:val="30"/>
        </w:rPr>
        <w:t>家</w:t>
      </w:r>
      <w:r>
        <w:rPr>
          <w:rFonts w:ascii="仿宋_GB2312" w:eastAsia="仿宋_GB2312" w:hAnsi="宋体" w:hint="eastAsia"/>
          <w:sz w:val="30"/>
          <w:szCs w:val="30"/>
        </w:rPr>
        <w:t>上市公司</w:t>
      </w:r>
      <w:r w:rsidRPr="00983515">
        <w:rPr>
          <w:rFonts w:ascii="仿宋_GB2312" w:eastAsia="仿宋_GB2312" w:hAnsi="宋体"/>
          <w:sz w:val="30"/>
          <w:szCs w:val="30"/>
        </w:rPr>
        <w:t>，</w:t>
      </w:r>
      <w:r>
        <w:rPr>
          <w:rFonts w:ascii="仿宋_GB2312" w:eastAsia="仿宋_GB2312" w:hAnsi="宋体" w:hint="eastAsia"/>
          <w:sz w:val="30"/>
          <w:szCs w:val="30"/>
        </w:rPr>
        <w:t>涉及</w:t>
      </w:r>
      <w:r w:rsidRPr="00983515">
        <w:rPr>
          <w:rFonts w:ascii="仿宋_GB2312" w:eastAsia="仿宋_GB2312" w:hAnsi="宋体"/>
          <w:sz w:val="30"/>
          <w:szCs w:val="30"/>
        </w:rPr>
        <w:t>市值占</w:t>
      </w:r>
      <w:r>
        <w:rPr>
          <w:rFonts w:ascii="仿宋_GB2312" w:eastAsia="仿宋_GB2312" w:hAnsi="宋体" w:hint="eastAsia"/>
          <w:sz w:val="30"/>
          <w:szCs w:val="30"/>
        </w:rPr>
        <w:t>比</w:t>
      </w:r>
      <w:r w:rsidRPr="00983515">
        <w:rPr>
          <w:rFonts w:ascii="仿宋_GB2312" w:eastAsia="仿宋_GB2312" w:hAnsi="宋体"/>
          <w:sz w:val="30"/>
          <w:szCs w:val="30"/>
        </w:rPr>
        <w:t>约</w:t>
      </w:r>
      <w:r>
        <w:rPr>
          <w:rFonts w:ascii="仿宋_GB2312" w:eastAsia="仿宋_GB2312" w:hAnsi="宋体" w:hint="eastAsia"/>
          <w:sz w:val="30"/>
          <w:szCs w:val="30"/>
        </w:rPr>
        <w:t>计</w:t>
      </w:r>
      <w:r w:rsidRPr="00983515">
        <w:rPr>
          <w:rFonts w:ascii="仿宋_GB2312" w:eastAsia="仿宋_GB2312" w:hAnsi="宋体"/>
          <w:sz w:val="30"/>
          <w:szCs w:val="30"/>
        </w:rPr>
        <w:t>80%</w:t>
      </w:r>
      <w:r>
        <w:rPr>
          <w:rFonts w:ascii="仿宋_GB2312" w:eastAsia="仿宋_GB2312" w:hAnsi="宋体" w:hint="eastAsia"/>
          <w:sz w:val="30"/>
          <w:szCs w:val="30"/>
        </w:rPr>
        <w:t>，沪市行业信息披露规则体系已初步构建完成。本次制定8个新行业指引、修订4个既有行业指引，主要有如下考虑：</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C739EA">
        <w:rPr>
          <w:rFonts w:ascii="仿宋_GB2312" w:eastAsia="仿宋_GB2312" w:hAnsi="宋体" w:hint="eastAsia"/>
          <w:sz w:val="30"/>
          <w:szCs w:val="30"/>
        </w:rPr>
        <w:t>一是呼应沪市公司行业结构优化新进展。受益于经济结构调整，</w:t>
      </w:r>
      <w:r>
        <w:rPr>
          <w:rFonts w:ascii="仿宋_GB2312" w:eastAsia="仿宋_GB2312" w:hAnsi="宋体" w:hint="eastAsia"/>
          <w:sz w:val="30"/>
          <w:szCs w:val="30"/>
        </w:rPr>
        <w:t>沪市股票市场正在从过去以传统大盘蓝筹为主的市场转变为传统产业和战略新兴产业协同发展的新蓝筹市场，吸引了</w:t>
      </w:r>
      <w:r>
        <w:rPr>
          <w:rFonts w:ascii="仿宋_GB2312" w:eastAsia="仿宋_GB2312" w:hAnsi="宋体"/>
          <w:sz w:val="30"/>
          <w:szCs w:val="30"/>
        </w:rPr>
        <w:t>一批</w:t>
      </w:r>
      <w:hyperlink r:id="rId6" w:tgtFrame="_blank" w:history="1">
        <w:r>
          <w:rPr>
            <w:rFonts w:ascii="仿宋_GB2312" w:eastAsia="仿宋_GB2312" w:hAnsi="宋体"/>
            <w:sz w:val="30"/>
            <w:szCs w:val="30"/>
          </w:rPr>
          <w:t>科</w:t>
        </w:r>
        <w:r>
          <w:rPr>
            <w:rFonts w:ascii="仿宋_GB2312" w:eastAsia="仿宋_GB2312" w:hAnsi="宋体"/>
            <w:sz w:val="30"/>
            <w:szCs w:val="30"/>
          </w:rPr>
          <w:lastRenderedPageBreak/>
          <w:t>技</w:t>
        </w:r>
      </w:hyperlink>
      <w:r>
        <w:rPr>
          <w:rFonts w:ascii="仿宋_GB2312" w:eastAsia="仿宋_GB2312" w:hAnsi="宋体"/>
          <w:sz w:val="30"/>
          <w:szCs w:val="30"/>
        </w:rPr>
        <w:t>含量</w:t>
      </w:r>
      <w:r>
        <w:rPr>
          <w:rFonts w:ascii="仿宋_GB2312" w:eastAsia="仿宋_GB2312" w:hAnsi="宋体" w:hint="eastAsia"/>
          <w:sz w:val="30"/>
          <w:szCs w:val="30"/>
        </w:rPr>
        <w:t>高、增长潜力大</w:t>
      </w:r>
      <w:r>
        <w:rPr>
          <w:rFonts w:ascii="仿宋_GB2312" w:eastAsia="仿宋_GB2312" w:hAnsi="宋体"/>
          <w:sz w:val="30"/>
          <w:szCs w:val="30"/>
        </w:rPr>
        <w:t>的细分行业龙头</w:t>
      </w:r>
      <w:r>
        <w:rPr>
          <w:rFonts w:ascii="仿宋_GB2312" w:eastAsia="仿宋_GB2312" w:hAnsi="宋体" w:hint="eastAsia"/>
          <w:sz w:val="30"/>
          <w:szCs w:val="30"/>
        </w:rPr>
        <w:t>公司，涉及集成电路、高端设备制造、医疗器械等行业。同时，在近年来居民消费逐渐向品牌消费、品质消费升级的大背景下，食品制造、黄金珠宝饰品、影视、家具制造等沪市消费类上市公司，也加快了品牌建设、业态效率提升、供应链优化重塑的步伐，开始向产业链高端的跃升。本次新制定的行业信息披露指引，体现了沪市上市公司行业结构的这些积极变化，也能够帮助投资者更为准确的理解、把握这些高科技和新零售行业的价值与风险。</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C739EA">
        <w:rPr>
          <w:rFonts w:ascii="仿宋_GB2312" w:eastAsia="仿宋_GB2312" w:hAnsi="宋体" w:hint="eastAsia"/>
          <w:sz w:val="30"/>
          <w:szCs w:val="30"/>
        </w:rPr>
        <w:t>二是体现沪市上市公司行业发展新变化。</w:t>
      </w:r>
      <w:r>
        <w:rPr>
          <w:rFonts w:ascii="仿宋_GB2312" w:eastAsia="仿宋_GB2312" w:hAnsi="宋体" w:hint="eastAsia"/>
          <w:sz w:val="30"/>
          <w:szCs w:val="30"/>
        </w:rPr>
        <w:t>除新制定</w:t>
      </w:r>
      <w:r>
        <w:rPr>
          <w:rFonts w:ascii="仿宋_GB2312" w:eastAsia="仿宋_GB2312" w:hAnsi="宋体"/>
          <w:sz w:val="30"/>
          <w:szCs w:val="30"/>
        </w:rPr>
        <w:t>8项</w:t>
      </w:r>
      <w:r>
        <w:rPr>
          <w:rFonts w:ascii="仿宋_GB2312" w:eastAsia="仿宋_GB2312" w:hAnsi="宋体" w:hint="eastAsia"/>
          <w:sz w:val="30"/>
          <w:szCs w:val="30"/>
        </w:rPr>
        <w:t>指引外，此次还集中评估了此前发布的</w:t>
      </w:r>
      <w:r>
        <w:rPr>
          <w:rFonts w:ascii="仿宋_GB2312" w:eastAsia="仿宋_GB2312" w:hAnsi="宋体"/>
          <w:sz w:val="30"/>
          <w:szCs w:val="30"/>
        </w:rPr>
        <w:t>20项行业信息披露指引，</w:t>
      </w:r>
      <w:r>
        <w:rPr>
          <w:rFonts w:ascii="仿宋_GB2312" w:eastAsia="仿宋_GB2312" w:hAnsi="宋体" w:hint="eastAsia"/>
          <w:sz w:val="30"/>
          <w:szCs w:val="30"/>
        </w:rPr>
        <w:t>并结合行业重大变化及公司披露实践，对电力、医药制造、光伏、服装行业等</w:t>
      </w:r>
      <w:r>
        <w:rPr>
          <w:rFonts w:ascii="仿宋_GB2312" w:eastAsia="仿宋_GB2312" w:hAnsi="宋体"/>
          <w:sz w:val="30"/>
          <w:szCs w:val="30"/>
        </w:rPr>
        <w:t>4项</w:t>
      </w:r>
      <w:r>
        <w:rPr>
          <w:rFonts w:ascii="仿宋_GB2312" w:eastAsia="仿宋_GB2312" w:hAnsi="宋体" w:hint="eastAsia"/>
          <w:sz w:val="30"/>
          <w:szCs w:val="30"/>
        </w:rPr>
        <w:t>指引予以修订。如，在电力改革背景下，电力行业市场化的定价机制正在形成，市场化交易比重日益提高，同时配售电业务的加速放开有效激发了市场活力，市场主体更为多元，对此行业指引增加了上市公司参与市场化交易及经营售电公司相关信息的披露要求。再如，近年药品审批政策发生重大变革，同时仿制药一致性评价政策的执行，</w:t>
      </w:r>
      <w:r w:rsidR="00326948">
        <w:rPr>
          <w:rFonts w:ascii="仿宋_GB2312" w:eastAsia="仿宋_GB2312" w:hAnsi="宋体" w:hint="eastAsia"/>
          <w:sz w:val="30"/>
          <w:szCs w:val="30"/>
        </w:rPr>
        <w:t>对医药制造行业影响深远</w:t>
      </w:r>
      <w:r>
        <w:rPr>
          <w:rFonts w:ascii="仿宋_GB2312" w:eastAsia="仿宋_GB2312" w:hAnsi="宋体" w:hint="eastAsia"/>
          <w:sz w:val="30"/>
          <w:szCs w:val="30"/>
        </w:rPr>
        <w:t>，相应指引条款也需作修订。此外，光伏行业指引结合执行情况，将硅片产品关键技术指标由“杂质平均含量”修订为“非硅成本”等。同时，考虑到服装类公司加盟模式比重较大，相关店效数据的获取成本较高，行业指引对相关条款进行调整。</w:t>
      </w:r>
    </w:p>
    <w:p w:rsidR="009B0614" w:rsidRDefault="009B0614" w:rsidP="009B0614">
      <w:pPr>
        <w:autoSpaceDE w:val="0"/>
        <w:autoSpaceDN w:val="0"/>
        <w:adjustRightInd w:val="0"/>
        <w:spacing w:line="560" w:lineRule="exact"/>
        <w:ind w:firstLineChars="200" w:firstLine="602"/>
        <w:rPr>
          <w:rFonts w:ascii="黑体" w:eastAsia="黑体" w:hAnsi="黑体"/>
          <w:b/>
          <w:sz w:val="30"/>
          <w:szCs w:val="30"/>
        </w:rPr>
      </w:pPr>
      <w:r w:rsidRPr="00274F4B">
        <w:rPr>
          <w:rFonts w:ascii="黑体" w:eastAsia="黑体" w:hAnsi="黑体" w:hint="eastAsia"/>
          <w:b/>
          <w:sz w:val="30"/>
          <w:szCs w:val="30"/>
        </w:rPr>
        <w:t>二、</w:t>
      </w:r>
      <w:r>
        <w:rPr>
          <w:rFonts w:ascii="黑体" w:eastAsia="黑体" w:hAnsi="黑体" w:hint="eastAsia"/>
          <w:b/>
          <w:sz w:val="30"/>
          <w:szCs w:val="30"/>
        </w:rPr>
        <w:t>制定和修订</w:t>
      </w:r>
      <w:r w:rsidRPr="00274F4B">
        <w:rPr>
          <w:rFonts w:ascii="黑体" w:eastAsia="黑体" w:hAnsi="黑体" w:hint="eastAsia"/>
          <w:b/>
          <w:sz w:val="30"/>
          <w:szCs w:val="30"/>
        </w:rPr>
        <w:t>行业指引</w:t>
      </w:r>
      <w:r>
        <w:rPr>
          <w:rFonts w:ascii="黑体" w:eastAsia="黑体" w:hAnsi="黑体" w:hint="eastAsia"/>
          <w:b/>
          <w:sz w:val="30"/>
          <w:szCs w:val="30"/>
        </w:rPr>
        <w:t>主要思路</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C739EA">
        <w:rPr>
          <w:rFonts w:ascii="仿宋_GB2312" w:eastAsia="仿宋_GB2312" w:hAnsi="宋体" w:hint="eastAsia"/>
          <w:sz w:val="30"/>
          <w:szCs w:val="30"/>
        </w:rPr>
        <w:t>本次制定和修订行业指引遵循了上交所历次行业指引确定的基本原则和成熟做法。</w:t>
      </w:r>
      <w:r>
        <w:rPr>
          <w:rFonts w:ascii="仿宋_GB2312" w:eastAsia="仿宋_GB2312" w:hAnsi="宋体" w:hint="eastAsia"/>
          <w:sz w:val="30"/>
          <w:szCs w:val="30"/>
        </w:rPr>
        <w:t>披露要求上，仍然坚持合规性和有效性</w:t>
      </w:r>
      <w:r>
        <w:rPr>
          <w:rFonts w:ascii="仿宋_GB2312" w:eastAsia="仿宋_GB2312" w:hAnsi="宋体" w:hint="eastAsia"/>
          <w:sz w:val="30"/>
          <w:szCs w:val="30"/>
        </w:rPr>
        <w:lastRenderedPageBreak/>
        <w:t>并重、全面性和简明性并重、强制性和自愿性并重的基本理念；同时，注意平衡信息披露充分性和重要性的尺度，避免过度增加上市公司信息披露成本。披露内容上，立足投资者需求，紧密围绕反映公司价值与风险的核心要素，在行业宏观影响、客户市场发展、关键资源现状、盈利战略规划、关键流程执行等“五个维度”，重点强化了上市公司非财务信息的披露要求。在此基础上，按照经济高质量发展要求，着重强化了</w:t>
      </w:r>
      <w:r>
        <w:rPr>
          <w:rFonts w:ascii="仿宋_GB2312" w:eastAsia="仿宋_GB2312" w:hAnsi="宋体"/>
          <w:sz w:val="30"/>
          <w:szCs w:val="30"/>
        </w:rPr>
        <w:t>3</w:t>
      </w:r>
      <w:r>
        <w:rPr>
          <w:rFonts w:ascii="仿宋_GB2312" w:eastAsia="仿宋_GB2312" w:hAnsi="宋体" w:hint="eastAsia"/>
          <w:sz w:val="30"/>
          <w:szCs w:val="30"/>
        </w:rPr>
        <w:t>个方面的行业披露内容。</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C739EA">
        <w:rPr>
          <w:rFonts w:ascii="仿宋_GB2312" w:eastAsia="仿宋_GB2312" w:hAnsi="宋体" w:hint="eastAsia"/>
          <w:sz w:val="30"/>
          <w:szCs w:val="30"/>
        </w:rPr>
        <w:t>一是强化上市公司研发创新披露要求。创新</w:t>
      </w:r>
      <w:r>
        <w:rPr>
          <w:rFonts w:ascii="仿宋_GB2312" w:eastAsia="仿宋_GB2312" w:hAnsi="宋体" w:hint="eastAsia"/>
          <w:sz w:val="30"/>
          <w:szCs w:val="30"/>
        </w:rPr>
        <w:t>力是经济发展的根本源动力，企业的研发强度和创新能力更是提升自身核心竞争力的关键要素之一。为此，本次指引制订着重强化了反映上市公司技术水平和研发能力的信息披露要求。例如，集成电路、医疗器械等高技术行业指引明确要求公司披露专利信息、主要研发投向、研发团队构成及技术储备情况，黄金珠宝饰品、家具制造等消费类行业指引亦要求上市公司披露研发设计相关情况。</w:t>
      </w:r>
    </w:p>
    <w:p w:rsidR="009B0614" w:rsidRPr="00C739EA"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C739EA">
        <w:rPr>
          <w:rFonts w:ascii="仿宋_GB2312" w:eastAsia="仿宋_GB2312" w:hAnsi="宋体" w:hint="eastAsia"/>
          <w:sz w:val="30"/>
          <w:szCs w:val="30"/>
        </w:rPr>
        <w:t>二是强化上市公司社会责任披露要求。</w:t>
      </w:r>
      <w:r>
        <w:rPr>
          <w:rFonts w:ascii="仿宋_GB2312" w:eastAsia="仿宋_GB2312" w:hAnsi="宋体" w:hint="eastAsia"/>
          <w:sz w:val="30"/>
          <w:szCs w:val="30"/>
        </w:rPr>
        <w:t>本次行业指引制订中，特别注重通过信息披露引导上市公司更好承担社会责任，强化了上市公司履行社会责任和保护生态环境方面的信息披露要求。例如，食品制造行业指引要求公司披露</w:t>
      </w:r>
      <w:r>
        <w:rPr>
          <w:rFonts w:ascii="仿宋_GB2312" w:eastAsia="仿宋_GB2312" w:hAnsi="宋体"/>
          <w:sz w:val="30"/>
          <w:szCs w:val="30"/>
        </w:rPr>
        <w:t>食品安全</w:t>
      </w:r>
      <w:r>
        <w:rPr>
          <w:rFonts w:ascii="仿宋_GB2312" w:eastAsia="仿宋_GB2312" w:hAnsi="宋体" w:hint="eastAsia"/>
          <w:sz w:val="30"/>
          <w:szCs w:val="30"/>
        </w:rPr>
        <w:t>管理制度建设情况、相关资金投入及使用、重大食品安全事件影响等，有色金属行业指引要求公司披露主要节能环保投入以及为保持水土、复垦绿化、尾气处理、降低耗能等采取的制度建设与主要措施。</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C739EA">
        <w:rPr>
          <w:rFonts w:ascii="仿宋_GB2312" w:eastAsia="仿宋_GB2312" w:hAnsi="宋体" w:hint="eastAsia"/>
          <w:sz w:val="30"/>
          <w:szCs w:val="30"/>
        </w:rPr>
        <w:t>三是强化行业风险因素的披露和分析。上市公司风险</w:t>
      </w:r>
      <w:r>
        <w:rPr>
          <w:rFonts w:ascii="仿宋_GB2312" w:eastAsia="仿宋_GB2312" w:hAnsi="宋体" w:hint="eastAsia"/>
          <w:sz w:val="30"/>
          <w:szCs w:val="30"/>
        </w:rPr>
        <w:t>因素披露一直是投资者十分关心的信息披露内容。公司结合自身经营模式特点，对可能出现的风险因素进行具体、充分地分析，可以帮</w:t>
      </w:r>
      <w:r>
        <w:rPr>
          <w:rFonts w:ascii="仿宋_GB2312" w:eastAsia="仿宋_GB2312" w:hAnsi="宋体" w:hint="eastAsia"/>
          <w:sz w:val="30"/>
          <w:szCs w:val="30"/>
        </w:rPr>
        <w:lastRenderedPageBreak/>
        <w:t>助投资者客观判断，理性投资，有益于证券市场的稳定运行。但实践中，一些上市公司在披露风险因素时或浮于表面，或轻描淡写，或避重就轻，“报喜不报忧”的问题比较突出。为此，本次行业指引要求上市公司结合行业特点和自身经营模式，有针对性地披露可能对公司未来发展战略和经营目标的实现产生不利影响的风险因素，并进行实质分析，明确风险信息披露应当充分、准确、具体。上市公司经营模式或市场环境发生重大变化的，还应当对新增风险因素及其产生原因、影响和应对措施等进行分析。</w:t>
      </w:r>
    </w:p>
    <w:p w:rsidR="009B0614" w:rsidRDefault="009B0614" w:rsidP="009B0614">
      <w:pPr>
        <w:autoSpaceDE w:val="0"/>
        <w:autoSpaceDN w:val="0"/>
        <w:adjustRightInd w:val="0"/>
        <w:spacing w:line="560" w:lineRule="exact"/>
        <w:ind w:firstLineChars="200" w:firstLine="602"/>
        <w:rPr>
          <w:rFonts w:ascii="黑体" w:eastAsia="黑体" w:hAnsi="黑体"/>
          <w:b/>
          <w:sz w:val="30"/>
          <w:szCs w:val="30"/>
        </w:rPr>
      </w:pPr>
      <w:r w:rsidRPr="00274F4B">
        <w:rPr>
          <w:rFonts w:ascii="黑体" w:eastAsia="黑体" w:hAnsi="黑体" w:hint="eastAsia"/>
          <w:b/>
          <w:sz w:val="30"/>
          <w:szCs w:val="30"/>
        </w:rPr>
        <w:t>三、指引主要内容</w:t>
      </w:r>
    </w:p>
    <w:p w:rsidR="009B0614" w:rsidRDefault="009B0614" w:rsidP="009B0614">
      <w:pPr>
        <w:autoSpaceDE w:val="0"/>
        <w:autoSpaceDN w:val="0"/>
        <w:adjustRightInd w:val="0"/>
        <w:spacing w:line="560" w:lineRule="exact"/>
        <w:ind w:firstLineChars="200" w:firstLine="602"/>
        <w:rPr>
          <w:rFonts w:ascii="仿宋_GB2312" w:eastAsia="仿宋_GB2312" w:hAnsi="宋体"/>
          <w:b/>
          <w:sz w:val="30"/>
          <w:szCs w:val="30"/>
        </w:rPr>
      </w:pPr>
      <w:r w:rsidRPr="00514A64">
        <w:rPr>
          <w:rFonts w:ascii="仿宋_GB2312" w:eastAsia="仿宋_GB2312" w:hAnsi="宋体" w:hint="eastAsia"/>
          <w:b/>
          <w:sz w:val="30"/>
          <w:szCs w:val="30"/>
        </w:rPr>
        <w:t>（一）集成电路行业</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983515">
        <w:rPr>
          <w:rFonts w:ascii="仿宋_GB2312" w:eastAsia="仿宋_GB2312" w:hAnsi="宋体" w:hint="eastAsia"/>
          <w:sz w:val="30"/>
          <w:szCs w:val="30"/>
        </w:rPr>
        <w:t>集成电路行业是现代信息技术产业的基础和核心，是支撑国民经济和社会发展的战略性、基础性和先导性产业。近年来，随着国家政策、资金扶持不断加码，集成电路行业公司成为市场热点，但对于如何披露公司具体经营模式、关键技术指标，缺乏统一的标准。为此，指引区分细分产业链环节，要求公司结合自身经营模式和产品应用领域，细化披露工艺状况、技术发展、战略规划、产销量变化等关键行业经营性信息，反映公司行业经营特点和核心竞争力。同时，考虑到目前集成电路公司的发展阶段，指引要求公司提示发展过程中在技术研发、市场波动等方面存在的不确定性，</w:t>
      </w:r>
      <w:r>
        <w:rPr>
          <w:rFonts w:ascii="仿宋_GB2312" w:eastAsia="仿宋_GB2312" w:hAnsi="宋体" w:hint="eastAsia"/>
          <w:sz w:val="30"/>
          <w:szCs w:val="30"/>
        </w:rPr>
        <w:t>帮助</w:t>
      </w:r>
      <w:r w:rsidRPr="00983515">
        <w:rPr>
          <w:rFonts w:ascii="仿宋_GB2312" w:eastAsia="仿宋_GB2312" w:hAnsi="宋体" w:hint="eastAsia"/>
          <w:sz w:val="30"/>
          <w:szCs w:val="30"/>
        </w:rPr>
        <w:t>投资者全面判断公司发展趋势和风险。</w:t>
      </w:r>
    </w:p>
    <w:p w:rsidR="009B0614" w:rsidRDefault="009B0614" w:rsidP="009B0614">
      <w:pPr>
        <w:autoSpaceDE w:val="0"/>
        <w:autoSpaceDN w:val="0"/>
        <w:adjustRightInd w:val="0"/>
        <w:spacing w:line="560" w:lineRule="exact"/>
        <w:ind w:firstLineChars="200" w:firstLine="602"/>
        <w:rPr>
          <w:rFonts w:ascii="仿宋_GB2312" w:eastAsia="仿宋_GB2312" w:hAnsi="宋体"/>
          <w:b/>
          <w:sz w:val="30"/>
          <w:szCs w:val="30"/>
        </w:rPr>
      </w:pPr>
      <w:r w:rsidRPr="00514A64">
        <w:rPr>
          <w:rFonts w:ascii="仿宋_GB2312" w:eastAsia="仿宋_GB2312" w:hAnsi="宋体" w:hint="eastAsia"/>
          <w:b/>
          <w:sz w:val="30"/>
          <w:szCs w:val="30"/>
        </w:rPr>
        <w:t>（二）航空</w:t>
      </w:r>
      <w:r w:rsidRPr="00514A64">
        <w:rPr>
          <w:rFonts w:ascii="仿宋_GB2312" w:eastAsia="仿宋_GB2312" w:hAnsi="宋体"/>
          <w:b/>
          <w:sz w:val="30"/>
          <w:szCs w:val="30"/>
        </w:rPr>
        <w:t>、</w:t>
      </w:r>
      <w:r w:rsidRPr="00514A64">
        <w:rPr>
          <w:rFonts w:ascii="仿宋_GB2312" w:eastAsia="仿宋_GB2312" w:hAnsi="宋体" w:hint="eastAsia"/>
          <w:b/>
          <w:sz w:val="30"/>
          <w:szCs w:val="30"/>
        </w:rPr>
        <w:t>船舶</w:t>
      </w:r>
      <w:r w:rsidRPr="00514A64">
        <w:rPr>
          <w:rFonts w:ascii="仿宋_GB2312" w:eastAsia="仿宋_GB2312" w:hAnsi="宋体"/>
          <w:b/>
          <w:sz w:val="30"/>
          <w:szCs w:val="30"/>
        </w:rPr>
        <w:t>、铁路运输设备制造业</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274F4B">
        <w:rPr>
          <w:rFonts w:ascii="仿宋_GB2312" w:eastAsia="仿宋_GB2312" w:hAnsi="宋体" w:hint="eastAsia"/>
          <w:sz w:val="30"/>
          <w:szCs w:val="30"/>
        </w:rPr>
        <w:t>航空</w:t>
      </w:r>
      <w:r w:rsidRPr="00274F4B">
        <w:rPr>
          <w:rFonts w:ascii="仿宋_GB2312" w:eastAsia="仿宋_GB2312" w:hAnsi="宋体"/>
          <w:sz w:val="30"/>
          <w:szCs w:val="30"/>
        </w:rPr>
        <w:t>、</w:t>
      </w:r>
      <w:r w:rsidRPr="00274F4B">
        <w:rPr>
          <w:rFonts w:ascii="仿宋_GB2312" w:eastAsia="仿宋_GB2312" w:hAnsi="宋体" w:hint="eastAsia"/>
          <w:sz w:val="30"/>
          <w:szCs w:val="30"/>
        </w:rPr>
        <w:t>船舶</w:t>
      </w:r>
      <w:r w:rsidRPr="00274F4B">
        <w:rPr>
          <w:rFonts w:ascii="仿宋_GB2312" w:eastAsia="仿宋_GB2312" w:hAnsi="宋体"/>
          <w:sz w:val="30"/>
          <w:szCs w:val="30"/>
        </w:rPr>
        <w:t>、铁路运输设备制造业</w:t>
      </w:r>
      <w:r w:rsidRPr="00274F4B">
        <w:rPr>
          <w:rFonts w:ascii="仿宋_GB2312" w:eastAsia="仿宋_GB2312" w:hAnsi="宋体" w:hint="eastAsia"/>
          <w:sz w:val="30"/>
          <w:szCs w:val="30"/>
        </w:rPr>
        <w:t>是典型</w:t>
      </w:r>
      <w:r w:rsidRPr="00274F4B">
        <w:rPr>
          <w:rFonts w:ascii="仿宋_GB2312" w:eastAsia="仿宋_GB2312" w:hAnsi="宋体"/>
          <w:sz w:val="30"/>
          <w:szCs w:val="30"/>
        </w:rPr>
        <w:t>的高端装备制造</w:t>
      </w:r>
      <w:r w:rsidRPr="00274F4B">
        <w:rPr>
          <w:rFonts w:ascii="仿宋_GB2312" w:eastAsia="仿宋_GB2312" w:hAnsi="宋体" w:hint="eastAsia"/>
          <w:sz w:val="30"/>
          <w:szCs w:val="30"/>
        </w:rPr>
        <w:t>业</w:t>
      </w:r>
      <w:r w:rsidRPr="00274F4B">
        <w:rPr>
          <w:rFonts w:ascii="仿宋_GB2312" w:eastAsia="仿宋_GB2312" w:hAnsi="宋体"/>
          <w:sz w:val="30"/>
          <w:szCs w:val="30"/>
        </w:rPr>
        <w:t>，在《中国制造</w:t>
      </w:r>
      <w:r w:rsidRPr="00274F4B">
        <w:rPr>
          <w:rFonts w:ascii="仿宋_GB2312" w:eastAsia="仿宋_GB2312" w:hAnsi="宋体" w:hint="eastAsia"/>
          <w:sz w:val="30"/>
          <w:szCs w:val="30"/>
        </w:rPr>
        <w:t>2025》</w:t>
      </w:r>
      <w:r w:rsidRPr="00274F4B">
        <w:rPr>
          <w:rFonts w:ascii="仿宋_GB2312" w:eastAsia="仿宋_GB2312" w:hAnsi="宋体"/>
          <w:sz w:val="30"/>
          <w:szCs w:val="30"/>
        </w:rPr>
        <w:t>中</w:t>
      </w:r>
      <w:r w:rsidRPr="00274F4B">
        <w:rPr>
          <w:rFonts w:ascii="仿宋_GB2312" w:eastAsia="仿宋_GB2312" w:hAnsi="宋体" w:hint="eastAsia"/>
          <w:sz w:val="30"/>
          <w:szCs w:val="30"/>
        </w:rPr>
        <w:t>被</w:t>
      </w:r>
      <w:r w:rsidRPr="00274F4B">
        <w:rPr>
          <w:rFonts w:ascii="仿宋_GB2312" w:eastAsia="仿宋_GB2312" w:hAnsi="宋体"/>
          <w:sz w:val="30"/>
          <w:szCs w:val="30"/>
        </w:rPr>
        <w:t>列为重点领域。</w:t>
      </w:r>
      <w:r w:rsidRPr="00274F4B">
        <w:rPr>
          <w:rFonts w:ascii="仿宋_GB2312" w:eastAsia="仿宋_GB2312" w:hAnsi="宋体" w:hint="eastAsia"/>
          <w:sz w:val="30"/>
          <w:szCs w:val="30"/>
        </w:rPr>
        <w:t>行业</w:t>
      </w:r>
      <w:r>
        <w:rPr>
          <w:rFonts w:ascii="仿宋_GB2312" w:eastAsia="仿宋_GB2312" w:hAnsi="宋体" w:hint="eastAsia"/>
          <w:sz w:val="30"/>
          <w:szCs w:val="30"/>
        </w:rPr>
        <w:t>公司</w:t>
      </w:r>
      <w:r w:rsidRPr="00274F4B">
        <w:rPr>
          <w:rFonts w:ascii="仿宋_GB2312" w:eastAsia="仿宋_GB2312" w:hAnsi="宋体" w:hint="eastAsia"/>
          <w:sz w:val="30"/>
          <w:szCs w:val="30"/>
        </w:rPr>
        <w:t>技术含量普遍较高，</w:t>
      </w:r>
      <w:r w:rsidRPr="00274F4B">
        <w:rPr>
          <w:rFonts w:ascii="仿宋_GB2312" w:eastAsia="仿宋_GB2312" w:hAnsi="宋体"/>
          <w:sz w:val="30"/>
          <w:szCs w:val="30"/>
        </w:rPr>
        <w:t>且其客户</w:t>
      </w:r>
      <w:r w:rsidRPr="00274F4B">
        <w:rPr>
          <w:rFonts w:ascii="仿宋_GB2312" w:eastAsia="仿宋_GB2312" w:hAnsi="宋体" w:hint="eastAsia"/>
          <w:sz w:val="30"/>
          <w:szCs w:val="30"/>
        </w:rPr>
        <w:t>往往</w:t>
      </w:r>
      <w:r w:rsidRPr="00274F4B">
        <w:rPr>
          <w:rFonts w:ascii="仿宋_GB2312" w:eastAsia="仿宋_GB2312" w:hAnsi="宋体"/>
          <w:sz w:val="30"/>
          <w:szCs w:val="30"/>
        </w:rPr>
        <w:t>是大型企业或政府</w:t>
      </w:r>
      <w:r w:rsidRPr="00274F4B">
        <w:rPr>
          <w:rFonts w:ascii="仿宋_GB2312" w:eastAsia="仿宋_GB2312" w:hAnsi="宋体" w:hint="eastAsia"/>
          <w:sz w:val="30"/>
          <w:szCs w:val="30"/>
        </w:rPr>
        <w:t>机构</w:t>
      </w:r>
      <w:r w:rsidRPr="00274F4B">
        <w:rPr>
          <w:rFonts w:ascii="仿宋_GB2312" w:eastAsia="仿宋_GB2312" w:hAnsi="宋体"/>
          <w:sz w:val="30"/>
          <w:szCs w:val="30"/>
        </w:rPr>
        <w:t>，</w:t>
      </w:r>
      <w:r w:rsidRPr="00274F4B">
        <w:rPr>
          <w:rFonts w:ascii="仿宋_GB2312" w:eastAsia="仿宋_GB2312" w:hAnsi="宋体" w:hint="eastAsia"/>
          <w:sz w:val="30"/>
          <w:szCs w:val="30"/>
        </w:rPr>
        <w:t>并不直接</w:t>
      </w:r>
      <w:r w:rsidRPr="00274F4B">
        <w:rPr>
          <w:rFonts w:ascii="仿宋_GB2312" w:eastAsia="仿宋_GB2312" w:hAnsi="宋体"/>
          <w:sz w:val="30"/>
          <w:szCs w:val="30"/>
        </w:rPr>
        <w:t>面向终端</w:t>
      </w:r>
      <w:r w:rsidRPr="00274F4B">
        <w:rPr>
          <w:rFonts w:ascii="仿宋_GB2312" w:eastAsia="仿宋_GB2312" w:hAnsi="宋体"/>
          <w:sz w:val="30"/>
          <w:szCs w:val="30"/>
        </w:rPr>
        <w:lastRenderedPageBreak/>
        <w:t>消费者，</w:t>
      </w:r>
      <w:r w:rsidRPr="00274F4B">
        <w:rPr>
          <w:rFonts w:ascii="仿宋_GB2312" w:eastAsia="仿宋_GB2312" w:hAnsi="宋体" w:hint="eastAsia"/>
          <w:sz w:val="30"/>
          <w:szCs w:val="30"/>
        </w:rPr>
        <w:t>因此投资者</w:t>
      </w:r>
      <w:r w:rsidRPr="00274F4B">
        <w:rPr>
          <w:rFonts w:ascii="仿宋_GB2312" w:eastAsia="仿宋_GB2312" w:hAnsi="宋体"/>
          <w:sz w:val="30"/>
          <w:szCs w:val="30"/>
        </w:rPr>
        <w:t>在</w:t>
      </w:r>
      <w:r w:rsidRPr="00274F4B">
        <w:rPr>
          <w:rFonts w:ascii="仿宋_GB2312" w:eastAsia="仿宋_GB2312" w:hAnsi="宋体" w:hint="eastAsia"/>
          <w:sz w:val="30"/>
          <w:szCs w:val="30"/>
        </w:rPr>
        <w:t>信息</w:t>
      </w:r>
      <w:r w:rsidRPr="00274F4B">
        <w:rPr>
          <w:rFonts w:ascii="仿宋_GB2312" w:eastAsia="仿宋_GB2312" w:hAnsi="宋体"/>
          <w:sz w:val="30"/>
          <w:szCs w:val="30"/>
        </w:rPr>
        <w:t>获取与研究</w:t>
      </w:r>
      <w:r>
        <w:rPr>
          <w:rFonts w:ascii="仿宋_GB2312" w:eastAsia="仿宋_GB2312" w:hAnsi="宋体"/>
          <w:sz w:val="30"/>
          <w:szCs w:val="30"/>
        </w:rPr>
        <w:t>分析</w:t>
      </w:r>
      <w:r w:rsidRPr="00274F4B">
        <w:rPr>
          <w:rFonts w:ascii="仿宋_GB2312" w:eastAsia="仿宋_GB2312" w:hAnsi="宋体"/>
          <w:sz w:val="30"/>
          <w:szCs w:val="30"/>
        </w:rPr>
        <w:t>中</w:t>
      </w:r>
      <w:r w:rsidRPr="00274F4B">
        <w:rPr>
          <w:rFonts w:ascii="仿宋_GB2312" w:eastAsia="仿宋_GB2312" w:hAnsi="宋体" w:hint="eastAsia"/>
          <w:sz w:val="30"/>
          <w:szCs w:val="30"/>
        </w:rPr>
        <w:t>往往</w:t>
      </w:r>
      <w:r w:rsidRPr="00274F4B">
        <w:rPr>
          <w:rFonts w:ascii="仿宋_GB2312" w:eastAsia="仿宋_GB2312" w:hAnsi="宋体"/>
          <w:sz w:val="30"/>
          <w:szCs w:val="30"/>
        </w:rPr>
        <w:t>存在困难。</w:t>
      </w:r>
      <w:r w:rsidRPr="00274F4B">
        <w:rPr>
          <w:rFonts w:ascii="仿宋_GB2312" w:eastAsia="仿宋_GB2312" w:hAnsi="宋体" w:hint="eastAsia"/>
          <w:sz w:val="30"/>
          <w:szCs w:val="30"/>
        </w:rPr>
        <w:t>鉴此，指引</w:t>
      </w:r>
      <w:r w:rsidRPr="00274F4B">
        <w:rPr>
          <w:rFonts w:ascii="仿宋_GB2312" w:eastAsia="仿宋_GB2312" w:hAnsi="宋体"/>
          <w:sz w:val="30"/>
          <w:szCs w:val="30"/>
        </w:rPr>
        <w:t>在</w:t>
      </w:r>
      <w:r w:rsidRPr="00274F4B">
        <w:rPr>
          <w:rFonts w:ascii="仿宋_GB2312" w:eastAsia="仿宋_GB2312" w:hAnsi="宋体" w:hint="eastAsia"/>
          <w:sz w:val="30"/>
          <w:szCs w:val="30"/>
        </w:rPr>
        <w:t>行业信息</w:t>
      </w:r>
      <w:r w:rsidRPr="00274F4B">
        <w:rPr>
          <w:rFonts w:ascii="仿宋_GB2312" w:eastAsia="仿宋_GB2312" w:hAnsi="宋体"/>
          <w:sz w:val="30"/>
          <w:szCs w:val="30"/>
        </w:rPr>
        <w:t>与公司经营</w:t>
      </w:r>
      <w:r>
        <w:rPr>
          <w:rFonts w:ascii="仿宋_GB2312" w:eastAsia="仿宋_GB2312" w:hAnsi="宋体"/>
          <w:sz w:val="30"/>
          <w:szCs w:val="30"/>
        </w:rPr>
        <w:t>信息</w:t>
      </w:r>
      <w:r w:rsidRPr="00274F4B">
        <w:rPr>
          <w:rFonts w:ascii="仿宋_GB2312" w:eastAsia="仿宋_GB2312" w:hAnsi="宋体"/>
          <w:sz w:val="30"/>
          <w:szCs w:val="30"/>
        </w:rPr>
        <w:t>方面</w:t>
      </w:r>
      <w:r>
        <w:rPr>
          <w:rFonts w:ascii="仿宋_GB2312" w:eastAsia="仿宋_GB2312" w:hAnsi="宋体"/>
          <w:sz w:val="30"/>
          <w:szCs w:val="30"/>
        </w:rPr>
        <w:t>细化了</w:t>
      </w:r>
      <w:r w:rsidRPr="00274F4B">
        <w:rPr>
          <w:rFonts w:ascii="仿宋_GB2312" w:eastAsia="仿宋_GB2312" w:hAnsi="宋体" w:hint="eastAsia"/>
          <w:sz w:val="30"/>
          <w:szCs w:val="30"/>
        </w:rPr>
        <w:t>披露</w:t>
      </w:r>
      <w:r w:rsidRPr="00274F4B">
        <w:rPr>
          <w:rFonts w:ascii="仿宋_GB2312" w:eastAsia="仿宋_GB2312" w:hAnsi="宋体"/>
          <w:sz w:val="30"/>
          <w:szCs w:val="30"/>
        </w:rPr>
        <w:t>要求</w:t>
      </w:r>
      <w:r w:rsidRPr="00274F4B">
        <w:rPr>
          <w:rFonts w:ascii="仿宋_GB2312" w:eastAsia="仿宋_GB2312" w:hAnsi="宋体" w:hint="eastAsia"/>
          <w:sz w:val="30"/>
          <w:szCs w:val="30"/>
        </w:rPr>
        <w:t>。首先，</w:t>
      </w:r>
      <w:r w:rsidRPr="00274F4B">
        <w:rPr>
          <w:rFonts w:ascii="仿宋_GB2312" w:eastAsia="仿宋_GB2312" w:hAnsi="宋体"/>
          <w:sz w:val="30"/>
          <w:szCs w:val="30"/>
        </w:rPr>
        <w:t>指引要求公司</w:t>
      </w:r>
      <w:r w:rsidRPr="00274F4B">
        <w:rPr>
          <w:rFonts w:ascii="仿宋_GB2312" w:eastAsia="仿宋_GB2312" w:hAnsi="宋体" w:hint="eastAsia"/>
          <w:sz w:val="30"/>
          <w:szCs w:val="30"/>
        </w:rPr>
        <w:t>结合</w:t>
      </w:r>
      <w:r w:rsidRPr="00274F4B">
        <w:rPr>
          <w:rFonts w:ascii="仿宋_GB2312" w:eastAsia="仿宋_GB2312" w:hAnsi="宋体"/>
          <w:sz w:val="30"/>
          <w:szCs w:val="30"/>
        </w:rPr>
        <w:t>外部因素与自身经营状况，从经营模式、</w:t>
      </w:r>
      <w:r w:rsidRPr="00274F4B">
        <w:rPr>
          <w:rFonts w:ascii="仿宋_GB2312" w:eastAsia="仿宋_GB2312" w:hAnsi="宋体" w:hint="eastAsia"/>
          <w:sz w:val="30"/>
          <w:szCs w:val="30"/>
        </w:rPr>
        <w:t>潜在</w:t>
      </w:r>
      <w:r w:rsidRPr="00274F4B">
        <w:rPr>
          <w:rFonts w:ascii="仿宋_GB2312" w:eastAsia="仿宋_GB2312" w:hAnsi="宋体"/>
          <w:sz w:val="30"/>
          <w:szCs w:val="30"/>
        </w:rPr>
        <w:t>风险</w:t>
      </w:r>
      <w:r w:rsidRPr="00274F4B">
        <w:rPr>
          <w:rFonts w:ascii="仿宋_GB2312" w:eastAsia="仿宋_GB2312" w:hAnsi="宋体" w:hint="eastAsia"/>
          <w:sz w:val="30"/>
          <w:szCs w:val="30"/>
        </w:rPr>
        <w:t>、技术</w:t>
      </w:r>
      <w:r w:rsidRPr="00274F4B">
        <w:rPr>
          <w:rFonts w:ascii="仿宋_GB2312" w:eastAsia="仿宋_GB2312" w:hAnsi="宋体"/>
          <w:sz w:val="30"/>
          <w:szCs w:val="30"/>
        </w:rPr>
        <w:t>研发、</w:t>
      </w:r>
      <w:r w:rsidRPr="00274F4B">
        <w:rPr>
          <w:rFonts w:ascii="仿宋_GB2312" w:eastAsia="仿宋_GB2312" w:hAnsi="宋体" w:hint="eastAsia"/>
          <w:sz w:val="30"/>
          <w:szCs w:val="30"/>
        </w:rPr>
        <w:t>产品生产、</w:t>
      </w:r>
      <w:r w:rsidRPr="00274F4B">
        <w:rPr>
          <w:rFonts w:ascii="仿宋_GB2312" w:eastAsia="仿宋_GB2312" w:hAnsi="宋体"/>
          <w:sz w:val="30"/>
          <w:szCs w:val="30"/>
        </w:rPr>
        <w:t>供需结构</w:t>
      </w:r>
      <w:r w:rsidRPr="00274F4B">
        <w:rPr>
          <w:rFonts w:ascii="仿宋_GB2312" w:eastAsia="仿宋_GB2312" w:hAnsi="宋体" w:hint="eastAsia"/>
          <w:sz w:val="30"/>
          <w:szCs w:val="30"/>
        </w:rPr>
        <w:t>等</w:t>
      </w:r>
      <w:r w:rsidRPr="00274F4B">
        <w:rPr>
          <w:rFonts w:ascii="仿宋_GB2312" w:eastAsia="仿宋_GB2312" w:hAnsi="宋体"/>
          <w:sz w:val="30"/>
          <w:szCs w:val="30"/>
        </w:rPr>
        <w:t>维度进行</w:t>
      </w:r>
      <w:r>
        <w:rPr>
          <w:rFonts w:ascii="仿宋_GB2312" w:eastAsia="仿宋_GB2312" w:hAnsi="宋体" w:hint="eastAsia"/>
          <w:sz w:val="30"/>
          <w:szCs w:val="30"/>
        </w:rPr>
        <w:t>具体</w:t>
      </w:r>
      <w:r w:rsidRPr="00274F4B">
        <w:rPr>
          <w:rFonts w:ascii="仿宋_GB2312" w:eastAsia="仿宋_GB2312" w:hAnsi="宋体"/>
          <w:sz w:val="30"/>
          <w:szCs w:val="30"/>
        </w:rPr>
        <w:t>披露</w:t>
      </w:r>
      <w:r w:rsidRPr="00274F4B">
        <w:rPr>
          <w:rFonts w:ascii="仿宋_GB2312" w:eastAsia="仿宋_GB2312" w:hAnsi="宋体" w:hint="eastAsia"/>
          <w:sz w:val="30"/>
          <w:szCs w:val="30"/>
        </w:rPr>
        <w:t>。同时</w:t>
      </w:r>
      <w:r w:rsidRPr="00274F4B">
        <w:rPr>
          <w:rFonts w:ascii="仿宋_GB2312" w:eastAsia="仿宋_GB2312" w:hAnsi="宋体"/>
          <w:sz w:val="30"/>
          <w:szCs w:val="30"/>
        </w:rPr>
        <w:t>，针对投资者</w:t>
      </w:r>
      <w:r>
        <w:rPr>
          <w:rFonts w:ascii="仿宋_GB2312" w:eastAsia="仿宋_GB2312" w:hAnsi="宋体" w:hint="eastAsia"/>
          <w:sz w:val="30"/>
          <w:szCs w:val="30"/>
        </w:rPr>
        <w:t>普遍</w:t>
      </w:r>
      <w:r>
        <w:rPr>
          <w:rFonts w:ascii="仿宋_GB2312" w:eastAsia="仿宋_GB2312" w:hAnsi="宋体"/>
          <w:sz w:val="30"/>
          <w:szCs w:val="30"/>
        </w:rPr>
        <w:t>关注</w:t>
      </w:r>
      <w:r w:rsidRPr="00274F4B">
        <w:rPr>
          <w:rFonts w:ascii="仿宋_GB2312" w:eastAsia="仿宋_GB2312" w:hAnsi="宋体"/>
          <w:sz w:val="30"/>
          <w:szCs w:val="30"/>
        </w:rPr>
        <w:t>的</w:t>
      </w:r>
      <w:r w:rsidRPr="00274F4B">
        <w:rPr>
          <w:rFonts w:ascii="仿宋_GB2312" w:eastAsia="仿宋_GB2312" w:hAnsi="宋体" w:hint="eastAsia"/>
          <w:sz w:val="30"/>
          <w:szCs w:val="30"/>
        </w:rPr>
        <w:t>修理改装</w:t>
      </w:r>
      <w:r w:rsidRPr="00274F4B">
        <w:rPr>
          <w:rFonts w:ascii="仿宋_GB2312" w:eastAsia="仿宋_GB2312" w:hAnsi="宋体"/>
          <w:sz w:val="30"/>
          <w:szCs w:val="30"/>
        </w:rPr>
        <w:t>、海外</w:t>
      </w:r>
      <w:r w:rsidRPr="00274F4B">
        <w:rPr>
          <w:rFonts w:ascii="仿宋_GB2312" w:eastAsia="仿宋_GB2312" w:hAnsi="宋体" w:hint="eastAsia"/>
          <w:sz w:val="30"/>
          <w:szCs w:val="30"/>
        </w:rPr>
        <w:t>业务</w:t>
      </w:r>
      <w:r w:rsidRPr="00274F4B">
        <w:rPr>
          <w:rFonts w:ascii="仿宋_GB2312" w:eastAsia="仿宋_GB2312" w:hAnsi="宋体"/>
          <w:sz w:val="30"/>
          <w:szCs w:val="30"/>
        </w:rPr>
        <w:t>等</w:t>
      </w:r>
      <w:r w:rsidRPr="00274F4B">
        <w:rPr>
          <w:rFonts w:ascii="仿宋_GB2312" w:eastAsia="仿宋_GB2312" w:hAnsi="宋体" w:hint="eastAsia"/>
          <w:sz w:val="30"/>
          <w:szCs w:val="30"/>
        </w:rPr>
        <w:t>具备</w:t>
      </w:r>
      <w:r w:rsidRPr="00274F4B">
        <w:rPr>
          <w:rFonts w:ascii="仿宋_GB2312" w:eastAsia="仿宋_GB2312" w:hAnsi="宋体"/>
          <w:sz w:val="30"/>
          <w:szCs w:val="30"/>
        </w:rPr>
        <w:t>增长潜力的业务领域，</w:t>
      </w:r>
      <w:r w:rsidRPr="00274F4B">
        <w:rPr>
          <w:rFonts w:ascii="仿宋_GB2312" w:eastAsia="仿宋_GB2312" w:hAnsi="宋体" w:hint="eastAsia"/>
          <w:sz w:val="30"/>
          <w:szCs w:val="30"/>
        </w:rPr>
        <w:t>指引制定了专项</w:t>
      </w:r>
      <w:r w:rsidRPr="00274F4B">
        <w:rPr>
          <w:rFonts w:ascii="仿宋_GB2312" w:eastAsia="仿宋_GB2312" w:hAnsi="宋体"/>
          <w:sz w:val="30"/>
          <w:szCs w:val="30"/>
        </w:rPr>
        <w:t>的披露要求</w:t>
      </w:r>
      <w:r w:rsidRPr="00274F4B">
        <w:rPr>
          <w:rFonts w:ascii="仿宋_GB2312" w:eastAsia="仿宋_GB2312" w:hAnsi="宋体" w:hint="eastAsia"/>
          <w:sz w:val="30"/>
          <w:szCs w:val="30"/>
        </w:rPr>
        <w:t>。</w:t>
      </w:r>
      <w:r w:rsidRPr="00274F4B">
        <w:rPr>
          <w:rFonts w:ascii="仿宋_GB2312" w:eastAsia="仿宋_GB2312" w:hAnsi="宋体"/>
          <w:sz w:val="30"/>
          <w:szCs w:val="30"/>
        </w:rPr>
        <w:t>此外，</w:t>
      </w:r>
      <w:r w:rsidRPr="00274F4B">
        <w:rPr>
          <w:rFonts w:ascii="仿宋_GB2312" w:eastAsia="仿宋_GB2312" w:hAnsi="宋体" w:hint="eastAsia"/>
          <w:sz w:val="30"/>
          <w:szCs w:val="30"/>
        </w:rPr>
        <w:t>考虑</w:t>
      </w:r>
      <w:r w:rsidRPr="00274F4B">
        <w:rPr>
          <w:rFonts w:ascii="仿宋_GB2312" w:eastAsia="仿宋_GB2312" w:hAnsi="宋体"/>
          <w:sz w:val="30"/>
          <w:szCs w:val="30"/>
        </w:rPr>
        <w:t>到</w:t>
      </w:r>
      <w:r w:rsidRPr="00274F4B">
        <w:rPr>
          <w:rFonts w:ascii="仿宋_GB2312" w:eastAsia="仿宋_GB2312" w:hAnsi="宋体" w:hint="eastAsia"/>
          <w:sz w:val="30"/>
          <w:szCs w:val="30"/>
        </w:rPr>
        <w:t>航空</w:t>
      </w:r>
      <w:r w:rsidRPr="00274F4B">
        <w:rPr>
          <w:rFonts w:ascii="仿宋_GB2312" w:eastAsia="仿宋_GB2312" w:hAnsi="宋体"/>
          <w:sz w:val="30"/>
          <w:szCs w:val="30"/>
        </w:rPr>
        <w:t>、</w:t>
      </w:r>
      <w:r w:rsidRPr="00274F4B">
        <w:rPr>
          <w:rFonts w:ascii="仿宋_GB2312" w:eastAsia="仿宋_GB2312" w:hAnsi="宋体" w:hint="eastAsia"/>
          <w:sz w:val="30"/>
          <w:szCs w:val="30"/>
        </w:rPr>
        <w:t>船舶</w:t>
      </w:r>
      <w:r w:rsidRPr="00274F4B">
        <w:rPr>
          <w:rFonts w:ascii="仿宋_GB2312" w:eastAsia="仿宋_GB2312" w:hAnsi="宋体"/>
          <w:sz w:val="30"/>
          <w:szCs w:val="30"/>
        </w:rPr>
        <w:t>、铁路运输设备制造行业</w:t>
      </w:r>
      <w:r w:rsidRPr="00274F4B">
        <w:rPr>
          <w:rFonts w:ascii="仿宋_GB2312" w:eastAsia="仿宋_GB2312" w:hAnsi="宋体" w:hint="eastAsia"/>
          <w:sz w:val="30"/>
          <w:szCs w:val="30"/>
        </w:rPr>
        <w:t>政策性</w:t>
      </w:r>
      <w:r w:rsidRPr="00274F4B">
        <w:rPr>
          <w:rFonts w:ascii="仿宋_GB2312" w:eastAsia="仿宋_GB2312" w:hAnsi="宋体"/>
          <w:sz w:val="30"/>
          <w:szCs w:val="30"/>
        </w:rPr>
        <w:t>强、</w:t>
      </w:r>
      <w:r w:rsidRPr="00274F4B">
        <w:rPr>
          <w:rFonts w:ascii="仿宋_GB2312" w:eastAsia="仿宋_GB2312" w:hAnsi="宋体" w:hint="eastAsia"/>
          <w:sz w:val="30"/>
          <w:szCs w:val="30"/>
        </w:rPr>
        <w:t>单位价值量大</w:t>
      </w:r>
      <w:r w:rsidRPr="00274F4B">
        <w:rPr>
          <w:rFonts w:ascii="仿宋_GB2312" w:eastAsia="仿宋_GB2312" w:hAnsi="宋体"/>
          <w:sz w:val="30"/>
          <w:szCs w:val="30"/>
        </w:rPr>
        <w:t>、技术含量</w:t>
      </w:r>
      <w:r w:rsidRPr="00274F4B">
        <w:rPr>
          <w:rFonts w:ascii="仿宋_GB2312" w:eastAsia="仿宋_GB2312" w:hAnsi="宋体" w:hint="eastAsia"/>
          <w:sz w:val="30"/>
          <w:szCs w:val="30"/>
        </w:rPr>
        <w:t>高</w:t>
      </w:r>
      <w:r w:rsidRPr="00274F4B">
        <w:rPr>
          <w:rFonts w:ascii="仿宋_GB2312" w:eastAsia="仿宋_GB2312" w:hAnsi="宋体"/>
          <w:sz w:val="30"/>
          <w:szCs w:val="30"/>
        </w:rPr>
        <w:t>的特点，</w:t>
      </w:r>
      <w:r w:rsidRPr="00274F4B">
        <w:rPr>
          <w:rFonts w:ascii="仿宋_GB2312" w:eastAsia="仿宋_GB2312" w:hAnsi="宋体" w:hint="eastAsia"/>
          <w:sz w:val="30"/>
          <w:szCs w:val="30"/>
        </w:rPr>
        <w:t>指引</w:t>
      </w:r>
      <w:r w:rsidRPr="00274F4B">
        <w:rPr>
          <w:rFonts w:ascii="仿宋_GB2312" w:eastAsia="仿宋_GB2312" w:hAnsi="宋体"/>
          <w:sz w:val="30"/>
          <w:szCs w:val="30"/>
        </w:rPr>
        <w:t>要求公司</w:t>
      </w:r>
      <w:r w:rsidRPr="00274F4B">
        <w:rPr>
          <w:rFonts w:ascii="仿宋_GB2312" w:eastAsia="仿宋_GB2312" w:hAnsi="宋体" w:hint="eastAsia"/>
          <w:sz w:val="30"/>
          <w:szCs w:val="30"/>
        </w:rPr>
        <w:t>及时</w:t>
      </w:r>
      <w:r w:rsidRPr="00274F4B">
        <w:rPr>
          <w:rFonts w:ascii="仿宋_GB2312" w:eastAsia="仿宋_GB2312" w:hAnsi="宋体"/>
          <w:sz w:val="30"/>
          <w:szCs w:val="30"/>
        </w:rPr>
        <w:t>以临时公告的形式披露</w:t>
      </w:r>
      <w:r w:rsidRPr="00274F4B">
        <w:rPr>
          <w:rFonts w:ascii="仿宋_GB2312" w:eastAsia="仿宋_GB2312" w:hAnsi="宋体" w:hint="eastAsia"/>
          <w:sz w:val="30"/>
          <w:szCs w:val="30"/>
        </w:rPr>
        <w:t>行业</w:t>
      </w:r>
      <w:r w:rsidRPr="00274F4B">
        <w:rPr>
          <w:rFonts w:ascii="仿宋_GB2312" w:eastAsia="仿宋_GB2312" w:hAnsi="宋体"/>
          <w:sz w:val="30"/>
          <w:szCs w:val="30"/>
        </w:rPr>
        <w:t>重大变化、重要订单</w:t>
      </w:r>
      <w:r w:rsidRPr="00274F4B">
        <w:rPr>
          <w:rFonts w:ascii="仿宋_GB2312" w:eastAsia="仿宋_GB2312" w:hAnsi="宋体" w:hint="eastAsia"/>
          <w:sz w:val="30"/>
          <w:szCs w:val="30"/>
        </w:rPr>
        <w:t>、关键</w:t>
      </w:r>
      <w:r w:rsidRPr="00274F4B">
        <w:rPr>
          <w:rFonts w:ascii="仿宋_GB2312" w:eastAsia="仿宋_GB2312" w:hAnsi="宋体"/>
          <w:sz w:val="30"/>
          <w:szCs w:val="30"/>
        </w:rPr>
        <w:t>技术突破</w:t>
      </w:r>
      <w:r w:rsidRPr="00274F4B">
        <w:rPr>
          <w:rFonts w:ascii="仿宋_GB2312" w:eastAsia="仿宋_GB2312" w:hAnsi="宋体" w:hint="eastAsia"/>
          <w:sz w:val="30"/>
          <w:szCs w:val="30"/>
        </w:rPr>
        <w:t>等</w:t>
      </w:r>
      <w:r w:rsidRPr="00274F4B">
        <w:rPr>
          <w:rFonts w:ascii="仿宋_GB2312" w:eastAsia="仿宋_GB2312" w:hAnsi="宋体"/>
          <w:sz w:val="30"/>
          <w:szCs w:val="30"/>
        </w:rPr>
        <w:t>信息，并</w:t>
      </w:r>
      <w:r w:rsidRPr="00274F4B">
        <w:rPr>
          <w:rFonts w:ascii="仿宋_GB2312" w:eastAsia="仿宋_GB2312" w:hAnsi="宋体" w:hint="eastAsia"/>
          <w:sz w:val="30"/>
          <w:szCs w:val="30"/>
        </w:rPr>
        <w:t>持续披露</w:t>
      </w:r>
      <w:r w:rsidRPr="00274F4B">
        <w:rPr>
          <w:rFonts w:ascii="仿宋_GB2312" w:eastAsia="仿宋_GB2312" w:hAnsi="宋体"/>
          <w:sz w:val="30"/>
          <w:szCs w:val="30"/>
        </w:rPr>
        <w:t>重要进展</w:t>
      </w:r>
      <w:r>
        <w:rPr>
          <w:rFonts w:ascii="仿宋_GB2312" w:eastAsia="仿宋_GB2312" w:hAnsi="宋体"/>
          <w:sz w:val="30"/>
          <w:szCs w:val="30"/>
        </w:rPr>
        <w:t>和变化</w:t>
      </w:r>
      <w:r w:rsidRPr="00274F4B">
        <w:rPr>
          <w:rFonts w:ascii="仿宋_GB2312" w:eastAsia="仿宋_GB2312" w:hAnsi="宋体"/>
          <w:sz w:val="30"/>
          <w:szCs w:val="30"/>
        </w:rPr>
        <w:t>。</w:t>
      </w:r>
    </w:p>
    <w:p w:rsidR="009B0614" w:rsidRDefault="009B0614" w:rsidP="009B0614">
      <w:pPr>
        <w:autoSpaceDE w:val="0"/>
        <w:autoSpaceDN w:val="0"/>
        <w:adjustRightInd w:val="0"/>
        <w:spacing w:line="560" w:lineRule="exact"/>
        <w:ind w:firstLineChars="200" w:firstLine="602"/>
        <w:rPr>
          <w:rFonts w:ascii="仿宋_GB2312" w:eastAsia="仿宋_GB2312" w:hAnsi="宋体"/>
          <w:b/>
          <w:sz w:val="30"/>
          <w:szCs w:val="30"/>
        </w:rPr>
      </w:pPr>
      <w:r w:rsidRPr="00514A64">
        <w:rPr>
          <w:rFonts w:ascii="仿宋_GB2312" w:eastAsia="仿宋_GB2312" w:hAnsi="宋体" w:hint="eastAsia"/>
          <w:b/>
          <w:sz w:val="30"/>
          <w:szCs w:val="30"/>
        </w:rPr>
        <w:t>（三）医疗器械行业</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983515">
        <w:rPr>
          <w:rFonts w:ascii="仿宋_GB2312" w:eastAsia="仿宋_GB2312" w:hAnsi="宋体" w:hint="eastAsia"/>
          <w:sz w:val="30"/>
          <w:szCs w:val="30"/>
        </w:rPr>
        <w:t>医疗器械行业是医学、电子、材料等多学科交叉融合的高技术产业</w:t>
      </w:r>
      <w:r>
        <w:rPr>
          <w:rFonts w:ascii="仿宋_GB2312" w:eastAsia="仿宋_GB2312" w:hAnsi="宋体" w:hint="eastAsia"/>
          <w:sz w:val="30"/>
          <w:szCs w:val="30"/>
        </w:rPr>
        <w:t>。近年来受</w:t>
      </w:r>
      <w:r w:rsidRPr="00BA714D">
        <w:rPr>
          <w:rFonts w:ascii="仿宋_GB2312" w:eastAsia="仿宋_GB2312" w:hAnsi="宋体" w:hint="eastAsia"/>
          <w:sz w:val="30"/>
          <w:szCs w:val="30"/>
        </w:rPr>
        <w:t>益于国家政策支持</w:t>
      </w:r>
      <w:r w:rsidRPr="00983515">
        <w:rPr>
          <w:rFonts w:ascii="仿宋_GB2312" w:eastAsia="仿宋_GB2312" w:hAnsi="宋体" w:hint="eastAsia"/>
          <w:sz w:val="30"/>
          <w:szCs w:val="30"/>
        </w:rPr>
        <w:t>，</w:t>
      </w:r>
      <w:r>
        <w:rPr>
          <w:rFonts w:ascii="仿宋_GB2312" w:eastAsia="仿宋_GB2312" w:hAnsi="宋体" w:hint="eastAsia"/>
          <w:sz w:val="30"/>
          <w:szCs w:val="30"/>
        </w:rPr>
        <w:t>行业整体</w:t>
      </w:r>
      <w:r w:rsidRPr="00E65C0A">
        <w:rPr>
          <w:rFonts w:ascii="仿宋_GB2312" w:eastAsia="仿宋_GB2312" w:hAnsi="宋体" w:hint="eastAsia"/>
          <w:sz w:val="30"/>
          <w:szCs w:val="30"/>
        </w:rPr>
        <w:t>呈现持续快速发展的局面</w:t>
      </w:r>
      <w:r>
        <w:rPr>
          <w:rFonts w:ascii="仿宋_GB2312" w:eastAsia="仿宋_GB2312" w:hAnsi="宋体" w:hint="eastAsia"/>
          <w:sz w:val="30"/>
          <w:szCs w:val="30"/>
        </w:rPr>
        <w:t>，但企业平均规模、产品质量及研发投入等，距离发达国家仍有一定差距。同时，医疗器械行业细分领域广，不同领域的准入门槛、发展阶段与市场竞争情况不尽相同。对此，</w:t>
      </w:r>
      <w:r w:rsidRPr="00983515">
        <w:rPr>
          <w:rFonts w:ascii="仿宋_GB2312" w:eastAsia="仿宋_GB2312" w:hAnsi="宋体" w:hint="eastAsia"/>
          <w:sz w:val="30"/>
          <w:szCs w:val="30"/>
        </w:rPr>
        <w:t>为帮助投资者</w:t>
      </w:r>
      <w:r>
        <w:rPr>
          <w:rFonts w:ascii="仿宋_GB2312" w:eastAsia="仿宋_GB2312" w:hAnsi="宋体" w:hint="eastAsia"/>
          <w:sz w:val="30"/>
          <w:szCs w:val="30"/>
        </w:rPr>
        <w:t>准确理解行业特性与公司经营外部环境，指引要求公司结合自身所在的细分领域，披露行业基本发展状况</w:t>
      </w:r>
      <w:r w:rsidRPr="00983515">
        <w:rPr>
          <w:rFonts w:ascii="仿宋_GB2312" w:eastAsia="仿宋_GB2312" w:hAnsi="宋体" w:hint="eastAsia"/>
          <w:sz w:val="30"/>
          <w:szCs w:val="30"/>
        </w:rPr>
        <w:t>与公司所处市场地位，</w:t>
      </w:r>
      <w:r>
        <w:rPr>
          <w:rFonts w:ascii="仿宋_GB2312" w:eastAsia="仿宋_GB2312" w:hAnsi="宋体" w:hint="eastAsia"/>
          <w:sz w:val="30"/>
          <w:szCs w:val="30"/>
        </w:rPr>
        <w:t>分析行业政策变化及其</w:t>
      </w:r>
      <w:r w:rsidRPr="00983515">
        <w:rPr>
          <w:rFonts w:ascii="仿宋_GB2312" w:eastAsia="仿宋_GB2312" w:hAnsi="宋体" w:hint="eastAsia"/>
          <w:sz w:val="30"/>
          <w:szCs w:val="30"/>
        </w:rPr>
        <w:t>对公司的影响</w:t>
      </w:r>
      <w:r>
        <w:rPr>
          <w:rFonts w:ascii="仿宋_GB2312" w:eastAsia="仿宋_GB2312" w:hAnsi="宋体" w:hint="eastAsia"/>
          <w:sz w:val="30"/>
          <w:szCs w:val="30"/>
        </w:rPr>
        <w:t>等。同时，结合行业特点，</w:t>
      </w:r>
      <w:r w:rsidRPr="00983515">
        <w:rPr>
          <w:rFonts w:ascii="仿宋_GB2312" w:eastAsia="仿宋_GB2312" w:hAnsi="宋体" w:hint="eastAsia"/>
          <w:sz w:val="30"/>
          <w:szCs w:val="30"/>
        </w:rPr>
        <w:t>指引</w:t>
      </w:r>
      <w:r>
        <w:rPr>
          <w:rFonts w:ascii="仿宋_GB2312" w:eastAsia="仿宋_GB2312" w:hAnsi="宋体" w:hint="eastAsia"/>
          <w:sz w:val="30"/>
          <w:szCs w:val="30"/>
        </w:rPr>
        <w:t>还要求公司详细披露创新研发信息，包括研发投入、相关会计处理、主要产品研发注册进展等信息，以反映公司研发能力及</w:t>
      </w:r>
      <w:r w:rsidRPr="00983515">
        <w:rPr>
          <w:rFonts w:ascii="仿宋_GB2312" w:eastAsia="仿宋_GB2312" w:hAnsi="宋体" w:hint="eastAsia"/>
          <w:sz w:val="30"/>
          <w:szCs w:val="30"/>
        </w:rPr>
        <w:t>核心竞争力。</w:t>
      </w:r>
      <w:r>
        <w:rPr>
          <w:rFonts w:ascii="仿宋_GB2312" w:eastAsia="仿宋_GB2312" w:hAnsi="宋体" w:hint="eastAsia"/>
          <w:sz w:val="30"/>
          <w:szCs w:val="30"/>
        </w:rPr>
        <w:t>此外，指引进一步</w:t>
      </w:r>
      <w:r w:rsidRPr="00983515">
        <w:rPr>
          <w:rFonts w:ascii="仿宋_GB2312" w:eastAsia="仿宋_GB2312" w:hAnsi="宋体" w:hint="eastAsia"/>
          <w:sz w:val="30"/>
          <w:szCs w:val="30"/>
        </w:rPr>
        <w:t>细化</w:t>
      </w:r>
      <w:r>
        <w:rPr>
          <w:rFonts w:ascii="仿宋_GB2312" w:eastAsia="仿宋_GB2312" w:hAnsi="宋体" w:hint="eastAsia"/>
          <w:sz w:val="30"/>
          <w:szCs w:val="30"/>
        </w:rPr>
        <w:t>了对医疗器械行业上市公司不同</w:t>
      </w:r>
      <w:r w:rsidRPr="00983515">
        <w:rPr>
          <w:rFonts w:ascii="仿宋_GB2312" w:eastAsia="仿宋_GB2312" w:hAnsi="宋体" w:hint="eastAsia"/>
          <w:sz w:val="30"/>
          <w:szCs w:val="30"/>
        </w:rPr>
        <w:t>销售模式</w:t>
      </w:r>
      <w:r>
        <w:rPr>
          <w:rFonts w:ascii="仿宋_GB2312" w:eastAsia="仿宋_GB2312" w:hAnsi="宋体" w:hint="eastAsia"/>
          <w:sz w:val="30"/>
          <w:szCs w:val="30"/>
        </w:rPr>
        <w:t>的</w:t>
      </w:r>
      <w:r w:rsidRPr="00983515">
        <w:rPr>
          <w:rFonts w:ascii="仿宋_GB2312" w:eastAsia="仿宋_GB2312" w:hAnsi="宋体" w:hint="eastAsia"/>
          <w:sz w:val="30"/>
          <w:szCs w:val="30"/>
        </w:rPr>
        <w:t>信息披露</w:t>
      </w:r>
      <w:r>
        <w:rPr>
          <w:rFonts w:ascii="仿宋_GB2312" w:eastAsia="仿宋_GB2312" w:hAnsi="宋体" w:hint="eastAsia"/>
          <w:sz w:val="30"/>
          <w:szCs w:val="30"/>
        </w:rPr>
        <w:t>要求，</w:t>
      </w:r>
      <w:r w:rsidRPr="00983515">
        <w:rPr>
          <w:rFonts w:ascii="仿宋_GB2312" w:eastAsia="仿宋_GB2312" w:hAnsi="宋体" w:hint="eastAsia"/>
          <w:sz w:val="30"/>
          <w:szCs w:val="30"/>
        </w:rPr>
        <w:t>帮助投资者了解公司的经营情况和业务特点。</w:t>
      </w:r>
    </w:p>
    <w:p w:rsidR="009B0614" w:rsidRDefault="009B0614" w:rsidP="009B0614">
      <w:pPr>
        <w:autoSpaceDE w:val="0"/>
        <w:autoSpaceDN w:val="0"/>
        <w:adjustRightInd w:val="0"/>
        <w:spacing w:line="560" w:lineRule="exact"/>
        <w:ind w:firstLineChars="200" w:firstLine="602"/>
        <w:rPr>
          <w:rFonts w:ascii="仿宋_GB2312" w:eastAsia="仿宋_GB2312" w:hAnsi="宋体"/>
          <w:b/>
          <w:sz w:val="30"/>
          <w:szCs w:val="30"/>
        </w:rPr>
      </w:pPr>
      <w:r w:rsidRPr="00514A64">
        <w:rPr>
          <w:rFonts w:ascii="仿宋_GB2312" w:eastAsia="仿宋_GB2312" w:hAnsi="宋体" w:hint="eastAsia"/>
          <w:b/>
          <w:sz w:val="30"/>
          <w:szCs w:val="30"/>
        </w:rPr>
        <w:lastRenderedPageBreak/>
        <w:t>（</w:t>
      </w:r>
      <w:r>
        <w:rPr>
          <w:rFonts w:ascii="仿宋_GB2312" w:eastAsia="仿宋_GB2312" w:hAnsi="宋体" w:hint="eastAsia"/>
          <w:b/>
          <w:sz w:val="30"/>
          <w:szCs w:val="30"/>
        </w:rPr>
        <w:t>四</w:t>
      </w:r>
      <w:r w:rsidRPr="00514A64">
        <w:rPr>
          <w:rFonts w:ascii="仿宋_GB2312" w:eastAsia="仿宋_GB2312" w:hAnsi="宋体" w:hint="eastAsia"/>
          <w:b/>
          <w:sz w:val="30"/>
          <w:szCs w:val="30"/>
        </w:rPr>
        <w:t>）食品制造业</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983515">
        <w:rPr>
          <w:rFonts w:ascii="仿宋_GB2312" w:eastAsia="仿宋_GB2312" w:hAnsi="宋体" w:hint="eastAsia"/>
          <w:sz w:val="30"/>
          <w:szCs w:val="30"/>
        </w:rPr>
        <w:t>食品制造业</w:t>
      </w:r>
      <w:r w:rsidRPr="004640DA">
        <w:rPr>
          <w:rFonts w:ascii="仿宋_GB2312" w:eastAsia="仿宋_GB2312" w:hAnsi="宋体" w:hint="eastAsia"/>
          <w:sz w:val="30"/>
          <w:szCs w:val="30"/>
        </w:rPr>
        <w:t>是我国国民经济的重要支柱产业，关系着国计民生。</w:t>
      </w:r>
      <w:r>
        <w:rPr>
          <w:rFonts w:ascii="仿宋_GB2312" w:eastAsia="仿宋_GB2312" w:hAnsi="宋体" w:hint="eastAsia"/>
          <w:sz w:val="30"/>
          <w:szCs w:val="30"/>
        </w:rPr>
        <w:t>近年来，国内食品</w:t>
      </w:r>
      <w:r w:rsidRPr="004640DA">
        <w:rPr>
          <w:rFonts w:ascii="仿宋_GB2312" w:eastAsia="仿宋_GB2312" w:hAnsi="宋体" w:hint="eastAsia"/>
          <w:sz w:val="30"/>
          <w:szCs w:val="30"/>
        </w:rPr>
        <w:t>消费升级逐步走向成熟，在品类、渠道和区域上均呈现明显分化。</w:t>
      </w:r>
      <w:r>
        <w:rPr>
          <w:rFonts w:ascii="仿宋_GB2312" w:eastAsia="仿宋_GB2312" w:hAnsi="宋体" w:hint="eastAsia"/>
          <w:sz w:val="30"/>
          <w:szCs w:val="30"/>
        </w:rPr>
        <w:t>指引对相关上市公司所在</w:t>
      </w:r>
      <w:r w:rsidRPr="00983515">
        <w:rPr>
          <w:rFonts w:ascii="仿宋_GB2312" w:eastAsia="仿宋_GB2312" w:hAnsi="宋体" w:hint="eastAsia"/>
          <w:sz w:val="30"/>
          <w:szCs w:val="30"/>
        </w:rPr>
        <w:t>细分</w:t>
      </w:r>
      <w:r>
        <w:rPr>
          <w:rFonts w:ascii="仿宋_GB2312" w:eastAsia="仿宋_GB2312" w:hAnsi="宋体" w:hint="eastAsia"/>
          <w:sz w:val="30"/>
          <w:szCs w:val="30"/>
        </w:rPr>
        <w:t>领域的竞争格局、公司品牌运营、销售模式与渠道等明确了具体披露要求，以</w:t>
      </w:r>
      <w:r w:rsidRPr="00983515">
        <w:rPr>
          <w:rFonts w:ascii="仿宋_GB2312" w:eastAsia="仿宋_GB2312" w:hAnsi="宋体" w:hint="eastAsia"/>
          <w:sz w:val="30"/>
          <w:szCs w:val="30"/>
        </w:rPr>
        <w:t>帮助投资者了解公司</w:t>
      </w:r>
      <w:r>
        <w:rPr>
          <w:rFonts w:ascii="仿宋_GB2312" w:eastAsia="仿宋_GB2312" w:hAnsi="宋体" w:hint="eastAsia"/>
          <w:sz w:val="30"/>
          <w:szCs w:val="30"/>
        </w:rPr>
        <w:t>经营状况</w:t>
      </w:r>
      <w:r w:rsidRPr="00983515">
        <w:rPr>
          <w:rFonts w:ascii="仿宋_GB2312" w:eastAsia="仿宋_GB2312" w:hAnsi="宋体" w:hint="eastAsia"/>
          <w:sz w:val="30"/>
          <w:szCs w:val="30"/>
        </w:rPr>
        <w:t>、核心价值及风险情况，便于投资决策。同时，</w:t>
      </w:r>
      <w:r>
        <w:rPr>
          <w:rFonts w:ascii="仿宋_GB2312" w:eastAsia="仿宋_GB2312" w:hAnsi="宋体" w:hint="eastAsia"/>
          <w:sz w:val="30"/>
          <w:szCs w:val="30"/>
        </w:rPr>
        <w:t>考虑到</w:t>
      </w:r>
      <w:r>
        <w:rPr>
          <w:rFonts w:ascii="仿宋_GB2312" w:eastAsia="仿宋_GB2312" w:hAnsi="宋体" w:hint="eastAsia"/>
          <w:color w:val="000000"/>
          <w:sz w:val="28"/>
          <w:szCs w:val="28"/>
        </w:rPr>
        <w:t>食品行业</w:t>
      </w:r>
      <w:r>
        <w:rPr>
          <w:rFonts w:ascii="仿宋_GB2312" w:eastAsia="仿宋_GB2312" w:hAnsi="宋体"/>
          <w:color w:val="000000"/>
          <w:sz w:val="28"/>
          <w:szCs w:val="28"/>
        </w:rPr>
        <w:t>上下游产业关联度</w:t>
      </w:r>
      <w:r>
        <w:rPr>
          <w:rFonts w:ascii="仿宋_GB2312" w:eastAsia="仿宋_GB2312" w:hAnsi="宋体" w:hint="eastAsia"/>
          <w:color w:val="000000"/>
          <w:sz w:val="28"/>
          <w:szCs w:val="28"/>
        </w:rPr>
        <w:t>较</w:t>
      </w:r>
      <w:r>
        <w:rPr>
          <w:rFonts w:ascii="仿宋_GB2312" w:eastAsia="仿宋_GB2312" w:hAnsi="宋体"/>
          <w:color w:val="000000"/>
          <w:sz w:val="28"/>
          <w:szCs w:val="28"/>
        </w:rPr>
        <w:t>高，</w:t>
      </w:r>
      <w:r>
        <w:rPr>
          <w:rFonts w:ascii="仿宋_GB2312" w:eastAsia="仿宋_GB2312" w:hAnsi="宋体" w:hint="eastAsia"/>
          <w:color w:val="000000"/>
          <w:sz w:val="28"/>
          <w:szCs w:val="28"/>
        </w:rPr>
        <w:t>上游原材料价格变化可能会对公司的产品价格、毛利率等产生影响，而下游市场需求变化会影响公司的产销量规模，</w:t>
      </w:r>
      <w:r>
        <w:rPr>
          <w:rFonts w:ascii="仿宋_GB2312" w:eastAsia="仿宋_GB2312" w:hAnsi="宋体" w:hint="eastAsia"/>
          <w:sz w:val="30"/>
          <w:szCs w:val="30"/>
        </w:rPr>
        <w:t>指引进一步</w:t>
      </w:r>
      <w:r w:rsidRPr="00983515">
        <w:rPr>
          <w:rFonts w:ascii="仿宋_GB2312" w:eastAsia="仿宋_GB2312" w:hAnsi="宋体" w:hint="eastAsia"/>
          <w:sz w:val="30"/>
          <w:szCs w:val="30"/>
        </w:rPr>
        <w:t>要求公司</w:t>
      </w:r>
      <w:r>
        <w:rPr>
          <w:rFonts w:ascii="仿宋_GB2312" w:eastAsia="仿宋_GB2312" w:hAnsi="宋体" w:hint="eastAsia"/>
          <w:sz w:val="30"/>
          <w:szCs w:val="30"/>
        </w:rPr>
        <w:t>细化</w:t>
      </w:r>
      <w:r w:rsidRPr="00983515">
        <w:rPr>
          <w:rFonts w:ascii="仿宋_GB2312" w:eastAsia="仿宋_GB2312" w:hAnsi="宋体" w:hint="eastAsia"/>
          <w:sz w:val="30"/>
          <w:szCs w:val="30"/>
        </w:rPr>
        <w:t>披露</w:t>
      </w:r>
      <w:r>
        <w:rPr>
          <w:rFonts w:ascii="仿宋_GB2312" w:eastAsia="仿宋_GB2312" w:hAnsi="宋体" w:hint="eastAsia"/>
          <w:sz w:val="30"/>
          <w:szCs w:val="30"/>
        </w:rPr>
        <w:t>自身采购模式、销售模式调整、</w:t>
      </w:r>
      <w:r w:rsidRPr="00983515">
        <w:rPr>
          <w:rFonts w:ascii="仿宋_GB2312" w:eastAsia="仿宋_GB2312" w:hAnsi="宋体" w:hint="eastAsia"/>
          <w:sz w:val="30"/>
          <w:szCs w:val="30"/>
        </w:rPr>
        <w:t>原材料价格变动</w:t>
      </w:r>
      <w:r>
        <w:rPr>
          <w:rFonts w:ascii="仿宋_GB2312" w:eastAsia="仿宋_GB2312" w:hAnsi="宋体" w:hint="eastAsia"/>
          <w:sz w:val="30"/>
          <w:szCs w:val="30"/>
        </w:rPr>
        <w:t>影响</w:t>
      </w:r>
      <w:r w:rsidRPr="00983515">
        <w:rPr>
          <w:rFonts w:ascii="仿宋_GB2312" w:eastAsia="仿宋_GB2312" w:hAnsi="宋体" w:hint="eastAsia"/>
          <w:sz w:val="30"/>
          <w:szCs w:val="30"/>
        </w:rPr>
        <w:t>、</w:t>
      </w:r>
      <w:r>
        <w:rPr>
          <w:rFonts w:ascii="仿宋_GB2312" w:eastAsia="仿宋_GB2312" w:hAnsi="宋体" w:hint="eastAsia"/>
          <w:sz w:val="30"/>
          <w:szCs w:val="30"/>
        </w:rPr>
        <w:t>产能开工情况等信息。此外，结合</w:t>
      </w:r>
      <w:r w:rsidRPr="00983515">
        <w:rPr>
          <w:rFonts w:ascii="仿宋_GB2312" w:eastAsia="仿宋_GB2312" w:hAnsi="宋体" w:hint="eastAsia"/>
          <w:sz w:val="30"/>
          <w:szCs w:val="30"/>
        </w:rPr>
        <w:t>食品安全重要性突出特点，指引</w:t>
      </w:r>
      <w:r>
        <w:rPr>
          <w:rFonts w:ascii="仿宋_GB2312" w:eastAsia="仿宋_GB2312" w:hAnsi="宋体" w:hint="eastAsia"/>
          <w:sz w:val="30"/>
          <w:szCs w:val="30"/>
        </w:rPr>
        <w:t>着重强调了上市公司相关制度建设和实施信息的披露要求，明确了重大食品安全事故的披露标准，强化企业</w:t>
      </w:r>
      <w:r w:rsidRPr="00983515">
        <w:rPr>
          <w:rFonts w:ascii="仿宋_GB2312" w:eastAsia="仿宋_GB2312" w:hAnsi="宋体" w:hint="eastAsia"/>
          <w:sz w:val="30"/>
          <w:szCs w:val="30"/>
        </w:rPr>
        <w:t>社会责任</w:t>
      </w:r>
      <w:r>
        <w:rPr>
          <w:rFonts w:ascii="仿宋_GB2312" w:eastAsia="仿宋_GB2312" w:hAnsi="宋体" w:hint="eastAsia"/>
          <w:sz w:val="30"/>
          <w:szCs w:val="30"/>
        </w:rPr>
        <w:t>。</w:t>
      </w:r>
    </w:p>
    <w:p w:rsidR="009B0614" w:rsidRDefault="009B0614" w:rsidP="009B0614">
      <w:pPr>
        <w:autoSpaceDE w:val="0"/>
        <w:autoSpaceDN w:val="0"/>
        <w:adjustRightInd w:val="0"/>
        <w:spacing w:line="560" w:lineRule="exact"/>
        <w:ind w:firstLineChars="200" w:firstLine="602"/>
        <w:rPr>
          <w:rFonts w:ascii="仿宋_GB2312" w:eastAsia="仿宋_GB2312" w:hAnsi="宋体"/>
          <w:b/>
          <w:sz w:val="30"/>
          <w:szCs w:val="30"/>
        </w:rPr>
      </w:pPr>
      <w:r w:rsidRPr="00514A64">
        <w:rPr>
          <w:rFonts w:ascii="仿宋_GB2312" w:eastAsia="仿宋_GB2312" w:hAnsi="宋体" w:hint="eastAsia"/>
          <w:b/>
          <w:sz w:val="30"/>
          <w:szCs w:val="30"/>
        </w:rPr>
        <w:t>（五）黄金珠宝饰品业</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983515">
        <w:rPr>
          <w:rFonts w:ascii="仿宋_GB2312" w:eastAsia="仿宋_GB2312" w:hAnsi="宋体" w:hint="eastAsia"/>
          <w:sz w:val="30"/>
          <w:szCs w:val="30"/>
        </w:rPr>
        <w:t>黄金珠宝饰品业务属于批发零售行业类别，按经营模式大致可以分为黄金珠宝品饰品批发业务、零售业务和品牌运营业务等，按经营的黄金珠宝饰品品种大致可以分为贵金属、宝玉石等。黄金珠宝饰品作为较贵重的可选消费品和投资品，原材料价值、工艺设计和品牌对此类商品的价格具有较大影响，</w:t>
      </w:r>
      <w:r>
        <w:rPr>
          <w:rFonts w:ascii="仿宋_GB2312" w:eastAsia="仿宋_GB2312" w:hAnsi="宋体" w:hint="eastAsia"/>
          <w:sz w:val="30"/>
          <w:szCs w:val="30"/>
        </w:rPr>
        <w:t>行业</w:t>
      </w:r>
      <w:r w:rsidRPr="00983515">
        <w:rPr>
          <w:rFonts w:ascii="仿宋_GB2312" w:eastAsia="仿宋_GB2312" w:hAnsi="宋体" w:hint="eastAsia"/>
          <w:sz w:val="30"/>
          <w:szCs w:val="30"/>
        </w:rPr>
        <w:t>普遍具有单价较高、体积较小、个体商品价值差异较大等特点，商品存货的资产占比较高、占用公司资金较大。</w:t>
      </w:r>
      <w:r>
        <w:rPr>
          <w:rFonts w:ascii="仿宋_GB2312" w:eastAsia="仿宋_GB2312" w:hAnsi="宋体" w:hint="eastAsia"/>
          <w:sz w:val="30"/>
          <w:szCs w:val="30"/>
        </w:rPr>
        <w:t>对此，指引着重强化了上市公司关于存货及其变动、品牌定位、销售渠道等关键信息的披露力度。同时，结合行业内经营模式多元化的特点，对相关上市公司不同销售模式、生产模式、采购模式等细化明确了披露要求，</w:t>
      </w:r>
      <w:r>
        <w:rPr>
          <w:rFonts w:ascii="仿宋_GB2312" w:eastAsia="仿宋_GB2312" w:hAnsi="宋体" w:hint="eastAsia"/>
          <w:sz w:val="30"/>
          <w:szCs w:val="30"/>
        </w:rPr>
        <w:lastRenderedPageBreak/>
        <w:t>并加大对生产经营各类风险的揭示力度。此外，指引</w:t>
      </w:r>
      <w:r w:rsidRPr="00983515">
        <w:rPr>
          <w:rFonts w:ascii="仿宋_GB2312" w:eastAsia="仿宋_GB2312" w:hAnsi="宋体" w:hint="eastAsia"/>
          <w:sz w:val="30"/>
          <w:szCs w:val="30"/>
        </w:rPr>
        <w:t>要求</w:t>
      </w:r>
      <w:r>
        <w:rPr>
          <w:rFonts w:ascii="仿宋_GB2312" w:eastAsia="仿宋_GB2312" w:hAnsi="宋体" w:hint="eastAsia"/>
          <w:sz w:val="30"/>
          <w:szCs w:val="30"/>
        </w:rPr>
        <w:t>上市</w:t>
      </w:r>
      <w:r w:rsidRPr="00983515">
        <w:rPr>
          <w:rFonts w:ascii="仿宋_GB2312" w:eastAsia="仿宋_GB2312" w:hAnsi="宋体" w:hint="eastAsia"/>
          <w:sz w:val="30"/>
          <w:szCs w:val="30"/>
        </w:rPr>
        <w:t>公司</w:t>
      </w:r>
      <w:r>
        <w:rPr>
          <w:rFonts w:ascii="仿宋_GB2312" w:eastAsia="仿宋_GB2312" w:hAnsi="宋体" w:hint="eastAsia"/>
          <w:sz w:val="30"/>
          <w:szCs w:val="30"/>
        </w:rPr>
        <w:t>具体</w:t>
      </w:r>
      <w:r w:rsidRPr="00983515">
        <w:rPr>
          <w:rFonts w:ascii="仿宋_GB2312" w:eastAsia="仿宋_GB2312" w:hAnsi="宋体" w:hint="eastAsia"/>
          <w:sz w:val="30"/>
          <w:szCs w:val="30"/>
        </w:rPr>
        <w:t>披露收入确认、研发投入、退换货、以旧换新等多项行业具体会计政策和财务信息，以便于投资者了解公司的经营情况和风险。</w:t>
      </w:r>
    </w:p>
    <w:p w:rsidR="009B0614" w:rsidRDefault="009B0614" w:rsidP="009B0614">
      <w:pPr>
        <w:autoSpaceDE w:val="0"/>
        <w:autoSpaceDN w:val="0"/>
        <w:adjustRightInd w:val="0"/>
        <w:spacing w:line="560" w:lineRule="exact"/>
        <w:ind w:firstLineChars="200" w:firstLine="602"/>
        <w:rPr>
          <w:rFonts w:ascii="仿宋_GB2312" w:eastAsia="仿宋_GB2312" w:hAnsi="宋体"/>
          <w:b/>
          <w:sz w:val="30"/>
          <w:szCs w:val="30"/>
        </w:rPr>
      </w:pPr>
      <w:r w:rsidRPr="00514A64">
        <w:rPr>
          <w:rFonts w:ascii="仿宋_GB2312" w:eastAsia="仿宋_GB2312" w:hAnsi="宋体" w:hint="eastAsia"/>
          <w:b/>
          <w:sz w:val="30"/>
          <w:szCs w:val="30"/>
        </w:rPr>
        <w:t>（</w:t>
      </w:r>
      <w:r>
        <w:rPr>
          <w:rFonts w:ascii="仿宋_GB2312" w:eastAsia="仿宋_GB2312" w:hAnsi="宋体" w:hint="eastAsia"/>
          <w:b/>
          <w:sz w:val="30"/>
          <w:szCs w:val="30"/>
        </w:rPr>
        <w:t>六</w:t>
      </w:r>
      <w:r w:rsidRPr="00514A64">
        <w:rPr>
          <w:rFonts w:ascii="仿宋_GB2312" w:eastAsia="仿宋_GB2312" w:hAnsi="宋体" w:hint="eastAsia"/>
          <w:b/>
          <w:sz w:val="30"/>
          <w:szCs w:val="30"/>
        </w:rPr>
        <w:t>）影视行业</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983515">
        <w:rPr>
          <w:rFonts w:ascii="仿宋_GB2312" w:eastAsia="仿宋_GB2312" w:hAnsi="宋体" w:hint="eastAsia"/>
          <w:sz w:val="30"/>
          <w:szCs w:val="30"/>
        </w:rPr>
        <w:t>随着社会经济的持续发展和文化体制改革的不断深入，影视行业蓬勃发展，成为中</w:t>
      </w:r>
      <w:r>
        <w:rPr>
          <w:rFonts w:ascii="仿宋_GB2312" w:eastAsia="仿宋_GB2312" w:hAnsi="宋体" w:hint="eastAsia"/>
          <w:sz w:val="30"/>
          <w:szCs w:val="30"/>
        </w:rPr>
        <w:t>国经济持续快速增长和实现转型升级的“助推器”。信息披露方面，影视行业与传统行业属性差异较大，现有的信息披露规则难以揭示行业内上市公司的核心价值和潜在风险，无法满足投资者信息需求。为此，指引区分</w:t>
      </w:r>
      <w:r w:rsidRPr="00983515">
        <w:rPr>
          <w:rFonts w:ascii="仿宋_GB2312" w:eastAsia="仿宋_GB2312" w:hAnsi="宋体" w:hint="eastAsia"/>
          <w:sz w:val="30"/>
          <w:szCs w:val="30"/>
        </w:rPr>
        <w:t>电影制作和发行、电视剧和其他类型影视作品制作、电影放映业务分类，</w:t>
      </w:r>
      <w:r>
        <w:rPr>
          <w:rFonts w:ascii="仿宋_GB2312" w:eastAsia="仿宋_GB2312" w:hAnsi="宋体" w:hint="eastAsia"/>
          <w:sz w:val="30"/>
          <w:szCs w:val="30"/>
        </w:rPr>
        <w:t>明确了行业格局和公司经营信息的披露要求，加强上市公司信息披露的有效性和透明度</w:t>
      </w:r>
      <w:r w:rsidRPr="00983515">
        <w:rPr>
          <w:rFonts w:ascii="仿宋_GB2312" w:eastAsia="仿宋_GB2312" w:hAnsi="宋体" w:hint="eastAsia"/>
          <w:sz w:val="30"/>
          <w:szCs w:val="30"/>
        </w:rPr>
        <w:t>。</w:t>
      </w:r>
      <w:r>
        <w:rPr>
          <w:rFonts w:ascii="仿宋_GB2312" w:eastAsia="仿宋_GB2312" w:hAnsi="宋体" w:hint="eastAsia"/>
          <w:sz w:val="30"/>
          <w:szCs w:val="30"/>
        </w:rPr>
        <w:t>同时，指引结合行业特点，对相关公司应收账款、存货</w:t>
      </w:r>
      <w:r w:rsidRPr="00983515">
        <w:rPr>
          <w:rFonts w:ascii="仿宋_GB2312" w:eastAsia="仿宋_GB2312" w:hAnsi="宋体" w:hint="eastAsia"/>
          <w:sz w:val="30"/>
          <w:szCs w:val="30"/>
        </w:rPr>
        <w:t>信息</w:t>
      </w:r>
      <w:r>
        <w:rPr>
          <w:rFonts w:ascii="仿宋_GB2312" w:eastAsia="仿宋_GB2312" w:hAnsi="宋体" w:hint="eastAsia"/>
          <w:sz w:val="30"/>
          <w:szCs w:val="30"/>
        </w:rPr>
        <w:t>细化了披露标准和要求，帮助投资者评估公司的经营质量和潜在</w:t>
      </w:r>
      <w:r w:rsidRPr="00983515">
        <w:rPr>
          <w:rFonts w:ascii="仿宋_GB2312" w:eastAsia="仿宋_GB2312" w:hAnsi="宋体" w:hint="eastAsia"/>
          <w:sz w:val="30"/>
          <w:szCs w:val="30"/>
        </w:rPr>
        <w:t>风险。</w:t>
      </w:r>
    </w:p>
    <w:p w:rsidR="009B0614" w:rsidRDefault="009B0614" w:rsidP="009B0614">
      <w:pPr>
        <w:autoSpaceDE w:val="0"/>
        <w:autoSpaceDN w:val="0"/>
        <w:adjustRightInd w:val="0"/>
        <w:spacing w:line="560" w:lineRule="exact"/>
        <w:ind w:firstLineChars="200" w:firstLine="602"/>
        <w:rPr>
          <w:rFonts w:ascii="仿宋_GB2312" w:eastAsia="仿宋_GB2312" w:hAnsi="宋体"/>
          <w:b/>
          <w:sz w:val="30"/>
          <w:szCs w:val="30"/>
        </w:rPr>
      </w:pPr>
      <w:r w:rsidRPr="00514A64">
        <w:rPr>
          <w:rFonts w:ascii="仿宋_GB2312" w:eastAsia="仿宋_GB2312" w:hAnsi="宋体" w:hint="eastAsia"/>
          <w:b/>
          <w:sz w:val="30"/>
          <w:szCs w:val="30"/>
        </w:rPr>
        <w:t>（</w:t>
      </w:r>
      <w:r>
        <w:rPr>
          <w:rFonts w:ascii="仿宋_GB2312" w:eastAsia="仿宋_GB2312" w:hAnsi="宋体" w:hint="eastAsia"/>
          <w:b/>
          <w:sz w:val="30"/>
          <w:szCs w:val="30"/>
        </w:rPr>
        <w:t>七</w:t>
      </w:r>
      <w:r w:rsidRPr="00514A64">
        <w:rPr>
          <w:rFonts w:ascii="仿宋_GB2312" w:eastAsia="仿宋_GB2312" w:hAnsi="宋体" w:hint="eastAsia"/>
          <w:b/>
          <w:sz w:val="30"/>
          <w:szCs w:val="30"/>
        </w:rPr>
        <w:t>）家具制造业</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983515">
        <w:rPr>
          <w:rFonts w:ascii="仿宋_GB2312" w:eastAsia="仿宋_GB2312" w:hAnsi="宋体" w:hint="eastAsia"/>
          <w:sz w:val="30"/>
          <w:szCs w:val="30"/>
        </w:rPr>
        <w:t>家具制造业受到国民经济发展水平、居民可支配收入变化、房地产行业的景气程度以及消费习惯的转变等因素的影响较大。为此，家具制造业指引要求公司详细披露居民收入水平、房地产行业景气度等外部因素的变化情况。同时，</w:t>
      </w:r>
      <w:r>
        <w:rPr>
          <w:rFonts w:ascii="仿宋_GB2312" w:eastAsia="仿宋_GB2312" w:hAnsi="宋体" w:hint="eastAsia"/>
          <w:sz w:val="30"/>
          <w:szCs w:val="30"/>
        </w:rPr>
        <w:t>考虑到</w:t>
      </w:r>
      <w:r w:rsidRPr="00983515">
        <w:rPr>
          <w:rFonts w:ascii="仿宋_GB2312" w:eastAsia="仿宋_GB2312" w:hAnsi="宋体" w:hint="eastAsia"/>
          <w:sz w:val="30"/>
          <w:szCs w:val="30"/>
        </w:rPr>
        <w:t>不同细分业务类型公司的经营模式、盈利模式等存在较大差异，指引还要求公司按照</w:t>
      </w:r>
      <w:r w:rsidRPr="00983515">
        <w:rPr>
          <w:rFonts w:ascii="仿宋_GB2312" w:eastAsia="仿宋_GB2312" w:hAnsi="宋体"/>
          <w:sz w:val="30"/>
          <w:szCs w:val="30"/>
        </w:rPr>
        <w:t>定制化整体家具</w:t>
      </w:r>
      <w:r w:rsidRPr="00983515">
        <w:rPr>
          <w:rFonts w:ascii="仿宋_GB2312" w:eastAsia="仿宋_GB2312" w:hAnsi="宋体" w:hint="eastAsia"/>
          <w:sz w:val="30"/>
          <w:szCs w:val="30"/>
        </w:rPr>
        <w:t>和成品家具分类，披露主要产品和经营模式</w:t>
      </w:r>
      <w:r>
        <w:rPr>
          <w:rFonts w:ascii="仿宋_GB2312" w:eastAsia="仿宋_GB2312" w:hAnsi="宋体" w:hint="eastAsia"/>
          <w:sz w:val="30"/>
          <w:szCs w:val="30"/>
        </w:rPr>
        <w:t>，</w:t>
      </w:r>
      <w:r w:rsidRPr="00983515">
        <w:rPr>
          <w:rFonts w:ascii="仿宋_GB2312" w:eastAsia="仿宋_GB2312" w:hAnsi="宋体" w:hint="eastAsia"/>
          <w:sz w:val="30"/>
          <w:szCs w:val="30"/>
        </w:rPr>
        <w:t>分析公司所在的产业链位置、盈利模式、产品特色等内容。此外，指引对家具制造业上市公司的研发设计情况、品牌经营情</w:t>
      </w:r>
      <w:r w:rsidRPr="00983515">
        <w:rPr>
          <w:rFonts w:ascii="仿宋_GB2312" w:eastAsia="仿宋_GB2312" w:hAnsi="宋体" w:hint="eastAsia"/>
          <w:sz w:val="30"/>
          <w:szCs w:val="30"/>
        </w:rPr>
        <w:lastRenderedPageBreak/>
        <w:t>况、成本详细构成、销售渠道、存货情况等</w:t>
      </w:r>
      <w:r>
        <w:rPr>
          <w:rFonts w:ascii="仿宋_GB2312" w:eastAsia="仿宋_GB2312" w:hAnsi="宋体" w:hint="eastAsia"/>
          <w:sz w:val="30"/>
          <w:szCs w:val="30"/>
        </w:rPr>
        <w:t>细化</w:t>
      </w:r>
      <w:r w:rsidRPr="00983515">
        <w:rPr>
          <w:rFonts w:ascii="仿宋_GB2312" w:eastAsia="仿宋_GB2312" w:hAnsi="宋体" w:hint="eastAsia"/>
          <w:sz w:val="30"/>
          <w:szCs w:val="30"/>
        </w:rPr>
        <w:t>了披露要求，旨在有针对性地反映公司行业经营情况及核心价值，便于投资者投资决策。</w:t>
      </w:r>
    </w:p>
    <w:p w:rsidR="009B0614" w:rsidRDefault="009B0614" w:rsidP="009B0614">
      <w:pPr>
        <w:autoSpaceDE w:val="0"/>
        <w:autoSpaceDN w:val="0"/>
        <w:adjustRightInd w:val="0"/>
        <w:spacing w:line="560" w:lineRule="exact"/>
        <w:ind w:firstLineChars="200" w:firstLine="602"/>
        <w:rPr>
          <w:rFonts w:ascii="仿宋_GB2312" w:eastAsia="仿宋_GB2312" w:hAnsi="宋体"/>
          <w:b/>
          <w:sz w:val="30"/>
          <w:szCs w:val="30"/>
        </w:rPr>
      </w:pPr>
      <w:r w:rsidRPr="00514A64">
        <w:rPr>
          <w:rFonts w:ascii="仿宋_GB2312" w:eastAsia="仿宋_GB2312" w:hAnsi="宋体" w:hint="eastAsia"/>
          <w:b/>
          <w:sz w:val="30"/>
          <w:szCs w:val="30"/>
        </w:rPr>
        <w:t>（八）有色金属行业</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983515">
        <w:rPr>
          <w:rFonts w:ascii="仿宋_GB2312" w:eastAsia="仿宋_GB2312" w:hAnsi="宋体" w:hint="eastAsia"/>
          <w:sz w:val="30"/>
          <w:szCs w:val="30"/>
        </w:rPr>
        <w:t>有色金属行业对国内外基础资源依赖程度较高，</w:t>
      </w:r>
      <w:r>
        <w:rPr>
          <w:rFonts w:ascii="仿宋_GB2312" w:eastAsia="仿宋_GB2312" w:hAnsi="宋体" w:hint="eastAsia"/>
          <w:sz w:val="30"/>
          <w:szCs w:val="30"/>
        </w:rPr>
        <w:t>且</w:t>
      </w:r>
      <w:r w:rsidRPr="00983515">
        <w:rPr>
          <w:rFonts w:ascii="仿宋_GB2312" w:eastAsia="仿宋_GB2312" w:hAnsi="宋体" w:hint="eastAsia"/>
          <w:sz w:val="30"/>
          <w:szCs w:val="30"/>
        </w:rPr>
        <w:t>近年</w:t>
      </w:r>
      <w:r>
        <w:rPr>
          <w:rFonts w:ascii="仿宋_GB2312" w:eastAsia="仿宋_GB2312" w:hAnsi="宋体" w:hint="eastAsia"/>
          <w:sz w:val="30"/>
          <w:szCs w:val="30"/>
        </w:rPr>
        <w:t>来伴随</w:t>
      </w:r>
      <w:r w:rsidRPr="00983515">
        <w:rPr>
          <w:rFonts w:ascii="仿宋_GB2312" w:eastAsia="仿宋_GB2312" w:hAnsi="宋体" w:hint="eastAsia"/>
          <w:sz w:val="30"/>
          <w:szCs w:val="30"/>
        </w:rPr>
        <w:t>国内产能调整政策</w:t>
      </w:r>
      <w:r>
        <w:rPr>
          <w:rFonts w:ascii="仿宋_GB2312" w:eastAsia="仿宋_GB2312" w:hAnsi="宋体" w:hint="eastAsia"/>
          <w:sz w:val="30"/>
          <w:szCs w:val="30"/>
        </w:rPr>
        <w:t>逐步推进、</w:t>
      </w:r>
      <w:r w:rsidRPr="00983515">
        <w:rPr>
          <w:rFonts w:ascii="仿宋_GB2312" w:eastAsia="仿宋_GB2312" w:hAnsi="宋体" w:hint="eastAsia"/>
          <w:sz w:val="30"/>
          <w:szCs w:val="30"/>
        </w:rPr>
        <w:t>环保政策</w:t>
      </w:r>
      <w:r>
        <w:rPr>
          <w:rFonts w:ascii="仿宋_GB2312" w:eastAsia="仿宋_GB2312" w:hAnsi="宋体" w:hint="eastAsia"/>
          <w:sz w:val="30"/>
          <w:szCs w:val="30"/>
        </w:rPr>
        <w:t>不断加码、</w:t>
      </w:r>
      <w:r w:rsidRPr="00983515">
        <w:rPr>
          <w:rFonts w:ascii="仿宋_GB2312" w:eastAsia="仿宋_GB2312" w:hAnsi="宋体" w:hint="eastAsia"/>
          <w:sz w:val="30"/>
          <w:szCs w:val="30"/>
        </w:rPr>
        <w:t>国际贸易形势</w:t>
      </w:r>
      <w:r>
        <w:rPr>
          <w:rFonts w:ascii="仿宋_GB2312" w:eastAsia="仿宋_GB2312" w:hAnsi="宋体" w:hint="eastAsia"/>
          <w:sz w:val="30"/>
          <w:szCs w:val="30"/>
        </w:rPr>
        <w:t>复杂</w:t>
      </w:r>
      <w:r w:rsidRPr="00983515">
        <w:rPr>
          <w:rFonts w:ascii="仿宋_GB2312" w:eastAsia="仿宋_GB2312" w:hAnsi="宋体" w:hint="eastAsia"/>
          <w:sz w:val="30"/>
          <w:szCs w:val="30"/>
        </w:rPr>
        <w:t>多变</w:t>
      </w:r>
      <w:r>
        <w:rPr>
          <w:rFonts w:ascii="仿宋_GB2312" w:eastAsia="仿宋_GB2312" w:hAnsi="宋体" w:hint="eastAsia"/>
          <w:sz w:val="30"/>
          <w:szCs w:val="30"/>
        </w:rPr>
        <w:t>等</w:t>
      </w:r>
      <w:r w:rsidRPr="00983515">
        <w:rPr>
          <w:rFonts w:ascii="仿宋_GB2312" w:eastAsia="仿宋_GB2312" w:hAnsi="宋体" w:hint="eastAsia"/>
          <w:sz w:val="30"/>
          <w:szCs w:val="30"/>
        </w:rPr>
        <w:t>，行业</w:t>
      </w:r>
      <w:r>
        <w:rPr>
          <w:rFonts w:ascii="仿宋_GB2312" w:eastAsia="仿宋_GB2312" w:hAnsi="宋体" w:hint="eastAsia"/>
          <w:sz w:val="30"/>
          <w:szCs w:val="30"/>
        </w:rPr>
        <w:t>整体</w:t>
      </w:r>
      <w:r w:rsidRPr="00983515">
        <w:rPr>
          <w:rFonts w:ascii="仿宋_GB2312" w:eastAsia="仿宋_GB2312" w:hAnsi="宋体" w:hint="eastAsia"/>
          <w:sz w:val="30"/>
          <w:szCs w:val="30"/>
        </w:rPr>
        <w:t>面临</w:t>
      </w:r>
      <w:r>
        <w:rPr>
          <w:rFonts w:ascii="仿宋_GB2312" w:eastAsia="仿宋_GB2312" w:hAnsi="宋体" w:hint="eastAsia"/>
          <w:sz w:val="30"/>
          <w:szCs w:val="30"/>
        </w:rPr>
        <w:t>诸多</w:t>
      </w:r>
      <w:r w:rsidRPr="00983515">
        <w:rPr>
          <w:rFonts w:ascii="仿宋_GB2312" w:eastAsia="仿宋_GB2312" w:hAnsi="宋体" w:hint="eastAsia"/>
          <w:sz w:val="30"/>
          <w:szCs w:val="30"/>
        </w:rPr>
        <w:t>挑战。为此，有色金属行业指引着重要求公司</w:t>
      </w:r>
      <w:r>
        <w:rPr>
          <w:rFonts w:ascii="仿宋_GB2312" w:eastAsia="仿宋_GB2312" w:hAnsi="宋体" w:hint="eastAsia"/>
          <w:sz w:val="30"/>
          <w:szCs w:val="30"/>
        </w:rPr>
        <w:t>具体分析</w:t>
      </w:r>
      <w:r w:rsidRPr="00983515">
        <w:rPr>
          <w:rFonts w:ascii="仿宋_GB2312" w:eastAsia="仿宋_GB2312" w:hAnsi="宋体" w:hint="eastAsia"/>
          <w:sz w:val="30"/>
          <w:szCs w:val="30"/>
        </w:rPr>
        <w:t>宏观层面</w:t>
      </w:r>
      <w:r>
        <w:rPr>
          <w:rFonts w:ascii="仿宋_GB2312" w:eastAsia="仿宋_GB2312" w:hAnsi="宋体" w:hint="eastAsia"/>
          <w:sz w:val="30"/>
          <w:szCs w:val="30"/>
        </w:rPr>
        <w:t>上国内外局势和政策变动对公司经营的影响，并结合中观层面</w:t>
      </w:r>
      <w:r w:rsidRPr="00983515">
        <w:rPr>
          <w:rFonts w:ascii="仿宋_GB2312" w:eastAsia="仿宋_GB2312" w:hAnsi="宋体" w:hint="eastAsia"/>
          <w:sz w:val="30"/>
          <w:szCs w:val="30"/>
        </w:rPr>
        <w:t>上游矿产成本构成、自身生产盈利模式以及下游市场销售情况，说明公司业务模式和核心竞争力</w:t>
      </w:r>
      <w:r>
        <w:rPr>
          <w:rFonts w:ascii="仿宋_GB2312" w:eastAsia="仿宋_GB2312" w:hAnsi="宋体" w:hint="eastAsia"/>
          <w:sz w:val="30"/>
          <w:szCs w:val="30"/>
        </w:rPr>
        <w:t>情况。同时，指引</w:t>
      </w:r>
      <w:r>
        <w:rPr>
          <w:rFonts w:ascii="仿宋_GB2312" w:eastAsia="仿宋_GB2312" w:hAnsi="仿宋" w:cs="宋体" w:hint="eastAsia"/>
          <w:kern w:val="0"/>
          <w:sz w:val="30"/>
          <w:szCs w:val="30"/>
        </w:rPr>
        <w:t>针对行业内上市公司资源</w:t>
      </w:r>
      <w:r w:rsidRPr="00E9593E">
        <w:rPr>
          <w:rFonts w:ascii="仿宋_GB2312" w:eastAsia="仿宋_GB2312" w:hAnsi="仿宋" w:cs="宋体" w:hint="eastAsia"/>
          <w:kern w:val="0"/>
          <w:sz w:val="30"/>
          <w:szCs w:val="30"/>
        </w:rPr>
        <w:t>储量</w:t>
      </w:r>
      <w:r>
        <w:rPr>
          <w:rFonts w:ascii="仿宋_GB2312" w:eastAsia="仿宋_GB2312" w:hAnsi="仿宋" w:cs="宋体" w:hint="eastAsia"/>
          <w:kern w:val="0"/>
          <w:sz w:val="30"/>
          <w:szCs w:val="30"/>
        </w:rPr>
        <w:t>、开采和生产销售情况、</w:t>
      </w:r>
      <w:r w:rsidRPr="00E9593E">
        <w:rPr>
          <w:rFonts w:ascii="仿宋_GB2312" w:eastAsia="仿宋_GB2312" w:hAnsi="仿宋" w:cs="宋体" w:hint="eastAsia"/>
          <w:kern w:val="0"/>
          <w:sz w:val="30"/>
          <w:szCs w:val="30"/>
        </w:rPr>
        <w:t>重大</w:t>
      </w:r>
      <w:r>
        <w:rPr>
          <w:rFonts w:ascii="仿宋_GB2312" w:eastAsia="仿宋_GB2312" w:hAnsi="仿宋" w:cs="宋体" w:hint="eastAsia"/>
          <w:kern w:val="0"/>
          <w:sz w:val="30"/>
          <w:szCs w:val="30"/>
        </w:rPr>
        <w:t>建设项目及</w:t>
      </w:r>
      <w:r w:rsidRPr="00E9593E">
        <w:rPr>
          <w:rFonts w:ascii="仿宋_GB2312" w:eastAsia="仿宋_GB2312" w:hAnsi="仿宋" w:cs="宋体" w:hint="eastAsia"/>
          <w:kern w:val="0"/>
          <w:sz w:val="30"/>
          <w:szCs w:val="30"/>
        </w:rPr>
        <w:t>资产</w:t>
      </w:r>
      <w:r>
        <w:rPr>
          <w:rFonts w:ascii="仿宋_GB2312" w:eastAsia="仿宋_GB2312" w:hAnsi="仿宋" w:cs="宋体" w:hint="eastAsia"/>
          <w:kern w:val="0"/>
          <w:sz w:val="30"/>
          <w:szCs w:val="30"/>
        </w:rPr>
        <w:t>收购出售、</w:t>
      </w:r>
      <w:r w:rsidRPr="00E9593E">
        <w:rPr>
          <w:rFonts w:ascii="仿宋_GB2312" w:eastAsia="仿宋_GB2312" w:hAnsi="仿宋" w:cs="宋体" w:hint="eastAsia"/>
          <w:kern w:val="0"/>
          <w:sz w:val="30"/>
          <w:szCs w:val="30"/>
        </w:rPr>
        <w:t>安全环保工作</w:t>
      </w:r>
      <w:r>
        <w:rPr>
          <w:rFonts w:ascii="仿宋_GB2312" w:eastAsia="仿宋_GB2312" w:hAnsi="仿宋" w:cs="宋体" w:hint="eastAsia"/>
          <w:kern w:val="0"/>
          <w:sz w:val="30"/>
          <w:szCs w:val="30"/>
        </w:rPr>
        <w:t>等方面，细化了</w:t>
      </w:r>
      <w:r w:rsidRPr="00E9593E">
        <w:rPr>
          <w:rFonts w:ascii="仿宋_GB2312" w:eastAsia="仿宋_GB2312" w:hAnsi="仿宋" w:cs="宋体" w:hint="eastAsia"/>
          <w:kern w:val="0"/>
          <w:sz w:val="30"/>
          <w:szCs w:val="30"/>
        </w:rPr>
        <w:t>行业经营性信息</w:t>
      </w:r>
      <w:r>
        <w:rPr>
          <w:rFonts w:ascii="仿宋_GB2312" w:eastAsia="仿宋_GB2312" w:hAnsi="仿宋" w:cs="宋体" w:hint="eastAsia"/>
          <w:kern w:val="0"/>
          <w:sz w:val="30"/>
          <w:szCs w:val="30"/>
        </w:rPr>
        <w:t>的披露要求，同时</w:t>
      </w:r>
      <w:r>
        <w:rPr>
          <w:rFonts w:ascii="仿宋_GB2312" w:eastAsia="仿宋_GB2312" w:hAnsi="宋体" w:hint="eastAsia"/>
          <w:sz w:val="30"/>
          <w:szCs w:val="30"/>
        </w:rPr>
        <w:t>明确要求</w:t>
      </w:r>
      <w:r w:rsidRPr="00983515">
        <w:rPr>
          <w:rFonts w:ascii="仿宋_GB2312" w:eastAsia="仿宋_GB2312" w:hAnsi="宋体" w:hint="eastAsia"/>
          <w:sz w:val="30"/>
          <w:szCs w:val="30"/>
        </w:rPr>
        <w:t>披露</w:t>
      </w:r>
      <w:r>
        <w:rPr>
          <w:rFonts w:ascii="仿宋_GB2312" w:eastAsia="仿宋_GB2312" w:hAnsi="宋体" w:hint="eastAsia"/>
          <w:sz w:val="30"/>
          <w:szCs w:val="30"/>
        </w:rPr>
        <w:t>公司</w:t>
      </w:r>
      <w:r w:rsidRPr="00983515">
        <w:rPr>
          <w:rFonts w:ascii="仿宋_GB2312" w:eastAsia="仿宋_GB2312" w:hAnsi="宋体" w:hint="eastAsia"/>
          <w:sz w:val="30"/>
          <w:szCs w:val="30"/>
        </w:rPr>
        <w:t>参与</w:t>
      </w:r>
      <w:r>
        <w:rPr>
          <w:rFonts w:ascii="仿宋_GB2312" w:eastAsia="仿宋_GB2312" w:hAnsi="宋体" w:hint="eastAsia"/>
          <w:sz w:val="30"/>
          <w:szCs w:val="30"/>
        </w:rPr>
        <w:t>延伸产业链新业务相关信息，并分析与现有业务的协同效应及可能存在的运营风险</w:t>
      </w:r>
      <w:r w:rsidRPr="00983515">
        <w:rPr>
          <w:rFonts w:ascii="仿宋_GB2312" w:eastAsia="仿宋_GB2312" w:hAnsi="宋体" w:hint="eastAsia"/>
          <w:sz w:val="30"/>
          <w:szCs w:val="30"/>
        </w:rPr>
        <w:t>。</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r w:rsidRPr="00983515">
        <w:rPr>
          <w:rFonts w:ascii="仿宋_GB2312" w:eastAsia="仿宋_GB2312" w:hAnsi="宋体" w:hint="eastAsia"/>
          <w:sz w:val="30"/>
          <w:szCs w:val="30"/>
        </w:rPr>
        <w:t>特此说明。</w:t>
      </w: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p>
    <w:p w:rsidR="009B0614" w:rsidRDefault="009B0614" w:rsidP="009B0614">
      <w:pPr>
        <w:autoSpaceDE w:val="0"/>
        <w:autoSpaceDN w:val="0"/>
        <w:adjustRightInd w:val="0"/>
        <w:spacing w:line="560" w:lineRule="exact"/>
        <w:ind w:firstLineChars="200" w:firstLine="600"/>
        <w:rPr>
          <w:rFonts w:ascii="仿宋_GB2312" w:eastAsia="仿宋_GB2312" w:hAnsi="宋体"/>
          <w:sz w:val="30"/>
          <w:szCs w:val="30"/>
        </w:rPr>
      </w:pPr>
    </w:p>
    <w:p w:rsidR="00C00B54" w:rsidRDefault="00C00B54"/>
    <w:sectPr w:rsidR="00C00B54" w:rsidSect="003679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F56" w:rsidRDefault="00B43F56" w:rsidP="00775A64">
      <w:r>
        <w:separator/>
      </w:r>
    </w:p>
  </w:endnote>
  <w:endnote w:type="continuationSeparator" w:id="1">
    <w:p w:rsidR="00B43F56" w:rsidRDefault="00B43F56" w:rsidP="00775A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10580"/>
      <w:docPartObj>
        <w:docPartGallery w:val="Page Numbers (Bottom of Page)"/>
        <w:docPartUnique/>
      </w:docPartObj>
    </w:sdtPr>
    <w:sdtContent>
      <w:p w:rsidR="00514A64" w:rsidRDefault="00733461">
        <w:pPr>
          <w:pStyle w:val="a3"/>
          <w:jc w:val="center"/>
        </w:pPr>
        <w:r>
          <w:fldChar w:fldCharType="begin"/>
        </w:r>
        <w:r w:rsidR="009B0614">
          <w:instrText xml:space="preserve"> PAGE   \* MERGEFORMAT </w:instrText>
        </w:r>
        <w:r>
          <w:fldChar w:fldCharType="separate"/>
        </w:r>
        <w:r w:rsidR="007B6CC7" w:rsidRPr="007B6CC7">
          <w:rPr>
            <w:noProof/>
            <w:lang w:val="zh-CN"/>
          </w:rPr>
          <w:t>1</w:t>
        </w:r>
        <w:r>
          <w:fldChar w:fldCharType="end"/>
        </w:r>
      </w:p>
    </w:sdtContent>
  </w:sdt>
  <w:p w:rsidR="001C5096" w:rsidRDefault="00B43F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F56" w:rsidRDefault="00B43F56" w:rsidP="00775A64">
      <w:r>
        <w:separator/>
      </w:r>
    </w:p>
  </w:footnote>
  <w:footnote w:type="continuationSeparator" w:id="1">
    <w:p w:rsidR="00B43F56" w:rsidRDefault="00B43F56" w:rsidP="00775A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614"/>
    <w:rsid w:val="001B5009"/>
    <w:rsid w:val="00326948"/>
    <w:rsid w:val="003C4096"/>
    <w:rsid w:val="00733461"/>
    <w:rsid w:val="00775A64"/>
    <w:rsid w:val="007B6CC7"/>
    <w:rsid w:val="009B0614"/>
    <w:rsid w:val="00B43F56"/>
    <w:rsid w:val="00C00B54"/>
    <w:rsid w:val="00C31DDF"/>
    <w:rsid w:val="00C874CB"/>
    <w:rsid w:val="00E72676"/>
    <w:rsid w:val="00F27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B06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9B0614"/>
    <w:rPr>
      <w:sz w:val="18"/>
      <w:szCs w:val="18"/>
    </w:rPr>
  </w:style>
  <w:style w:type="paragraph" w:styleId="a4">
    <w:name w:val="Balloon Text"/>
    <w:basedOn w:val="a"/>
    <w:link w:val="Char0"/>
    <w:uiPriority w:val="99"/>
    <w:semiHidden/>
    <w:unhideWhenUsed/>
    <w:rsid w:val="009B0614"/>
    <w:rPr>
      <w:sz w:val="18"/>
      <w:szCs w:val="18"/>
    </w:rPr>
  </w:style>
  <w:style w:type="character" w:customStyle="1" w:styleId="Char0">
    <w:name w:val="批注框文本 Char"/>
    <w:basedOn w:val="a0"/>
    <w:link w:val="a4"/>
    <w:uiPriority w:val="99"/>
    <w:semiHidden/>
    <w:rsid w:val="009B0614"/>
    <w:rPr>
      <w:rFonts w:ascii="Calibri" w:eastAsia="宋体" w:hAnsi="Calibri" w:cs="Times New Roman"/>
      <w:sz w:val="18"/>
      <w:szCs w:val="18"/>
    </w:rPr>
  </w:style>
  <w:style w:type="paragraph" w:styleId="a5">
    <w:name w:val="header"/>
    <w:basedOn w:val="a"/>
    <w:link w:val="Char1"/>
    <w:uiPriority w:val="99"/>
    <w:semiHidden/>
    <w:unhideWhenUsed/>
    <w:rsid w:val="0032694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2694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oguba.com.cn/search?searchContent=%E9%AB%98%E7%A7%91%E6%8A%80&amp;type=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秦懿(拟稿)</dc:creator>
  <cp:lastModifiedBy>费琼(编号)</cp:lastModifiedBy>
  <cp:revision>9</cp:revision>
  <dcterms:created xsi:type="dcterms:W3CDTF">2018-10-31T06:24:00Z</dcterms:created>
  <dcterms:modified xsi:type="dcterms:W3CDTF">2018-11-09T05:21:00Z</dcterms:modified>
</cp:coreProperties>
</file>