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78C" w:rsidRPr="00F12C3B" w:rsidRDefault="00C7478C" w:rsidP="00C7478C">
      <w:pPr>
        <w:spacing w:line="560" w:lineRule="exact"/>
        <w:rPr>
          <w:rFonts w:ascii="仿宋_GB2312" w:eastAsia="仿宋_GB2312"/>
          <w:b/>
          <w:color w:val="000000"/>
          <w:sz w:val="30"/>
          <w:szCs w:val="30"/>
        </w:rPr>
      </w:pPr>
      <w:r w:rsidRPr="00F12C3B">
        <w:rPr>
          <w:rFonts w:ascii="仿宋_GB2312" w:eastAsia="仿宋_GB2312" w:hint="eastAsia"/>
          <w:b/>
          <w:color w:val="000000"/>
          <w:sz w:val="30"/>
          <w:szCs w:val="30"/>
        </w:rPr>
        <w:t>附件</w:t>
      </w:r>
      <w:r w:rsidRPr="00F12C3B">
        <w:rPr>
          <w:rFonts w:ascii="仿宋_GB2312" w:eastAsia="仿宋_GB2312"/>
          <w:b/>
          <w:color w:val="000000"/>
          <w:sz w:val="30"/>
          <w:szCs w:val="30"/>
        </w:rPr>
        <w:t>2</w:t>
      </w:r>
    </w:p>
    <w:p w:rsidR="00C7478C" w:rsidRDefault="00C7478C" w:rsidP="00C7478C">
      <w:pPr>
        <w:spacing w:line="560" w:lineRule="exact"/>
        <w:jc w:val="center"/>
        <w:rPr>
          <w:rFonts w:ascii="黑体" w:eastAsia="黑体" w:hAnsi="黑体"/>
          <w:b/>
          <w:color w:val="000000"/>
          <w:kern w:val="44"/>
          <w:sz w:val="44"/>
          <w:szCs w:val="44"/>
        </w:rPr>
      </w:pPr>
      <w:r w:rsidRPr="000C1723">
        <w:rPr>
          <w:rFonts w:ascii="黑体" w:eastAsia="黑体" w:hAnsi="黑体" w:hint="eastAsia"/>
          <w:b/>
          <w:color w:val="000000"/>
          <w:kern w:val="44"/>
          <w:sz w:val="44"/>
          <w:szCs w:val="44"/>
        </w:rPr>
        <w:t>上海证券交易所股票期权试点投资者</w:t>
      </w:r>
    </w:p>
    <w:p w:rsidR="00C7478C" w:rsidRPr="000C1723" w:rsidRDefault="00C7478C" w:rsidP="00C7478C">
      <w:pPr>
        <w:spacing w:line="560" w:lineRule="exact"/>
        <w:jc w:val="center"/>
        <w:rPr>
          <w:rFonts w:ascii="黑体" w:eastAsia="黑体" w:hAnsi="黑体"/>
          <w:b/>
          <w:color w:val="000000"/>
          <w:kern w:val="44"/>
          <w:sz w:val="44"/>
          <w:szCs w:val="44"/>
        </w:rPr>
      </w:pPr>
      <w:r w:rsidRPr="000C1723">
        <w:rPr>
          <w:rFonts w:ascii="黑体" w:eastAsia="黑体" w:hAnsi="黑体" w:hint="eastAsia"/>
          <w:b/>
          <w:color w:val="000000"/>
          <w:kern w:val="44"/>
          <w:sz w:val="44"/>
          <w:szCs w:val="44"/>
        </w:rPr>
        <w:t>适当性管理指引</w:t>
      </w:r>
    </w:p>
    <w:p w:rsidR="00C7478C" w:rsidRPr="000C1723" w:rsidRDefault="00C7478C" w:rsidP="00C7478C">
      <w:pPr>
        <w:spacing w:line="560" w:lineRule="exact"/>
        <w:jc w:val="center"/>
        <w:outlineLvl w:val="0"/>
        <w:rPr>
          <w:rFonts w:ascii="仿宋_GB2312" w:eastAsia="仿宋_GB2312"/>
          <w:b/>
          <w:color w:val="000000"/>
          <w:sz w:val="30"/>
          <w:szCs w:val="30"/>
        </w:rPr>
      </w:pPr>
      <w:r w:rsidRPr="000C1723">
        <w:rPr>
          <w:rFonts w:ascii="仿宋_GB2312" w:eastAsia="仿宋_GB2312" w:hAnsi="Calibri" w:hint="eastAsia"/>
          <w:b/>
          <w:color w:val="000000"/>
          <w:sz w:val="30"/>
          <w:szCs w:val="30"/>
        </w:rPr>
        <w:t>（征求意见稿）</w:t>
      </w:r>
    </w:p>
    <w:p w:rsidR="00C7478C" w:rsidRPr="00C5614E" w:rsidRDefault="00C7478C" w:rsidP="00C7478C">
      <w:pPr>
        <w:spacing w:line="560" w:lineRule="exact"/>
        <w:jc w:val="center"/>
        <w:rPr>
          <w:rFonts w:ascii="仿宋_GB2312" w:eastAsia="仿宋_GB2312"/>
          <w:b/>
          <w:color w:val="000000"/>
          <w:sz w:val="30"/>
          <w:szCs w:val="30"/>
        </w:rPr>
      </w:pPr>
    </w:p>
    <w:p w:rsidR="00C7478C" w:rsidRPr="00C5614E" w:rsidRDefault="00C7478C" w:rsidP="00C7478C">
      <w:pPr>
        <w:spacing w:line="560" w:lineRule="exact"/>
        <w:jc w:val="center"/>
        <w:rPr>
          <w:rFonts w:ascii="仿宋_GB2312" w:eastAsia="仿宋_GB2312"/>
          <w:b/>
          <w:color w:val="000000"/>
          <w:sz w:val="30"/>
          <w:szCs w:val="30"/>
        </w:rPr>
      </w:pPr>
      <w:r w:rsidRPr="00C5614E">
        <w:rPr>
          <w:rFonts w:ascii="仿宋_GB2312" w:eastAsia="仿宋_GB2312" w:hint="eastAsia"/>
          <w:b/>
          <w:color w:val="000000"/>
          <w:sz w:val="30"/>
          <w:szCs w:val="30"/>
        </w:rPr>
        <w:t>第一章</w:t>
      </w:r>
      <w:r w:rsidRPr="00C5614E">
        <w:rPr>
          <w:rFonts w:ascii="仿宋_GB2312" w:eastAsia="仿宋_GB2312"/>
          <w:b/>
          <w:color w:val="000000"/>
          <w:sz w:val="30"/>
          <w:szCs w:val="30"/>
        </w:rPr>
        <w:t xml:space="preserve"> </w:t>
      </w:r>
      <w:r w:rsidRPr="00C5614E">
        <w:rPr>
          <w:rFonts w:ascii="仿宋_GB2312" w:eastAsia="仿宋_GB2312" w:hint="eastAsia"/>
          <w:b/>
          <w:color w:val="000000"/>
          <w:sz w:val="30"/>
          <w:szCs w:val="30"/>
        </w:rPr>
        <w:t>总则</w:t>
      </w:r>
    </w:p>
    <w:p w:rsidR="00C7478C" w:rsidRPr="00C5614E" w:rsidRDefault="00C7478C" w:rsidP="00C7478C">
      <w:pPr>
        <w:numPr>
          <w:ilvl w:val="0"/>
          <w:numId w:val="1"/>
        </w:numPr>
        <w:spacing w:line="560" w:lineRule="exact"/>
        <w:ind w:left="0" w:firstLineChars="200" w:firstLine="600"/>
        <w:rPr>
          <w:rFonts w:ascii="仿宋_GB2312" w:eastAsia="仿宋_GB2312"/>
          <w:color w:val="000000"/>
          <w:sz w:val="30"/>
          <w:szCs w:val="30"/>
        </w:rPr>
      </w:pPr>
      <w:r w:rsidRPr="00C5614E">
        <w:rPr>
          <w:rFonts w:ascii="仿宋_GB2312" w:eastAsia="仿宋_GB2312" w:hAnsi="黑体" w:hint="eastAsia"/>
          <w:b/>
          <w:color w:val="000000"/>
          <w:sz w:val="30"/>
          <w:szCs w:val="30"/>
        </w:rPr>
        <w:t>（宗旨）</w:t>
      </w:r>
      <w:r w:rsidRPr="00C5614E">
        <w:rPr>
          <w:rFonts w:ascii="仿宋_GB2312" w:eastAsia="仿宋_GB2312" w:hint="eastAsia"/>
          <w:color w:val="000000"/>
          <w:sz w:val="30"/>
          <w:szCs w:val="30"/>
        </w:rPr>
        <w:t>为了规范上海证券交易所（以下简称</w:t>
      </w:r>
      <w:r>
        <w:rPr>
          <w:rFonts w:ascii="仿宋_GB2312" w:eastAsia="仿宋_GB2312" w:hint="eastAsia"/>
          <w:color w:val="000000"/>
          <w:sz w:val="30"/>
          <w:szCs w:val="30"/>
        </w:rPr>
        <w:t>“</w:t>
      </w:r>
      <w:r w:rsidRPr="00C5614E">
        <w:rPr>
          <w:rFonts w:ascii="仿宋_GB2312" w:eastAsia="仿宋_GB2312" w:hint="eastAsia"/>
          <w:color w:val="000000"/>
          <w:sz w:val="30"/>
          <w:szCs w:val="30"/>
        </w:rPr>
        <w:t>本所</w:t>
      </w:r>
      <w:r>
        <w:rPr>
          <w:rFonts w:ascii="仿宋_GB2312" w:eastAsia="仿宋_GB2312" w:hint="eastAsia"/>
          <w:color w:val="000000"/>
          <w:sz w:val="30"/>
          <w:szCs w:val="30"/>
        </w:rPr>
        <w:t>”</w:t>
      </w:r>
      <w:r w:rsidRPr="00C5614E">
        <w:rPr>
          <w:rFonts w:ascii="仿宋_GB2312" w:eastAsia="仿宋_GB2312" w:hint="eastAsia"/>
          <w:color w:val="000000"/>
          <w:sz w:val="30"/>
          <w:szCs w:val="30"/>
        </w:rPr>
        <w:t>）股票期权（以下简称</w:t>
      </w:r>
      <w:r>
        <w:rPr>
          <w:rFonts w:ascii="仿宋_GB2312" w:eastAsia="仿宋_GB2312" w:hint="eastAsia"/>
          <w:color w:val="000000"/>
          <w:sz w:val="30"/>
          <w:szCs w:val="30"/>
        </w:rPr>
        <w:t>“</w:t>
      </w:r>
      <w:r w:rsidRPr="00C5614E">
        <w:rPr>
          <w:rFonts w:ascii="仿宋_GB2312" w:eastAsia="仿宋_GB2312" w:hint="eastAsia"/>
          <w:color w:val="000000"/>
          <w:sz w:val="30"/>
          <w:szCs w:val="30"/>
        </w:rPr>
        <w:t>期权</w:t>
      </w:r>
      <w:r>
        <w:rPr>
          <w:rFonts w:ascii="仿宋_GB2312" w:eastAsia="仿宋_GB2312" w:hint="eastAsia"/>
          <w:color w:val="000000"/>
          <w:sz w:val="30"/>
          <w:szCs w:val="30"/>
        </w:rPr>
        <w:t>”</w:t>
      </w:r>
      <w:r w:rsidRPr="00C5614E">
        <w:rPr>
          <w:rFonts w:ascii="仿宋_GB2312" w:eastAsia="仿宋_GB2312" w:hint="eastAsia"/>
          <w:color w:val="000000"/>
          <w:sz w:val="30"/>
          <w:szCs w:val="30"/>
        </w:rPr>
        <w:t>）试点的投资者适当性管理工作，引导投资者理性参与期权交易，促进期权市场规范有序发展，根据《上海证券交易所股票期权试点交易规则》（以下简称</w:t>
      </w:r>
      <w:r>
        <w:rPr>
          <w:rFonts w:ascii="仿宋_GB2312" w:eastAsia="仿宋_GB2312" w:hint="eastAsia"/>
          <w:color w:val="000000"/>
          <w:sz w:val="30"/>
          <w:szCs w:val="30"/>
        </w:rPr>
        <w:t>“</w:t>
      </w:r>
      <w:r w:rsidRPr="00C5614E">
        <w:rPr>
          <w:rFonts w:ascii="仿宋_GB2312" w:eastAsia="仿宋_GB2312" w:hint="eastAsia"/>
          <w:color w:val="000000"/>
          <w:sz w:val="30"/>
          <w:szCs w:val="30"/>
        </w:rPr>
        <w:t>《期权交易规则》</w:t>
      </w:r>
      <w:r>
        <w:rPr>
          <w:rFonts w:ascii="仿宋_GB2312" w:eastAsia="仿宋_GB2312" w:hint="eastAsia"/>
          <w:color w:val="000000"/>
          <w:sz w:val="30"/>
          <w:szCs w:val="30"/>
        </w:rPr>
        <w:t>”</w:t>
      </w:r>
      <w:r w:rsidRPr="00C5614E">
        <w:rPr>
          <w:rFonts w:ascii="仿宋_GB2312" w:eastAsia="仿宋_GB2312" w:hint="eastAsia"/>
          <w:color w:val="000000"/>
          <w:sz w:val="30"/>
          <w:szCs w:val="30"/>
        </w:rPr>
        <w:t>）及其他相关规定，制定本指引。</w:t>
      </w:r>
    </w:p>
    <w:p w:rsidR="00C7478C" w:rsidRPr="00C5614E" w:rsidRDefault="00C7478C" w:rsidP="00C7478C">
      <w:pPr>
        <w:numPr>
          <w:ilvl w:val="0"/>
          <w:numId w:val="1"/>
        </w:numPr>
        <w:spacing w:line="560" w:lineRule="exact"/>
        <w:ind w:left="0" w:firstLineChars="200" w:firstLine="600"/>
        <w:rPr>
          <w:rFonts w:ascii="仿宋_GB2312" w:eastAsia="仿宋_GB2312"/>
          <w:color w:val="000000"/>
          <w:sz w:val="30"/>
          <w:szCs w:val="30"/>
        </w:rPr>
      </w:pPr>
      <w:r w:rsidRPr="00C5614E">
        <w:rPr>
          <w:rFonts w:ascii="仿宋_GB2312" w:eastAsia="仿宋_GB2312" w:hAnsi="黑体" w:hint="eastAsia"/>
          <w:b/>
          <w:color w:val="000000"/>
          <w:sz w:val="30"/>
          <w:szCs w:val="30"/>
        </w:rPr>
        <w:t>（适当性管理制度）</w:t>
      </w:r>
      <w:r w:rsidRPr="00C5614E">
        <w:rPr>
          <w:rFonts w:ascii="仿宋_GB2312" w:eastAsia="仿宋_GB2312" w:hint="eastAsia"/>
          <w:color w:val="000000"/>
          <w:sz w:val="30"/>
          <w:szCs w:val="30"/>
        </w:rPr>
        <w:t>期权经营机构应当根据《期权交易规则》的有关规定以及本指引的要求，建立健全期权投资者适当性管理的操作指引和相关工作制度，并通过多种形式和渠道向客户告知期权投资者适当性管理的具体要求，做好解释和宣传工作。</w:t>
      </w:r>
    </w:p>
    <w:p w:rsidR="00C7478C" w:rsidRPr="00C5614E" w:rsidRDefault="00C7478C" w:rsidP="00C7478C">
      <w:pPr>
        <w:spacing w:line="560" w:lineRule="exact"/>
        <w:ind w:firstLineChars="200" w:firstLine="600"/>
        <w:rPr>
          <w:rFonts w:ascii="仿宋_GB2312" w:eastAsia="仿宋_GB2312"/>
          <w:color w:val="000000"/>
          <w:sz w:val="30"/>
          <w:szCs w:val="30"/>
        </w:rPr>
      </w:pPr>
      <w:r w:rsidRPr="00C5614E">
        <w:rPr>
          <w:rFonts w:ascii="仿宋_GB2312" w:eastAsia="仿宋_GB2312" w:hint="eastAsia"/>
          <w:color w:val="000000"/>
          <w:sz w:val="30"/>
          <w:szCs w:val="30"/>
        </w:rPr>
        <w:t>期权经营机构委托从事中间介绍业务的证券期货经营机构协助办理开户手续的，应当与该证券期货经营机构建立业务对接规则，落实投资者适当性管理制度的相关要求。</w:t>
      </w:r>
    </w:p>
    <w:p w:rsidR="00C7478C" w:rsidRPr="00C5614E" w:rsidRDefault="00C7478C" w:rsidP="00C7478C">
      <w:pPr>
        <w:numPr>
          <w:ilvl w:val="0"/>
          <w:numId w:val="1"/>
        </w:numPr>
        <w:spacing w:line="560" w:lineRule="exact"/>
        <w:ind w:left="0" w:firstLineChars="200" w:firstLine="600"/>
        <w:rPr>
          <w:rFonts w:ascii="仿宋_GB2312" w:eastAsia="仿宋_GB2312"/>
          <w:color w:val="000000"/>
          <w:sz w:val="30"/>
          <w:szCs w:val="30"/>
        </w:rPr>
      </w:pPr>
      <w:r w:rsidRPr="00C5614E">
        <w:rPr>
          <w:rFonts w:ascii="仿宋_GB2312" w:eastAsia="仿宋_GB2312" w:hAnsi="黑体" w:hint="eastAsia"/>
          <w:b/>
          <w:color w:val="000000"/>
          <w:sz w:val="30"/>
          <w:szCs w:val="30"/>
        </w:rPr>
        <w:t>（卖者有责）</w:t>
      </w:r>
      <w:r w:rsidRPr="00C5614E">
        <w:rPr>
          <w:rFonts w:ascii="仿宋_GB2312" w:eastAsia="仿宋_GB2312" w:hint="eastAsia"/>
          <w:color w:val="000000"/>
          <w:sz w:val="30"/>
          <w:szCs w:val="30"/>
        </w:rPr>
        <w:t>期权经营机构应当严格执行期权投资者适当性管理制度，全面介绍期权产品特征，充分揭示期权交易风险，准确评估投资者的风险承受能力，不得接受不符合投资者适当性标准的客户从事期权交易。</w:t>
      </w:r>
    </w:p>
    <w:p w:rsidR="00C7478C" w:rsidRPr="00C5614E" w:rsidRDefault="00C7478C" w:rsidP="00C7478C">
      <w:pPr>
        <w:spacing w:line="560" w:lineRule="exact"/>
        <w:ind w:firstLineChars="200" w:firstLine="600"/>
        <w:rPr>
          <w:rFonts w:ascii="仿宋_GB2312" w:eastAsia="仿宋_GB2312"/>
          <w:color w:val="000000"/>
          <w:sz w:val="30"/>
          <w:szCs w:val="30"/>
        </w:rPr>
      </w:pPr>
      <w:r w:rsidRPr="00C5614E">
        <w:rPr>
          <w:rFonts w:ascii="仿宋_GB2312" w:eastAsia="仿宋_GB2312" w:hAnsi="黑体" w:hint="eastAsia"/>
          <w:color w:val="000000"/>
          <w:sz w:val="30"/>
          <w:szCs w:val="30"/>
        </w:rPr>
        <w:t>投资者适当性评估及交易权限分级管理等事宜，应当由期权</w:t>
      </w:r>
      <w:r w:rsidRPr="00C5614E">
        <w:rPr>
          <w:rFonts w:ascii="仿宋_GB2312" w:eastAsia="仿宋_GB2312" w:hAnsi="黑体" w:hint="eastAsia"/>
          <w:color w:val="000000"/>
          <w:sz w:val="30"/>
          <w:szCs w:val="30"/>
        </w:rPr>
        <w:lastRenderedPageBreak/>
        <w:t>经营机构总部进行，不得授权营业部办理。</w:t>
      </w:r>
    </w:p>
    <w:p w:rsidR="00C7478C" w:rsidRPr="00C5614E" w:rsidRDefault="00C7478C" w:rsidP="00C7478C">
      <w:pPr>
        <w:numPr>
          <w:ilvl w:val="0"/>
          <w:numId w:val="1"/>
        </w:numPr>
        <w:spacing w:line="560" w:lineRule="exact"/>
        <w:ind w:left="0" w:firstLineChars="200" w:firstLine="600"/>
        <w:rPr>
          <w:rFonts w:ascii="仿宋_GB2312" w:eastAsia="仿宋_GB2312"/>
          <w:color w:val="000000"/>
          <w:sz w:val="30"/>
          <w:szCs w:val="30"/>
        </w:rPr>
      </w:pPr>
      <w:r w:rsidRPr="00C5614E">
        <w:rPr>
          <w:rFonts w:ascii="仿宋_GB2312" w:eastAsia="仿宋_GB2312" w:hAnsi="黑体" w:hint="eastAsia"/>
          <w:b/>
          <w:color w:val="000000"/>
          <w:sz w:val="30"/>
          <w:szCs w:val="30"/>
        </w:rPr>
        <w:t>（买者自负）</w:t>
      </w:r>
      <w:r w:rsidRPr="00C5614E">
        <w:rPr>
          <w:rFonts w:ascii="仿宋_GB2312" w:eastAsia="仿宋_GB2312" w:hint="eastAsia"/>
          <w:color w:val="000000"/>
          <w:sz w:val="30"/>
          <w:szCs w:val="30"/>
        </w:rPr>
        <w:t>投资者应当根据投资者适当性管理制度的要求及自身的风险承受能力，审慎决定是否参与期权交易。</w:t>
      </w:r>
    </w:p>
    <w:p w:rsidR="00C7478C" w:rsidRPr="00C5614E" w:rsidRDefault="00C7478C" w:rsidP="00C7478C">
      <w:pPr>
        <w:spacing w:line="560" w:lineRule="exact"/>
        <w:ind w:firstLine="600"/>
        <w:rPr>
          <w:rFonts w:ascii="仿宋_GB2312" w:eastAsia="仿宋_GB2312"/>
          <w:color w:val="000000"/>
          <w:sz w:val="30"/>
          <w:szCs w:val="30"/>
        </w:rPr>
      </w:pPr>
      <w:r w:rsidRPr="00C5614E">
        <w:rPr>
          <w:rFonts w:ascii="仿宋_GB2312" w:eastAsia="仿宋_GB2312" w:hint="eastAsia"/>
          <w:color w:val="000000"/>
          <w:sz w:val="30"/>
          <w:szCs w:val="30"/>
        </w:rPr>
        <w:t>投资者应当遵循买者自负原则，不得以不符合投资者适当性标准为由拒绝承担期权交易履约责任。</w:t>
      </w:r>
    </w:p>
    <w:p w:rsidR="00C7478C" w:rsidRPr="00C5614E" w:rsidRDefault="00C7478C" w:rsidP="00C7478C">
      <w:pPr>
        <w:spacing w:line="560" w:lineRule="exact"/>
        <w:jc w:val="center"/>
        <w:rPr>
          <w:rFonts w:ascii="仿宋_GB2312" w:eastAsia="仿宋_GB2312"/>
          <w:b/>
          <w:color w:val="000000"/>
          <w:sz w:val="30"/>
          <w:szCs w:val="30"/>
        </w:rPr>
      </w:pPr>
      <w:r w:rsidRPr="00C5614E">
        <w:rPr>
          <w:rFonts w:ascii="仿宋_GB2312" w:eastAsia="仿宋_GB2312" w:hint="eastAsia"/>
          <w:b/>
          <w:color w:val="000000"/>
          <w:sz w:val="30"/>
          <w:szCs w:val="30"/>
        </w:rPr>
        <w:t>第二章</w:t>
      </w:r>
      <w:r w:rsidRPr="00C5614E">
        <w:rPr>
          <w:rFonts w:ascii="仿宋_GB2312" w:eastAsia="仿宋_GB2312"/>
          <w:b/>
          <w:color w:val="000000"/>
          <w:sz w:val="30"/>
          <w:szCs w:val="30"/>
        </w:rPr>
        <w:t xml:space="preserve"> </w:t>
      </w:r>
      <w:r w:rsidRPr="00C5614E">
        <w:rPr>
          <w:rFonts w:ascii="仿宋_GB2312" w:eastAsia="仿宋_GB2312" w:hint="eastAsia"/>
          <w:b/>
          <w:color w:val="000000"/>
          <w:sz w:val="30"/>
          <w:szCs w:val="30"/>
        </w:rPr>
        <w:t>投资者适当性管理</w:t>
      </w:r>
    </w:p>
    <w:p w:rsidR="00C7478C" w:rsidRPr="00C5614E" w:rsidRDefault="00C7478C" w:rsidP="00C7478C">
      <w:pPr>
        <w:spacing w:line="560" w:lineRule="exact"/>
        <w:jc w:val="center"/>
        <w:rPr>
          <w:rFonts w:ascii="仿宋_GB2312" w:eastAsia="仿宋_GB2312"/>
          <w:b/>
          <w:color w:val="000000"/>
          <w:sz w:val="30"/>
          <w:szCs w:val="30"/>
        </w:rPr>
      </w:pPr>
      <w:r w:rsidRPr="00C5614E">
        <w:rPr>
          <w:rFonts w:ascii="仿宋_GB2312" w:eastAsia="仿宋_GB2312" w:hint="eastAsia"/>
          <w:b/>
          <w:color w:val="000000"/>
          <w:sz w:val="30"/>
          <w:szCs w:val="30"/>
        </w:rPr>
        <w:t>第一节</w:t>
      </w:r>
      <w:r w:rsidRPr="00C5614E">
        <w:rPr>
          <w:rFonts w:ascii="仿宋_GB2312" w:eastAsia="仿宋_GB2312"/>
          <w:b/>
          <w:color w:val="000000"/>
          <w:sz w:val="30"/>
          <w:szCs w:val="30"/>
        </w:rPr>
        <w:t xml:space="preserve"> </w:t>
      </w:r>
      <w:r w:rsidRPr="00C5614E">
        <w:rPr>
          <w:rFonts w:ascii="仿宋_GB2312" w:eastAsia="仿宋_GB2312" w:hint="eastAsia"/>
          <w:b/>
          <w:color w:val="000000"/>
          <w:sz w:val="30"/>
          <w:szCs w:val="30"/>
        </w:rPr>
        <w:t>投资者适当性标准</w:t>
      </w:r>
    </w:p>
    <w:p w:rsidR="00C7478C" w:rsidRPr="00C5614E" w:rsidRDefault="00C7478C" w:rsidP="00C7478C">
      <w:pPr>
        <w:numPr>
          <w:ilvl w:val="0"/>
          <w:numId w:val="1"/>
        </w:numPr>
        <w:spacing w:line="560" w:lineRule="exact"/>
        <w:ind w:left="0" w:firstLineChars="200" w:firstLine="600"/>
        <w:rPr>
          <w:rFonts w:ascii="仿宋_GB2312" w:eastAsia="仿宋_GB2312"/>
          <w:color w:val="000000"/>
          <w:sz w:val="30"/>
          <w:szCs w:val="30"/>
        </w:rPr>
      </w:pPr>
      <w:r w:rsidRPr="00C5614E">
        <w:rPr>
          <w:rFonts w:ascii="仿宋_GB2312" w:eastAsia="仿宋_GB2312" w:hint="eastAsia"/>
          <w:b/>
          <w:color w:val="000000"/>
          <w:sz w:val="30"/>
          <w:szCs w:val="30"/>
        </w:rPr>
        <w:t>（个人投资者准入门槛）</w:t>
      </w:r>
      <w:r w:rsidRPr="00C5614E">
        <w:rPr>
          <w:rFonts w:ascii="仿宋_GB2312" w:eastAsia="仿宋_GB2312" w:hint="eastAsia"/>
          <w:color w:val="000000"/>
          <w:sz w:val="30"/>
          <w:szCs w:val="30"/>
        </w:rPr>
        <w:t>个人投资者参与期权交易，应当符合下列条件：</w:t>
      </w:r>
    </w:p>
    <w:p w:rsidR="00C7478C" w:rsidRPr="00C5614E" w:rsidRDefault="00C7478C" w:rsidP="00C7478C">
      <w:pPr>
        <w:spacing w:line="560" w:lineRule="exact"/>
        <w:ind w:firstLine="602"/>
        <w:rPr>
          <w:rFonts w:ascii="仿宋_GB2312" w:eastAsia="仿宋_GB2312"/>
          <w:color w:val="000000"/>
          <w:sz w:val="30"/>
          <w:szCs w:val="30"/>
        </w:rPr>
      </w:pPr>
      <w:r w:rsidRPr="00C5614E">
        <w:rPr>
          <w:rFonts w:ascii="仿宋_GB2312" w:eastAsia="仿宋_GB2312" w:hint="eastAsia"/>
          <w:color w:val="000000"/>
          <w:sz w:val="30"/>
          <w:szCs w:val="30"/>
        </w:rPr>
        <w:t>（一）申请开户时托管在指定交易的期权经营机构的证券市值与资金账户可用余额（不含通过融资融券交易融入的证券和资金），合计不低于人民币</w:t>
      </w:r>
      <w:r w:rsidRPr="00C5614E">
        <w:rPr>
          <w:rFonts w:ascii="仿宋_GB2312" w:eastAsia="仿宋_GB2312"/>
          <w:color w:val="000000"/>
          <w:sz w:val="30"/>
          <w:szCs w:val="30"/>
        </w:rPr>
        <w:t>50</w:t>
      </w:r>
      <w:r w:rsidRPr="00C5614E">
        <w:rPr>
          <w:rFonts w:ascii="仿宋_GB2312" w:eastAsia="仿宋_GB2312" w:hint="eastAsia"/>
          <w:color w:val="000000"/>
          <w:sz w:val="30"/>
          <w:szCs w:val="30"/>
        </w:rPr>
        <w:t>万元；</w:t>
      </w:r>
    </w:p>
    <w:p w:rsidR="00C7478C" w:rsidRPr="00C5614E" w:rsidRDefault="00C7478C" w:rsidP="00C7478C">
      <w:pPr>
        <w:spacing w:line="560" w:lineRule="exact"/>
        <w:ind w:firstLine="602"/>
        <w:rPr>
          <w:rFonts w:ascii="仿宋_GB2312" w:eastAsia="仿宋_GB2312"/>
          <w:color w:val="000000"/>
          <w:sz w:val="30"/>
          <w:szCs w:val="30"/>
        </w:rPr>
      </w:pPr>
      <w:r w:rsidRPr="00C5614E">
        <w:rPr>
          <w:rFonts w:ascii="仿宋_GB2312" w:eastAsia="仿宋_GB2312" w:hint="eastAsia"/>
          <w:color w:val="000000"/>
          <w:sz w:val="30"/>
          <w:szCs w:val="30"/>
        </w:rPr>
        <w:t>（二）指定交易在证券公司</w:t>
      </w:r>
      <w:r w:rsidRPr="00C5614E">
        <w:rPr>
          <w:rFonts w:ascii="仿宋_GB2312" w:eastAsia="仿宋_GB2312"/>
          <w:color w:val="000000"/>
          <w:sz w:val="30"/>
          <w:szCs w:val="30"/>
        </w:rPr>
        <w:t>6</w:t>
      </w:r>
      <w:r w:rsidRPr="00C5614E">
        <w:rPr>
          <w:rFonts w:ascii="仿宋_GB2312" w:eastAsia="仿宋_GB2312" w:hint="eastAsia"/>
          <w:color w:val="000000"/>
          <w:sz w:val="30"/>
          <w:szCs w:val="30"/>
        </w:rPr>
        <w:t>个月以上并具备融资融券业务参与资格或者具备</w:t>
      </w:r>
      <w:r>
        <w:rPr>
          <w:rFonts w:ascii="仿宋_GB2312" w:eastAsia="仿宋_GB2312"/>
          <w:color w:val="000000"/>
          <w:sz w:val="30"/>
          <w:szCs w:val="30"/>
        </w:rPr>
        <w:t>6</w:t>
      </w:r>
      <w:r>
        <w:rPr>
          <w:rFonts w:ascii="仿宋_GB2312" w:eastAsia="仿宋_GB2312" w:hint="eastAsia"/>
          <w:color w:val="000000"/>
          <w:sz w:val="30"/>
          <w:szCs w:val="30"/>
        </w:rPr>
        <w:t>个月</w:t>
      </w:r>
      <w:r w:rsidRPr="00C5614E">
        <w:rPr>
          <w:rFonts w:ascii="仿宋_GB2312" w:eastAsia="仿宋_GB2312" w:hint="eastAsia"/>
          <w:color w:val="000000"/>
          <w:sz w:val="30"/>
          <w:szCs w:val="30"/>
        </w:rPr>
        <w:t>以上的金融期货交易经历；或者在期货公司开户</w:t>
      </w:r>
      <w:r w:rsidRPr="00C5614E">
        <w:rPr>
          <w:rFonts w:ascii="仿宋_GB2312" w:eastAsia="仿宋_GB2312"/>
          <w:color w:val="000000"/>
          <w:sz w:val="30"/>
          <w:szCs w:val="30"/>
        </w:rPr>
        <w:t>6</w:t>
      </w:r>
      <w:r w:rsidRPr="00C5614E">
        <w:rPr>
          <w:rFonts w:ascii="仿宋_GB2312" w:eastAsia="仿宋_GB2312" w:hint="eastAsia"/>
          <w:color w:val="000000"/>
          <w:sz w:val="30"/>
          <w:szCs w:val="30"/>
        </w:rPr>
        <w:t>个月以上并具有金融期货交易经历；</w:t>
      </w:r>
    </w:p>
    <w:p w:rsidR="00C7478C" w:rsidRPr="00C5614E" w:rsidRDefault="00C7478C" w:rsidP="00C7478C">
      <w:pPr>
        <w:spacing w:line="560" w:lineRule="exact"/>
        <w:ind w:firstLine="602"/>
        <w:rPr>
          <w:rFonts w:ascii="仿宋_GB2312" w:eastAsia="仿宋_GB2312"/>
          <w:color w:val="000000"/>
          <w:sz w:val="30"/>
          <w:szCs w:val="30"/>
        </w:rPr>
      </w:pPr>
      <w:r w:rsidRPr="00C5614E">
        <w:rPr>
          <w:rFonts w:ascii="仿宋_GB2312" w:eastAsia="仿宋_GB2312" w:hint="eastAsia"/>
          <w:color w:val="000000"/>
          <w:sz w:val="30"/>
          <w:szCs w:val="30"/>
        </w:rPr>
        <w:t>（三）具备期权基础知识，通过本所认可的相关测试；</w:t>
      </w:r>
    </w:p>
    <w:p w:rsidR="00C7478C" w:rsidRPr="00C5614E" w:rsidRDefault="00C7478C" w:rsidP="00C7478C">
      <w:pPr>
        <w:spacing w:line="560" w:lineRule="exact"/>
        <w:ind w:firstLine="602"/>
        <w:rPr>
          <w:rFonts w:ascii="仿宋_GB2312" w:eastAsia="仿宋_GB2312"/>
          <w:color w:val="000000"/>
          <w:sz w:val="30"/>
          <w:szCs w:val="30"/>
        </w:rPr>
      </w:pPr>
      <w:r w:rsidRPr="00C5614E">
        <w:rPr>
          <w:rFonts w:ascii="仿宋_GB2312" w:eastAsia="仿宋_GB2312" w:hint="eastAsia"/>
          <w:color w:val="000000"/>
          <w:sz w:val="30"/>
          <w:szCs w:val="30"/>
        </w:rPr>
        <w:t>（四）具有相应的期权模拟交易经历；</w:t>
      </w:r>
    </w:p>
    <w:p w:rsidR="00C7478C" w:rsidRPr="00C5614E" w:rsidRDefault="00C7478C" w:rsidP="00C7478C">
      <w:pPr>
        <w:spacing w:line="560" w:lineRule="exact"/>
        <w:ind w:firstLine="602"/>
        <w:rPr>
          <w:rFonts w:ascii="仿宋_GB2312" w:eastAsia="仿宋_GB2312"/>
          <w:color w:val="000000"/>
          <w:sz w:val="30"/>
          <w:szCs w:val="30"/>
        </w:rPr>
      </w:pPr>
      <w:r w:rsidRPr="00C5614E">
        <w:rPr>
          <w:rFonts w:ascii="仿宋_GB2312" w:eastAsia="仿宋_GB2312" w:hint="eastAsia"/>
          <w:color w:val="000000"/>
          <w:sz w:val="30"/>
          <w:szCs w:val="30"/>
        </w:rPr>
        <w:t>（五）具有相应的风险承受能力；</w:t>
      </w:r>
    </w:p>
    <w:p w:rsidR="00C7478C" w:rsidRPr="00C5614E" w:rsidRDefault="00C7478C" w:rsidP="00C7478C">
      <w:pPr>
        <w:spacing w:line="560" w:lineRule="exact"/>
        <w:ind w:firstLine="602"/>
        <w:rPr>
          <w:rFonts w:ascii="仿宋_GB2312" w:eastAsia="仿宋_GB2312"/>
          <w:color w:val="000000"/>
          <w:sz w:val="30"/>
          <w:szCs w:val="30"/>
        </w:rPr>
      </w:pPr>
      <w:r w:rsidRPr="00C5614E">
        <w:rPr>
          <w:rFonts w:ascii="仿宋_GB2312" w:eastAsia="仿宋_GB2312" w:hint="eastAsia"/>
          <w:color w:val="000000"/>
          <w:sz w:val="30"/>
          <w:szCs w:val="30"/>
        </w:rPr>
        <w:t>（六）不存在严重不良诚信记录，不存在法律法规、部门规章和本所业务规则禁止或者限制从事期权交易的情形；</w:t>
      </w:r>
    </w:p>
    <w:p w:rsidR="00C7478C" w:rsidRPr="00C5614E" w:rsidRDefault="00C7478C" w:rsidP="00C7478C">
      <w:pPr>
        <w:spacing w:line="560" w:lineRule="exact"/>
        <w:ind w:firstLine="602"/>
        <w:rPr>
          <w:rFonts w:ascii="仿宋_GB2312" w:eastAsia="仿宋_GB2312"/>
          <w:color w:val="000000"/>
          <w:sz w:val="30"/>
          <w:szCs w:val="30"/>
        </w:rPr>
      </w:pPr>
      <w:r w:rsidRPr="00C5614E">
        <w:rPr>
          <w:rFonts w:ascii="仿宋_GB2312" w:eastAsia="仿宋_GB2312" w:hint="eastAsia"/>
          <w:color w:val="000000"/>
          <w:sz w:val="30"/>
          <w:szCs w:val="30"/>
        </w:rPr>
        <w:t>（七）本所规定的其他条件。</w:t>
      </w:r>
    </w:p>
    <w:p w:rsidR="00C7478C" w:rsidRPr="00C5614E" w:rsidRDefault="00C7478C" w:rsidP="00C7478C">
      <w:pPr>
        <w:spacing w:line="560" w:lineRule="exact"/>
        <w:ind w:firstLine="602"/>
        <w:rPr>
          <w:rFonts w:ascii="仿宋_GB2312" w:eastAsia="仿宋_GB2312"/>
          <w:color w:val="000000"/>
          <w:sz w:val="30"/>
          <w:szCs w:val="30"/>
        </w:rPr>
      </w:pPr>
      <w:r w:rsidRPr="00C5614E">
        <w:rPr>
          <w:rFonts w:ascii="仿宋_GB2312" w:eastAsia="仿宋_GB2312" w:hint="eastAsia"/>
          <w:color w:val="000000"/>
          <w:sz w:val="30"/>
          <w:szCs w:val="30"/>
        </w:rPr>
        <w:t>个人投资者参与期权交易，应当通过期权经营机构组织的期权投资者适当性综合评估。</w:t>
      </w:r>
    </w:p>
    <w:p w:rsidR="00C7478C" w:rsidRPr="00C5614E" w:rsidRDefault="00C7478C" w:rsidP="00C7478C">
      <w:pPr>
        <w:numPr>
          <w:ilvl w:val="0"/>
          <w:numId w:val="1"/>
        </w:numPr>
        <w:spacing w:line="560" w:lineRule="exact"/>
        <w:ind w:left="0" w:firstLineChars="200" w:firstLine="600"/>
        <w:rPr>
          <w:rFonts w:ascii="仿宋_GB2312" w:eastAsia="仿宋_GB2312"/>
          <w:color w:val="000000"/>
          <w:sz w:val="30"/>
          <w:szCs w:val="30"/>
        </w:rPr>
      </w:pPr>
      <w:r w:rsidRPr="00C5614E">
        <w:rPr>
          <w:rFonts w:ascii="仿宋_GB2312" w:eastAsia="仿宋_GB2312" w:hAnsi="黑体" w:hint="eastAsia"/>
          <w:b/>
          <w:color w:val="000000"/>
          <w:sz w:val="30"/>
          <w:szCs w:val="30"/>
        </w:rPr>
        <w:t>（普通机构投资者准入门槛）</w:t>
      </w:r>
      <w:r w:rsidRPr="00C5614E">
        <w:rPr>
          <w:rFonts w:ascii="仿宋_GB2312" w:eastAsia="仿宋_GB2312" w:hAnsi="黑体" w:hint="eastAsia"/>
          <w:color w:val="000000"/>
          <w:sz w:val="30"/>
          <w:szCs w:val="30"/>
        </w:rPr>
        <w:t>普通机构投资者参与</w:t>
      </w:r>
      <w:r w:rsidRPr="00C5614E">
        <w:rPr>
          <w:rFonts w:ascii="仿宋_GB2312" w:eastAsia="仿宋_GB2312" w:hAnsi="黑体" w:hint="eastAsia"/>
          <w:color w:val="000000"/>
          <w:sz w:val="30"/>
          <w:szCs w:val="30"/>
        </w:rPr>
        <w:lastRenderedPageBreak/>
        <w:t>期权交易，应当符合下列条件：</w:t>
      </w:r>
    </w:p>
    <w:p w:rsidR="00C7478C" w:rsidRPr="00C5614E" w:rsidRDefault="00C7478C" w:rsidP="00C7478C">
      <w:pPr>
        <w:spacing w:line="560" w:lineRule="exact"/>
        <w:ind w:firstLine="602"/>
        <w:rPr>
          <w:rFonts w:ascii="仿宋_GB2312" w:eastAsia="仿宋_GB2312"/>
          <w:color w:val="000000"/>
          <w:sz w:val="30"/>
          <w:szCs w:val="30"/>
        </w:rPr>
      </w:pPr>
      <w:r w:rsidRPr="00C5614E">
        <w:rPr>
          <w:rFonts w:ascii="仿宋_GB2312" w:eastAsia="仿宋_GB2312" w:hint="eastAsia"/>
          <w:color w:val="000000"/>
          <w:sz w:val="30"/>
          <w:szCs w:val="30"/>
        </w:rPr>
        <w:t>（一）申请开户时托管在指定交易的证券经营机构的证券市值与资金账户可用余额（不含通过融资融券交易融入的证券和资金），合计不低于人民币</w:t>
      </w:r>
      <w:r w:rsidRPr="00C5614E">
        <w:rPr>
          <w:rFonts w:ascii="仿宋_GB2312" w:eastAsia="仿宋_GB2312"/>
          <w:color w:val="000000"/>
          <w:sz w:val="30"/>
          <w:szCs w:val="30"/>
        </w:rPr>
        <w:t>100</w:t>
      </w:r>
      <w:r w:rsidRPr="00C5614E">
        <w:rPr>
          <w:rFonts w:ascii="仿宋_GB2312" w:eastAsia="仿宋_GB2312" w:hint="eastAsia"/>
          <w:color w:val="000000"/>
          <w:sz w:val="30"/>
          <w:szCs w:val="30"/>
        </w:rPr>
        <w:t>万元；</w:t>
      </w:r>
    </w:p>
    <w:p w:rsidR="00C7478C" w:rsidRPr="00C5614E" w:rsidRDefault="00C7478C" w:rsidP="00C7478C">
      <w:pPr>
        <w:spacing w:line="560" w:lineRule="exact"/>
        <w:ind w:firstLine="602"/>
        <w:rPr>
          <w:rFonts w:ascii="仿宋_GB2312" w:eastAsia="仿宋_GB2312"/>
          <w:color w:val="000000"/>
          <w:sz w:val="30"/>
          <w:szCs w:val="30"/>
        </w:rPr>
      </w:pPr>
      <w:r w:rsidRPr="00C5614E">
        <w:rPr>
          <w:rFonts w:ascii="仿宋_GB2312" w:eastAsia="仿宋_GB2312" w:hint="eastAsia"/>
          <w:color w:val="000000"/>
          <w:sz w:val="30"/>
          <w:szCs w:val="30"/>
        </w:rPr>
        <w:t>（二）净资产不低于人民币</w:t>
      </w:r>
      <w:r w:rsidRPr="00C5614E">
        <w:rPr>
          <w:rFonts w:ascii="仿宋_GB2312" w:eastAsia="仿宋_GB2312"/>
          <w:color w:val="000000"/>
          <w:sz w:val="30"/>
          <w:szCs w:val="30"/>
        </w:rPr>
        <w:t>100</w:t>
      </w:r>
      <w:r w:rsidRPr="00C5614E">
        <w:rPr>
          <w:rFonts w:ascii="仿宋_GB2312" w:eastAsia="仿宋_GB2312" w:hint="eastAsia"/>
          <w:color w:val="000000"/>
          <w:sz w:val="30"/>
          <w:szCs w:val="30"/>
        </w:rPr>
        <w:t>万元；</w:t>
      </w:r>
    </w:p>
    <w:p w:rsidR="00C7478C" w:rsidRPr="00C5614E" w:rsidRDefault="00C7478C" w:rsidP="00C7478C">
      <w:pPr>
        <w:spacing w:line="560" w:lineRule="exact"/>
        <w:ind w:firstLine="602"/>
        <w:rPr>
          <w:rFonts w:ascii="仿宋_GB2312" w:eastAsia="仿宋_GB2312"/>
          <w:color w:val="000000"/>
          <w:sz w:val="30"/>
          <w:szCs w:val="30"/>
        </w:rPr>
      </w:pPr>
      <w:r w:rsidRPr="00C5614E">
        <w:rPr>
          <w:rFonts w:ascii="仿宋_GB2312" w:eastAsia="仿宋_GB2312" w:hint="eastAsia"/>
          <w:color w:val="000000"/>
          <w:sz w:val="30"/>
          <w:szCs w:val="30"/>
        </w:rPr>
        <w:t>（三）相关业务人员具备期权基础知识，通过本所认可的相关测试；</w:t>
      </w:r>
    </w:p>
    <w:p w:rsidR="00C7478C" w:rsidRPr="00C5614E" w:rsidRDefault="00C7478C" w:rsidP="00C7478C">
      <w:pPr>
        <w:spacing w:line="560" w:lineRule="exact"/>
        <w:ind w:firstLine="602"/>
        <w:rPr>
          <w:rFonts w:ascii="仿宋_GB2312" w:eastAsia="仿宋_GB2312"/>
          <w:color w:val="000000"/>
          <w:sz w:val="30"/>
          <w:szCs w:val="30"/>
        </w:rPr>
      </w:pPr>
      <w:r w:rsidRPr="00C5614E">
        <w:rPr>
          <w:rFonts w:ascii="仿宋_GB2312" w:eastAsia="仿宋_GB2312" w:hint="eastAsia"/>
          <w:color w:val="000000"/>
          <w:sz w:val="30"/>
          <w:szCs w:val="30"/>
        </w:rPr>
        <w:t>（四）相关业务人员具有相应的期权模拟交易经历；</w:t>
      </w:r>
    </w:p>
    <w:p w:rsidR="00C7478C" w:rsidRPr="00C5614E" w:rsidRDefault="00C7478C" w:rsidP="00C7478C">
      <w:pPr>
        <w:spacing w:line="560" w:lineRule="exact"/>
        <w:ind w:firstLine="602"/>
        <w:rPr>
          <w:rFonts w:ascii="仿宋_GB2312" w:eastAsia="仿宋_GB2312"/>
          <w:color w:val="000000"/>
          <w:sz w:val="30"/>
          <w:szCs w:val="30"/>
        </w:rPr>
      </w:pPr>
      <w:r w:rsidRPr="00C5614E">
        <w:rPr>
          <w:rFonts w:ascii="仿宋_GB2312" w:eastAsia="仿宋_GB2312" w:hint="eastAsia"/>
          <w:color w:val="000000"/>
          <w:sz w:val="30"/>
          <w:szCs w:val="30"/>
        </w:rPr>
        <w:t>（五）不存在严重不良诚信记录和法律法规、部门规章和本所业务规则禁止或者限制从事期权交易的情形；</w:t>
      </w:r>
    </w:p>
    <w:p w:rsidR="00C7478C" w:rsidRPr="00C5614E" w:rsidRDefault="00C7478C" w:rsidP="00C7478C">
      <w:pPr>
        <w:spacing w:line="560" w:lineRule="exact"/>
        <w:ind w:firstLine="602"/>
        <w:rPr>
          <w:rFonts w:ascii="仿宋_GB2312" w:eastAsia="仿宋_GB2312"/>
          <w:color w:val="000000"/>
          <w:sz w:val="30"/>
          <w:szCs w:val="30"/>
        </w:rPr>
      </w:pPr>
      <w:r w:rsidRPr="00C5614E">
        <w:rPr>
          <w:rFonts w:ascii="仿宋_GB2312" w:eastAsia="仿宋_GB2312" w:hint="eastAsia"/>
          <w:color w:val="000000"/>
          <w:sz w:val="30"/>
          <w:szCs w:val="30"/>
        </w:rPr>
        <w:t>（六）本所规定的其他条件。</w:t>
      </w:r>
    </w:p>
    <w:p w:rsidR="00C7478C" w:rsidRPr="00C5614E" w:rsidRDefault="00C7478C" w:rsidP="00C7478C">
      <w:pPr>
        <w:numPr>
          <w:ilvl w:val="0"/>
          <w:numId w:val="1"/>
        </w:numPr>
        <w:spacing w:line="560" w:lineRule="exact"/>
        <w:ind w:left="0" w:firstLineChars="200" w:firstLine="600"/>
        <w:rPr>
          <w:rFonts w:ascii="仿宋_GB2312" w:eastAsia="仿宋_GB2312"/>
          <w:color w:val="000000"/>
          <w:sz w:val="30"/>
          <w:szCs w:val="30"/>
        </w:rPr>
      </w:pPr>
      <w:r w:rsidRPr="00C5614E">
        <w:rPr>
          <w:rFonts w:ascii="仿宋_GB2312" w:eastAsia="仿宋_GB2312" w:hAnsi="黑体" w:hint="eastAsia"/>
          <w:b/>
          <w:color w:val="000000"/>
          <w:sz w:val="30"/>
          <w:szCs w:val="30"/>
        </w:rPr>
        <w:t>（专业机构投资者范围）</w:t>
      </w:r>
      <w:r w:rsidRPr="00C5614E">
        <w:rPr>
          <w:rFonts w:ascii="仿宋_GB2312" w:eastAsia="仿宋_GB2312" w:hAnsi="黑体" w:hint="eastAsia"/>
          <w:color w:val="000000"/>
          <w:sz w:val="30"/>
          <w:szCs w:val="30"/>
        </w:rPr>
        <w:t>除法律法规、部门规章以及监管机构另有规定外，下列专业机构投资者可以参与期权交易：</w:t>
      </w:r>
    </w:p>
    <w:p w:rsidR="00C7478C" w:rsidRPr="00C5614E" w:rsidRDefault="00C7478C" w:rsidP="00C7478C">
      <w:pPr>
        <w:spacing w:line="560" w:lineRule="exact"/>
        <w:ind w:firstLine="602"/>
        <w:rPr>
          <w:rFonts w:ascii="仿宋_GB2312" w:eastAsia="仿宋_GB2312"/>
          <w:color w:val="000000"/>
          <w:sz w:val="30"/>
          <w:szCs w:val="30"/>
        </w:rPr>
      </w:pPr>
      <w:r w:rsidRPr="00C5614E">
        <w:rPr>
          <w:rFonts w:ascii="仿宋_GB2312" w:eastAsia="仿宋_GB2312" w:hint="eastAsia"/>
          <w:color w:val="000000"/>
          <w:sz w:val="30"/>
          <w:szCs w:val="30"/>
        </w:rPr>
        <w:t>（一）商业银行、期权经营机构、保险机构、信托公司、基金管理公司、财务公司、合格境外机构投资者等专业机构及其分支机构；</w:t>
      </w:r>
    </w:p>
    <w:p w:rsidR="00C7478C" w:rsidRPr="00C5614E" w:rsidRDefault="00C7478C" w:rsidP="00C7478C">
      <w:pPr>
        <w:spacing w:line="560" w:lineRule="exact"/>
        <w:ind w:firstLine="602"/>
        <w:rPr>
          <w:rFonts w:ascii="仿宋_GB2312" w:eastAsia="仿宋_GB2312"/>
          <w:color w:val="000000"/>
          <w:sz w:val="30"/>
          <w:szCs w:val="30"/>
        </w:rPr>
      </w:pPr>
      <w:r w:rsidRPr="00C5614E">
        <w:rPr>
          <w:rFonts w:ascii="仿宋_GB2312" w:eastAsia="仿宋_GB2312" w:hint="eastAsia"/>
          <w:color w:val="000000"/>
          <w:sz w:val="30"/>
          <w:szCs w:val="30"/>
        </w:rPr>
        <w:t>（二）证券投资基金、社保基金、养老基金、企业年金、信托计划、资产管理计划、银行及保险理财产品，以及由第一项所列专业机构担任管理人的其他基金或者委托投资资产；</w:t>
      </w:r>
    </w:p>
    <w:p w:rsidR="00C7478C" w:rsidRPr="00C5614E" w:rsidRDefault="00C7478C" w:rsidP="00C7478C">
      <w:pPr>
        <w:spacing w:line="560" w:lineRule="exact"/>
        <w:ind w:firstLine="602"/>
        <w:rPr>
          <w:rFonts w:ascii="仿宋_GB2312" w:eastAsia="仿宋_GB2312"/>
          <w:color w:val="000000"/>
          <w:sz w:val="30"/>
          <w:szCs w:val="30"/>
        </w:rPr>
      </w:pPr>
      <w:r w:rsidRPr="00C5614E">
        <w:rPr>
          <w:rFonts w:ascii="仿宋_GB2312" w:eastAsia="仿宋_GB2312" w:hint="eastAsia"/>
          <w:color w:val="000000"/>
          <w:sz w:val="30"/>
          <w:szCs w:val="30"/>
        </w:rPr>
        <w:t>（三）监管机构及本所规定的其他专业机构投资者。</w:t>
      </w:r>
    </w:p>
    <w:p w:rsidR="00C7478C" w:rsidRPr="00C5614E" w:rsidRDefault="00C7478C" w:rsidP="00C7478C">
      <w:pPr>
        <w:spacing w:line="560" w:lineRule="exact"/>
        <w:ind w:firstLine="602"/>
        <w:jc w:val="center"/>
        <w:rPr>
          <w:rFonts w:ascii="仿宋_GB2312" w:eastAsia="仿宋_GB2312"/>
          <w:b/>
          <w:color w:val="000000"/>
          <w:sz w:val="30"/>
          <w:szCs w:val="30"/>
        </w:rPr>
      </w:pPr>
      <w:r w:rsidRPr="00C5614E">
        <w:rPr>
          <w:rFonts w:ascii="仿宋_GB2312" w:eastAsia="仿宋_GB2312" w:hint="eastAsia"/>
          <w:b/>
          <w:color w:val="000000"/>
          <w:sz w:val="30"/>
          <w:szCs w:val="30"/>
        </w:rPr>
        <w:t>第二节</w:t>
      </w:r>
      <w:r w:rsidRPr="00C5614E">
        <w:rPr>
          <w:rFonts w:ascii="仿宋_GB2312" w:eastAsia="仿宋_GB2312"/>
          <w:b/>
          <w:color w:val="000000"/>
          <w:sz w:val="30"/>
          <w:szCs w:val="30"/>
        </w:rPr>
        <w:t xml:space="preserve"> </w:t>
      </w:r>
      <w:r w:rsidRPr="00C5614E">
        <w:rPr>
          <w:rFonts w:ascii="仿宋_GB2312" w:eastAsia="仿宋_GB2312" w:hint="eastAsia"/>
          <w:b/>
          <w:color w:val="000000"/>
          <w:sz w:val="30"/>
          <w:szCs w:val="30"/>
        </w:rPr>
        <w:t>综合评估基本要求</w:t>
      </w:r>
    </w:p>
    <w:p w:rsidR="00C7478C" w:rsidRPr="00C5614E" w:rsidRDefault="00C7478C" w:rsidP="00C7478C">
      <w:pPr>
        <w:numPr>
          <w:ilvl w:val="0"/>
          <w:numId w:val="1"/>
        </w:numPr>
        <w:spacing w:line="560" w:lineRule="exact"/>
        <w:ind w:left="0" w:firstLineChars="200" w:firstLine="600"/>
        <w:rPr>
          <w:rFonts w:ascii="仿宋_GB2312" w:eastAsia="仿宋_GB2312"/>
          <w:color w:val="000000"/>
          <w:sz w:val="30"/>
          <w:szCs w:val="30"/>
        </w:rPr>
      </w:pPr>
      <w:r w:rsidRPr="00C5614E">
        <w:rPr>
          <w:rFonts w:ascii="仿宋_GB2312" w:eastAsia="仿宋_GB2312" w:hAnsi="黑体" w:hint="eastAsia"/>
          <w:b/>
          <w:color w:val="000000"/>
          <w:sz w:val="30"/>
          <w:szCs w:val="30"/>
        </w:rPr>
        <w:t>（综合评估）</w:t>
      </w:r>
      <w:r w:rsidRPr="00C5614E">
        <w:rPr>
          <w:rFonts w:ascii="仿宋_GB2312" w:eastAsia="仿宋_GB2312" w:hint="eastAsia"/>
          <w:color w:val="000000"/>
          <w:sz w:val="30"/>
          <w:szCs w:val="30"/>
        </w:rPr>
        <w:t>期权经营机构应当制定期权投资者适当性管理综合评估（以下简称</w:t>
      </w:r>
      <w:r>
        <w:rPr>
          <w:rFonts w:ascii="仿宋_GB2312" w:eastAsia="仿宋_GB2312" w:hint="eastAsia"/>
          <w:color w:val="000000"/>
          <w:sz w:val="30"/>
          <w:szCs w:val="30"/>
        </w:rPr>
        <w:t>“</w:t>
      </w:r>
      <w:r w:rsidRPr="00C5614E">
        <w:rPr>
          <w:rFonts w:ascii="仿宋_GB2312" w:eastAsia="仿宋_GB2312" w:hint="eastAsia"/>
          <w:color w:val="000000"/>
          <w:sz w:val="30"/>
          <w:szCs w:val="30"/>
        </w:rPr>
        <w:t>综合评估</w:t>
      </w:r>
      <w:r>
        <w:rPr>
          <w:rFonts w:ascii="仿宋_GB2312" w:eastAsia="仿宋_GB2312" w:hint="eastAsia"/>
          <w:color w:val="000000"/>
          <w:sz w:val="30"/>
          <w:szCs w:val="30"/>
        </w:rPr>
        <w:t>”</w:t>
      </w:r>
      <w:r w:rsidRPr="00C5614E">
        <w:rPr>
          <w:rFonts w:ascii="仿宋_GB2312" w:eastAsia="仿宋_GB2312" w:hint="eastAsia"/>
          <w:color w:val="000000"/>
          <w:sz w:val="30"/>
          <w:szCs w:val="30"/>
        </w:rPr>
        <w:t>）的实施办法，选择适当的投资者参与期权交易。</w:t>
      </w:r>
    </w:p>
    <w:p w:rsidR="00C7478C" w:rsidRPr="00C5614E" w:rsidRDefault="00C7478C" w:rsidP="00C7478C">
      <w:pPr>
        <w:spacing w:line="560" w:lineRule="exact"/>
        <w:ind w:firstLine="600"/>
        <w:rPr>
          <w:rFonts w:ascii="仿宋_GB2312" w:eastAsia="仿宋_GB2312"/>
          <w:color w:val="000000"/>
          <w:sz w:val="30"/>
          <w:szCs w:val="30"/>
        </w:rPr>
      </w:pPr>
      <w:r w:rsidRPr="00C5614E">
        <w:rPr>
          <w:rFonts w:ascii="仿宋_GB2312" w:eastAsia="仿宋_GB2312" w:hint="eastAsia"/>
          <w:color w:val="000000"/>
          <w:sz w:val="30"/>
          <w:szCs w:val="30"/>
        </w:rPr>
        <w:lastRenderedPageBreak/>
        <w:t>期权经营机构应当及时将投资者适当性管理的操作指引和相关工作制度，报本所备案。</w:t>
      </w:r>
    </w:p>
    <w:p w:rsidR="00C7478C" w:rsidRPr="00C5614E" w:rsidRDefault="00C7478C" w:rsidP="00C7478C">
      <w:pPr>
        <w:numPr>
          <w:ilvl w:val="0"/>
          <w:numId w:val="1"/>
        </w:numPr>
        <w:spacing w:line="560" w:lineRule="exact"/>
        <w:ind w:left="0" w:firstLineChars="200" w:firstLine="600"/>
        <w:rPr>
          <w:rFonts w:ascii="仿宋_GB2312" w:eastAsia="仿宋_GB2312"/>
          <w:color w:val="000000"/>
          <w:sz w:val="30"/>
          <w:szCs w:val="30"/>
        </w:rPr>
      </w:pPr>
      <w:r w:rsidRPr="00C5614E">
        <w:rPr>
          <w:rFonts w:ascii="仿宋_GB2312" w:eastAsia="仿宋_GB2312" w:hAnsi="黑体" w:hint="eastAsia"/>
          <w:b/>
          <w:color w:val="000000"/>
          <w:sz w:val="30"/>
          <w:szCs w:val="30"/>
        </w:rPr>
        <w:t>（核查义务）</w:t>
      </w:r>
      <w:r w:rsidRPr="00C5614E">
        <w:rPr>
          <w:rFonts w:ascii="仿宋_GB2312" w:eastAsia="仿宋_GB2312" w:hint="eastAsia"/>
          <w:color w:val="000000"/>
          <w:sz w:val="30"/>
          <w:szCs w:val="30"/>
        </w:rPr>
        <w:t>期权经营机构应当对投资者是否符合本指引规定的参与期权交易的条件进行核查。</w:t>
      </w:r>
    </w:p>
    <w:p w:rsidR="00C7478C" w:rsidRPr="00C5614E" w:rsidRDefault="00C7478C" w:rsidP="00C7478C">
      <w:pPr>
        <w:numPr>
          <w:ilvl w:val="0"/>
          <w:numId w:val="1"/>
        </w:numPr>
        <w:spacing w:line="560" w:lineRule="exact"/>
        <w:ind w:left="0" w:firstLineChars="200" w:firstLine="600"/>
        <w:rPr>
          <w:rFonts w:ascii="仿宋_GB2312" w:eastAsia="仿宋_GB2312"/>
          <w:color w:val="000000"/>
          <w:sz w:val="30"/>
          <w:szCs w:val="30"/>
        </w:rPr>
      </w:pPr>
      <w:r w:rsidRPr="00C5614E">
        <w:rPr>
          <w:rFonts w:ascii="仿宋_GB2312" w:eastAsia="仿宋_GB2312" w:hAnsi="黑体" w:hint="eastAsia"/>
          <w:b/>
          <w:color w:val="000000"/>
          <w:sz w:val="30"/>
          <w:szCs w:val="30"/>
        </w:rPr>
        <w:t>（综合评估内容）</w:t>
      </w:r>
      <w:r w:rsidRPr="00C5614E">
        <w:rPr>
          <w:rFonts w:ascii="仿宋_GB2312" w:eastAsia="仿宋_GB2312" w:hint="eastAsia"/>
          <w:color w:val="000000"/>
          <w:sz w:val="30"/>
          <w:szCs w:val="30"/>
        </w:rPr>
        <w:t>期权经营机构应当对个人投资者的基本情况、相关投资经历、金融类资产状况、期权基础知识、风险承受能力和诚信状况等方面进行综合评估。</w:t>
      </w:r>
    </w:p>
    <w:p w:rsidR="00C7478C" w:rsidRPr="00C5614E" w:rsidRDefault="00C7478C" w:rsidP="00C7478C">
      <w:pPr>
        <w:spacing w:line="560" w:lineRule="exact"/>
        <w:ind w:firstLine="600"/>
        <w:jc w:val="left"/>
        <w:rPr>
          <w:rFonts w:ascii="仿宋_GB2312" w:eastAsia="仿宋_GB2312"/>
          <w:color w:val="000000"/>
          <w:sz w:val="30"/>
          <w:szCs w:val="30"/>
        </w:rPr>
      </w:pPr>
      <w:r w:rsidRPr="00C5614E">
        <w:rPr>
          <w:rFonts w:ascii="仿宋_GB2312" w:eastAsia="仿宋_GB2312" w:hint="eastAsia"/>
          <w:color w:val="000000"/>
          <w:sz w:val="30"/>
          <w:szCs w:val="30"/>
        </w:rPr>
        <w:t>投资者应当如实提供有关综合评估的证明材料，并对其真实性、合法性负责。</w:t>
      </w:r>
    </w:p>
    <w:p w:rsidR="00C7478C" w:rsidRPr="00C5614E" w:rsidRDefault="00C7478C" w:rsidP="00C7478C">
      <w:pPr>
        <w:numPr>
          <w:ilvl w:val="0"/>
          <w:numId w:val="1"/>
        </w:numPr>
        <w:spacing w:line="560" w:lineRule="exact"/>
        <w:ind w:left="0" w:firstLineChars="200" w:firstLine="600"/>
        <w:rPr>
          <w:rFonts w:ascii="仿宋_GB2312" w:eastAsia="仿宋_GB2312"/>
          <w:color w:val="000000"/>
          <w:sz w:val="30"/>
          <w:szCs w:val="30"/>
        </w:rPr>
      </w:pPr>
      <w:r w:rsidRPr="00C5614E">
        <w:rPr>
          <w:rFonts w:ascii="仿宋_GB2312" w:eastAsia="仿宋_GB2312" w:hAnsi="黑体" w:hint="eastAsia"/>
          <w:b/>
          <w:color w:val="000000"/>
          <w:sz w:val="30"/>
          <w:szCs w:val="30"/>
        </w:rPr>
        <w:t>（风险专项评估）</w:t>
      </w:r>
      <w:r w:rsidRPr="00C5614E">
        <w:rPr>
          <w:rFonts w:ascii="仿宋_GB2312" w:eastAsia="仿宋_GB2312" w:hint="eastAsia"/>
          <w:color w:val="000000"/>
          <w:sz w:val="30"/>
          <w:szCs w:val="30"/>
        </w:rPr>
        <w:t>期权经营机构应当通过评估问卷等方式，对客户的风险承受能力进行专项评估。</w:t>
      </w:r>
    </w:p>
    <w:p w:rsidR="00C7478C" w:rsidRPr="00C5614E" w:rsidRDefault="00C7478C" w:rsidP="00C7478C">
      <w:pPr>
        <w:spacing w:line="560" w:lineRule="exact"/>
        <w:ind w:firstLine="600"/>
        <w:rPr>
          <w:rFonts w:ascii="仿宋_GB2312" w:eastAsia="仿宋_GB2312"/>
          <w:color w:val="000000"/>
          <w:sz w:val="30"/>
          <w:szCs w:val="30"/>
        </w:rPr>
      </w:pPr>
      <w:r w:rsidRPr="00C5614E">
        <w:rPr>
          <w:rFonts w:ascii="仿宋_GB2312" w:eastAsia="仿宋_GB2312" w:hint="eastAsia"/>
          <w:color w:val="000000"/>
          <w:sz w:val="30"/>
          <w:szCs w:val="30"/>
        </w:rPr>
        <w:t>期权经营机构应当向客户明确告知评估结果，提示其审慎参与期权交易。期权经营机构应当记录留存所作出的提示。</w:t>
      </w:r>
    </w:p>
    <w:p w:rsidR="00C7478C" w:rsidRPr="00C5614E" w:rsidRDefault="00C7478C" w:rsidP="00C7478C">
      <w:pPr>
        <w:numPr>
          <w:ilvl w:val="0"/>
          <w:numId w:val="1"/>
        </w:numPr>
        <w:spacing w:line="560" w:lineRule="exact"/>
        <w:ind w:left="0" w:firstLineChars="200" w:firstLine="600"/>
        <w:rPr>
          <w:rFonts w:ascii="仿宋_GB2312" w:eastAsia="仿宋_GB2312"/>
          <w:color w:val="000000"/>
          <w:sz w:val="30"/>
          <w:szCs w:val="30"/>
        </w:rPr>
      </w:pPr>
      <w:r w:rsidRPr="00C5614E">
        <w:rPr>
          <w:rFonts w:ascii="仿宋_GB2312" w:eastAsia="仿宋_GB2312" w:hAnsi="黑体" w:hint="eastAsia"/>
          <w:b/>
          <w:color w:val="000000"/>
          <w:sz w:val="30"/>
          <w:szCs w:val="30"/>
        </w:rPr>
        <w:t>（现场开户）</w:t>
      </w:r>
      <w:r w:rsidRPr="00C5614E">
        <w:rPr>
          <w:rFonts w:ascii="仿宋_GB2312" w:eastAsia="仿宋_GB2312" w:hAnsi="黑体" w:hint="eastAsia"/>
          <w:bCs/>
          <w:color w:val="000000"/>
          <w:sz w:val="30"/>
          <w:szCs w:val="30"/>
        </w:rPr>
        <w:t>期权经营机构应当要求投资者进行现场开户，试点期间不得</w:t>
      </w:r>
      <w:r w:rsidRPr="00C5614E">
        <w:rPr>
          <w:rFonts w:ascii="仿宋_GB2312" w:eastAsia="仿宋_GB2312" w:hAnsi="宋体" w:hint="eastAsia"/>
          <w:bCs/>
          <w:sz w:val="30"/>
          <w:szCs w:val="30"/>
        </w:rPr>
        <w:t>采取见证开户、网上开户及其他开户方式。</w:t>
      </w:r>
    </w:p>
    <w:p w:rsidR="00C7478C" w:rsidRPr="00C5614E" w:rsidRDefault="00C7478C" w:rsidP="00C7478C">
      <w:pPr>
        <w:numPr>
          <w:ilvl w:val="0"/>
          <w:numId w:val="1"/>
        </w:numPr>
        <w:spacing w:line="560" w:lineRule="exact"/>
        <w:ind w:left="0" w:firstLineChars="200" w:firstLine="600"/>
        <w:rPr>
          <w:rFonts w:ascii="仿宋_GB2312" w:eastAsia="仿宋_GB2312"/>
          <w:color w:val="000000"/>
          <w:sz w:val="30"/>
          <w:szCs w:val="30"/>
        </w:rPr>
      </w:pPr>
      <w:r w:rsidRPr="00C5614E">
        <w:rPr>
          <w:rFonts w:ascii="仿宋_GB2312" w:eastAsia="仿宋_GB2312" w:hAnsi="黑体" w:hint="eastAsia"/>
          <w:b/>
          <w:color w:val="000000"/>
          <w:sz w:val="30"/>
          <w:szCs w:val="30"/>
        </w:rPr>
        <w:t>（开户资料保存）</w:t>
      </w:r>
      <w:r w:rsidRPr="00C5614E">
        <w:rPr>
          <w:rFonts w:ascii="仿宋_GB2312" w:eastAsia="仿宋_GB2312" w:hint="eastAsia"/>
          <w:color w:val="000000"/>
          <w:sz w:val="30"/>
          <w:szCs w:val="30"/>
        </w:rPr>
        <w:t>期权经营机构应当将投资者提供的证明文件及相关材料的原件或者复印件、投资者的知识测试试卷和综合评估表、风险承受能力评估材料以及风险揭示书等资料，作为开户资料予以保存。</w:t>
      </w:r>
    </w:p>
    <w:p w:rsidR="00C7478C" w:rsidRPr="00C5614E" w:rsidRDefault="00C7478C" w:rsidP="00C7478C">
      <w:pPr>
        <w:spacing w:line="560" w:lineRule="exact"/>
        <w:ind w:firstLine="602"/>
        <w:jc w:val="center"/>
        <w:rPr>
          <w:rFonts w:ascii="仿宋_GB2312" w:eastAsia="仿宋_GB2312"/>
          <w:b/>
          <w:color w:val="000000"/>
          <w:sz w:val="30"/>
          <w:szCs w:val="30"/>
        </w:rPr>
      </w:pPr>
      <w:r w:rsidRPr="00C5614E">
        <w:rPr>
          <w:rFonts w:ascii="仿宋_GB2312" w:eastAsia="仿宋_GB2312" w:hint="eastAsia"/>
          <w:b/>
          <w:color w:val="000000"/>
          <w:sz w:val="30"/>
          <w:szCs w:val="30"/>
        </w:rPr>
        <w:t>第</w:t>
      </w:r>
      <w:r>
        <w:rPr>
          <w:rFonts w:ascii="仿宋_GB2312" w:eastAsia="仿宋_GB2312" w:hint="eastAsia"/>
          <w:b/>
          <w:color w:val="000000"/>
          <w:sz w:val="30"/>
          <w:szCs w:val="30"/>
        </w:rPr>
        <w:t>三</w:t>
      </w:r>
      <w:r w:rsidRPr="00C5614E">
        <w:rPr>
          <w:rFonts w:ascii="仿宋_GB2312" w:eastAsia="仿宋_GB2312" w:hint="eastAsia"/>
          <w:b/>
          <w:color w:val="000000"/>
          <w:sz w:val="30"/>
          <w:szCs w:val="30"/>
        </w:rPr>
        <w:t>节</w:t>
      </w:r>
      <w:r w:rsidRPr="00C5614E">
        <w:rPr>
          <w:rFonts w:ascii="仿宋_GB2312" w:eastAsia="仿宋_GB2312"/>
          <w:b/>
          <w:color w:val="000000"/>
          <w:sz w:val="30"/>
          <w:szCs w:val="30"/>
        </w:rPr>
        <w:t xml:space="preserve"> </w:t>
      </w:r>
      <w:r w:rsidRPr="00C5614E">
        <w:rPr>
          <w:rFonts w:ascii="仿宋_GB2312" w:eastAsia="仿宋_GB2312" w:hint="eastAsia"/>
          <w:b/>
          <w:color w:val="000000"/>
          <w:sz w:val="30"/>
          <w:szCs w:val="30"/>
        </w:rPr>
        <w:t>期权投资者知识测试</w:t>
      </w:r>
    </w:p>
    <w:p w:rsidR="00C7478C" w:rsidRPr="00C5614E" w:rsidRDefault="00C7478C" w:rsidP="00C7478C">
      <w:pPr>
        <w:numPr>
          <w:ilvl w:val="0"/>
          <w:numId w:val="1"/>
        </w:numPr>
        <w:spacing w:line="560" w:lineRule="exact"/>
        <w:ind w:left="0" w:firstLineChars="200" w:firstLine="600"/>
        <w:rPr>
          <w:rFonts w:ascii="仿宋_GB2312" w:eastAsia="仿宋_GB2312"/>
          <w:color w:val="000000"/>
          <w:sz w:val="30"/>
          <w:szCs w:val="30"/>
        </w:rPr>
      </w:pPr>
      <w:r w:rsidRPr="00C5614E">
        <w:rPr>
          <w:rFonts w:ascii="仿宋_GB2312" w:eastAsia="仿宋_GB2312" w:hAnsi="黑体" w:hint="eastAsia"/>
          <w:b/>
          <w:color w:val="000000"/>
          <w:sz w:val="30"/>
          <w:szCs w:val="30"/>
        </w:rPr>
        <w:t>（知识测试）</w:t>
      </w:r>
      <w:r w:rsidRPr="00C5614E">
        <w:rPr>
          <w:rFonts w:ascii="仿宋_GB2312" w:eastAsia="仿宋_GB2312" w:hint="eastAsia"/>
          <w:color w:val="000000"/>
          <w:sz w:val="30"/>
          <w:szCs w:val="30"/>
        </w:rPr>
        <w:t>期权经营机构应当按照本指引要求开展期权投资者知识测试（以下简称</w:t>
      </w:r>
      <w:r>
        <w:rPr>
          <w:rFonts w:ascii="仿宋_GB2312" w:eastAsia="仿宋_GB2312" w:hint="eastAsia"/>
          <w:color w:val="000000"/>
          <w:sz w:val="30"/>
          <w:szCs w:val="30"/>
        </w:rPr>
        <w:t>“</w:t>
      </w:r>
      <w:r w:rsidRPr="00C5614E">
        <w:rPr>
          <w:rFonts w:ascii="仿宋_GB2312" w:eastAsia="仿宋_GB2312" w:hint="eastAsia"/>
          <w:color w:val="000000"/>
          <w:sz w:val="30"/>
          <w:szCs w:val="30"/>
        </w:rPr>
        <w:t>知识测试</w:t>
      </w:r>
      <w:r>
        <w:rPr>
          <w:rFonts w:ascii="仿宋_GB2312" w:eastAsia="仿宋_GB2312" w:hint="eastAsia"/>
          <w:color w:val="000000"/>
          <w:sz w:val="30"/>
          <w:szCs w:val="30"/>
        </w:rPr>
        <w:t>”</w:t>
      </w:r>
      <w:r w:rsidRPr="00C5614E">
        <w:rPr>
          <w:rFonts w:ascii="仿宋_GB2312" w:eastAsia="仿宋_GB2312" w:hint="eastAsia"/>
          <w:color w:val="000000"/>
          <w:sz w:val="30"/>
          <w:szCs w:val="30"/>
        </w:rPr>
        <w:t>），考试成绩用于投资者交易权限级别的核定和期权基础知识的得分评估。</w:t>
      </w:r>
    </w:p>
    <w:p w:rsidR="00C7478C" w:rsidRPr="00C5614E" w:rsidRDefault="00C7478C" w:rsidP="00C7478C">
      <w:pPr>
        <w:numPr>
          <w:ilvl w:val="0"/>
          <w:numId w:val="1"/>
        </w:numPr>
        <w:spacing w:line="560" w:lineRule="exact"/>
        <w:ind w:left="0" w:firstLineChars="200" w:firstLine="600"/>
        <w:rPr>
          <w:rFonts w:ascii="仿宋_GB2312" w:eastAsia="仿宋_GB2312"/>
          <w:color w:val="000000"/>
          <w:sz w:val="30"/>
          <w:szCs w:val="30"/>
        </w:rPr>
      </w:pPr>
      <w:r w:rsidRPr="00C5614E">
        <w:rPr>
          <w:rFonts w:ascii="仿宋_GB2312" w:eastAsia="仿宋_GB2312" w:hAnsi="黑体" w:hint="eastAsia"/>
          <w:b/>
          <w:color w:val="000000"/>
          <w:sz w:val="30"/>
          <w:szCs w:val="30"/>
        </w:rPr>
        <w:lastRenderedPageBreak/>
        <w:t>（参加人员）</w:t>
      </w:r>
      <w:r w:rsidRPr="00C5614E">
        <w:rPr>
          <w:rFonts w:ascii="仿宋_GB2312" w:eastAsia="仿宋_GB2312" w:hint="eastAsia"/>
          <w:color w:val="000000"/>
          <w:sz w:val="30"/>
          <w:szCs w:val="30"/>
        </w:rPr>
        <w:t>投资者本人参加并通过相应等级的知识测试的，可以按照本指引第三章的规定，向期权经营机构申请相应等级的交易权限。</w:t>
      </w:r>
    </w:p>
    <w:p w:rsidR="00C7478C" w:rsidRPr="00C5614E" w:rsidRDefault="00C7478C" w:rsidP="00C7478C">
      <w:pPr>
        <w:spacing w:line="560" w:lineRule="exact"/>
        <w:ind w:firstLine="600"/>
        <w:rPr>
          <w:rFonts w:ascii="仿宋_GB2312" w:eastAsia="仿宋_GB2312"/>
          <w:color w:val="000000"/>
          <w:sz w:val="30"/>
          <w:szCs w:val="30"/>
        </w:rPr>
      </w:pPr>
      <w:r w:rsidRPr="00C5614E">
        <w:rPr>
          <w:rFonts w:ascii="仿宋_GB2312" w:eastAsia="仿宋_GB2312" w:hint="eastAsia"/>
          <w:color w:val="000000"/>
          <w:sz w:val="30"/>
          <w:szCs w:val="30"/>
        </w:rPr>
        <w:t>普通机构投资者指定的负责期权交易的人员，应当参加本所认可的相关知识测试。</w:t>
      </w:r>
    </w:p>
    <w:p w:rsidR="00C7478C" w:rsidRPr="00C5614E" w:rsidRDefault="00C7478C" w:rsidP="00C7478C">
      <w:pPr>
        <w:numPr>
          <w:ilvl w:val="0"/>
          <w:numId w:val="1"/>
        </w:numPr>
        <w:spacing w:line="560" w:lineRule="exact"/>
        <w:ind w:left="0" w:firstLineChars="150" w:firstLine="450"/>
        <w:rPr>
          <w:rFonts w:ascii="仿宋_GB2312" w:eastAsia="仿宋_GB2312"/>
          <w:color w:val="000000"/>
          <w:sz w:val="30"/>
          <w:szCs w:val="30"/>
        </w:rPr>
      </w:pPr>
      <w:r w:rsidRPr="00C5614E">
        <w:rPr>
          <w:rFonts w:ascii="仿宋_GB2312" w:eastAsia="仿宋_GB2312" w:hAnsi="黑体" w:hint="eastAsia"/>
          <w:b/>
          <w:color w:val="000000"/>
          <w:sz w:val="30"/>
          <w:szCs w:val="30"/>
        </w:rPr>
        <w:t>（逐级测试）</w:t>
      </w:r>
      <w:r w:rsidRPr="00C5614E">
        <w:rPr>
          <w:rFonts w:ascii="仿宋_GB2312" w:eastAsia="仿宋_GB2312" w:hint="eastAsia"/>
          <w:color w:val="000000"/>
          <w:sz w:val="30"/>
          <w:szCs w:val="30"/>
        </w:rPr>
        <w:t>投资者应当逐级参加知识测试，未通过前一等级考试的，不得参加后一等级的考试。</w:t>
      </w:r>
    </w:p>
    <w:p w:rsidR="00C7478C" w:rsidRPr="00C5614E" w:rsidRDefault="00C7478C" w:rsidP="00C7478C">
      <w:pPr>
        <w:numPr>
          <w:ilvl w:val="0"/>
          <w:numId w:val="1"/>
        </w:numPr>
        <w:spacing w:line="560" w:lineRule="exact"/>
        <w:ind w:left="0" w:firstLineChars="200" w:firstLine="600"/>
        <w:rPr>
          <w:rFonts w:ascii="仿宋_GB2312" w:eastAsia="仿宋_GB2312"/>
          <w:color w:val="000000"/>
          <w:sz w:val="30"/>
          <w:szCs w:val="30"/>
        </w:rPr>
      </w:pPr>
      <w:r w:rsidRPr="00C5614E">
        <w:rPr>
          <w:rFonts w:ascii="仿宋_GB2312" w:eastAsia="仿宋_GB2312" w:hAnsi="黑体" w:hint="eastAsia"/>
          <w:b/>
          <w:color w:val="000000"/>
          <w:sz w:val="30"/>
          <w:szCs w:val="30"/>
        </w:rPr>
        <w:t>（测试程序）</w:t>
      </w:r>
      <w:r w:rsidRPr="00C5614E">
        <w:rPr>
          <w:rFonts w:ascii="仿宋_GB2312" w:eastAsia="仿宋_GB2312" w:hint="eastAsia"/>
          <w:color w:val="000000"/>
          <w:sz w:val="30"/>
          <w:szCs w:val="30"/>
        </w:rPr>
        <w:t>知识测试应当在期权经营机构营业场所内进行。考试完毕后，期权经营机构应当为投资者打印成绩单，并加盖营业部章。</w:t>
      </w:r>
    </w:p>
    <w:p w:rsidR="00C7478C" w:rsidRPr="00C5614E" w:rsidRDefault="00C7478C" w:rsidP="00C7478C">
      <w:pPr>
        <w:spacing w:line="560" w:lineRule="exact"/>
        <w:ind w:firstLine="600"/>
        <w:rPr>
          <w:rFonts w:ascii="仿宋_GB2312" w:eastAsia="仿宋_GB2312"/>
          <w:color w:val="000000"/>
          <w:sz w:val="30"/>
          <w:szCs w:val="30"/>
        </w:rPr>
      </w:pPr>
      <w:r w:rsidRPr="00C5614E">
        <w:rPr>
          <w:rFonts w:ascii="仿宋_GB2312" w:eastAsia="仿宋_GB2312" w:hint="eastAsia"/>
          <w:color w:val="000000"/>
          <w:sz w:val="30"/>
          <w:szCs w:val="30"/>
        </w:rPr>
        <w:t>投资者本人和普通机构投资者指定的负责期权交易人员，应当在成绩单上签字。</w:t>
      </w:r>
    </w:p>
    <w:p w:rsidR="00C7478C" w:rsidRPr="00C5614E" w:rsidRDefault="00C7478C" w:rsidP="00C7478C">
      <w:pPr>
        <w:spacing w:line="560" w:lineRule="exact"/>
        <w:ind w:left="600"/>
        <w:rPr>
          <w:rFonts w:ascii="仿宋_GB2312" w:eastAsia="仿宋_GB2312"/>
          <w:color w:val="000000"/>
          <w:sz w:val="30"/>
          <w:szCs w:val="30"/>
        </w:rPr>
      </w:pPr>
      <w:r w:rsidRPr="00C5614E">
        <w:rPr>
          <w:rFonts w:ascii="仿宋_GB2312" w:eastAsia="仿宋_GB2312" w:hint="eastAsia"/>
          <w:color w:val="000000"/>
          <w:sz w:val="30"/>
          <w:szCs w:val="30"/>
        </w:rPr>
        <w:t>期权经营机构客户开发人员不得兼任知识测试组织人员。</w:t>
      </w:r>
    </w:p>
    <w:p w:rsidR="00C7478C" w:rsidRPr="00C5614E" w:rsidRDefault="00C7478C" w:rsidP="00C7478C">
      <w:pPr>
        <w:numPr>
          <w:ilvl w:val="0"/>
          <w:numId w:val="1"/>
        </w:numPr>
        <w:spacing w:line="560" w:lineRule="exact"/>
        <w:ind w:left="0" w:firstLineChars="200" w:firstLine="600"/>
        <w:rPr>
          <w:rFonts w:ascii="仿宋_GB2312" w:eastAsia="仿宋_GB2312"/>
          <w:color w:val="000000"/>
          <w:sz w:val="30"/>
          <w:szCs w:val="30"/>
        </w:rPr>
      </w:pPr>
      <w:r w:rsidRPr="00C5614E">
        <w:rPr>
          <w:rFonts w:ascii="仿宋_GB2312" w:eastAsia="仿宋_GB2312" w:hAnsi="黑体" w:hint="eastAsia"/>
          <w:b/>
          <w:color w:val="000000"/>
          <w:sz w:val="30"/>
          <w:szCs w:val="30"/>
        </w:rPr>
        <w:t>（成绩有效期）</w:t>
      </w:r>
      <w:r w:rsidRPr="00C5614E">
        <w:rPr>
          <w:rFonts w:ascii="仿宋_GB2312" w:eastAsia="仿宋_GB2312" w:hint="eastAsia"/>
          <w:color w:val="000000"/>
          <w:sz w:val="30"/>
          <w:szCs w:val="30"/>
        </w:rPr>
        <w:t>知识测试成绩长期有效，并可用于在其他期权经营机构申请开户，本所另有规定除外。</w:t>
      </w:r>
    </w:p>
    <w:p w:rsidR="00C7478C" w:rsidRPr="00C5614E" w:rsidRDefault="00C7478C" w:rsidP="00C7478C">
      <w:pPr>
        <w:spacing w:line="560" w:lineRule="exact"/>
        <w:ind w:firstLine="602"/>
        <w:jc w:val="center"/>
        <w:rPr>
          <w:rFonts w:ascii="仿宋_GB2312" w:eastAsia="仿宋_GB2312"/>
          <w:b/>
          <w:color w:val="000000"/>
          <w:sz w:val="30"/>
          <w:szCs w:val="30"/>
        </w:rPr>
      </w:pPr>
      <w:r w:rsidRPr="00C5614E">
        <w:rPr>
          <w:rFonts w:ascii="仿宋_GB2312" w:eastAsia="仿宋_GB2312" w:hint="eastAsia"/>
          <w:b/>
          <w:color w:val="000000"/>
          <w:sz w:val="30"/>
          <w:szCs w:val="30"/>
        </w:rPr>
        <w:t>第三章</w:t>
      </w:r>
      <w:r w:rsidRPr="00C5614E">
        <w:rPr>
          <w:rFonts w:ascii="仿宋_GB2312" w:eastAsia="仿宋_GB2312"/>
          <w:b/>
          <w:color w:val="000000"/>
          <w:sz w:val="30"/>
          <w:szCs w:val="30"/>
        </w:rPr>
        <w:t xml:space="preserve"> </w:t>
      </w:r>
      <w:r w:rsidRPr="00C5614E">
        <w:rPr>
          <w:rFonts w:ascii="仿宋_GB2312" w:eastAsia="仿宋_GB2312" w:hint="eastAsia"/>
          <w:b/>
          <w:color w:val="000000"/>
          <w:sz w:val="30"/>
          <w:szCs w:val="30"/>
        </w:rPr>
        <w:t>投资者分级管理</w:t>
      </w:r>
    </w:p>
    <w:p w:rsidR="00C7478C" w:rsidRPr="00C5614E" w:rsidRDefault="00C7478C" w:rsidP="00C7478C">
      <w:pPr>
        <w:numPr>
          <w:ilvl w:val="0"/>
          <w:numId w:val="1"/>
        </w:numPr>
        <w:spacing w:line="560" w:lineRule="exact"/>
        <w:ind w:left="0" w:firstLineChars="200" w:firstLine="600"/>
        <w:rPr>
          <w:rFonts w:ascii="仿宋_GB2312" w:eastAsia="仿宋_GB2312"/>
          <w:color w:val="000000"/>
          <w:sz w:val="30"/>
          <w:szCs w:val="30"/>
        </w:rPr>
      </w:pPr>
      <w:r w:rsidRPr="00C5614E">
        <w:rPr>
          <w:rFonts w:ascii="仿宋_GB2312" w:eastAsia="仿宋_GB2312" w:hAnsi="黑体" w:hint="eastAsia"/>
          <w:b/>
          <w:color w:val="000000"/>
          <w:sz w:val="30"/>
          <w:szCs w:val="30"/>
        </w:rPr>
        <w:t>（分级管理）</w:t>
      </w:r>
      <w:r w:rsidRPr="00C5614E">
        <w:rPr>
          <w:rFonts w:ascii="仿宋_GB2312" w:eastAsia="仿宋_GB2312" w:hint="eastAsia"/>
          <w:color w:val="000000"/>
          <w:sz w:val="30"/>
          <w:szCs w:val="30"/>
        </w:rPr>
        <w:t>期权经营机构应当根据本指引的规定，对个人投资者参与期权交易的权限进行分级管理。</w:t>
      </w:r>
    </w:p>
    <w:p w:rsidR="00C7478C" w:rsidRPr="00C5614E" w:rsidRDefault="00C7478C" w:rsidP="00C7478C">
      <w:pPr>
        <w:spacing w:line="560" w:lineRule="exact"/>
        <w:ind w:firstLine="600"/>
        <w:rPr>
          <w:rFonts w:ascii="仿宋_GB2312" w:eastAsia="仿宋_GB2312"/>
          <w:color w:val="000000"/>
          <w:sz w:val="30"/>
          <w:szCs w:val="30"/>
        </w:rPr>
      </w:pPr>
      <w:r w:rsidRPr="00C5614E">
        <w:rPr>
          <w:rFonts w:ascii="仿宋_GB2312" w:eastAsia="仿宋_GB2312" w:hint="eastAsia"/>
          <w:color w:val="000000"/>
          <w:sz w:val="30"/>
          <w:szCs w:val="30"/>
        </w:rPr>
        <w:t>期权经营机构应当在期权经纪合同中载明投资者分级管理的具体标准、程序和要求，并就分级管理事宜向投资者进行充分说明。</w:t>
      </w:r>
    </w:p>
    <w:p w:rsidR="00C7478C" w:rsidRPr="00C5614E" w:rsidRDefault="00C7478C" w:rsidP="00C7478C">
      <w:pPr>
        <w:numPr>
          <w:ilvl w:val="0"/>
          <w:numId w:val="1"/>
        </w:numPr>
        <w:spacing w:line="560" w:lineRule="exact"/>
        <w:ind w:left="0" w:firstLineChars="200" w:firstLine="600"/>
        <w:rPr>
          <w:rFonts w:ascii="仿宋_GB2312" w:eastAsia="仿宋_GB2312"/>
          <w:color w:val="000000"/>
          <w:sz w:val="30"/>
          <w:szCs w:val="30"/>
        </w:rPr>
      </w:pPr>
      <w:r w:rsidRPr="00C5614E">
        <w:rPr>
          <w:rFonts w:ascii="仿宋_GB2312" w:eastAsia="仿宋_GB2312" w:hAnsi="黑体" w:hint="eastAsia"/>
          <w:b/>
          <w:color w:val="000000"/>
          <w:sz w:val="30"/>
          <w:szCs w:val="30"/>
        </w:rPr>
        <w:t>（交易权限级别）</w:t>
      </w:r>
      <w:r w:rsidRPr="00C5614E">
        <w:rPr>
          <w:rFonts w:ascii="仿宋_GB2312" w:eastAsia="仿宋_GB2312" w:hint="eastAsia"/>
          <w:color w:val="000000"/>
          <w:sz w:val="30"/>
          <w:szCs w:val="30"/>
        </w:rPr>
        <w:t>个人投资者申请的交易权限级别分为一级、二级、三级交易权限。</w:t>
      </w:r>
    </w:p>
    <w:p w:rsidR="00C7478C" w:rsidRPr="00C5614E" w:rsidRDefault="00C7478C" w:rsidP="00C7478C">
      <w:pPr>
        <w:numPr>
          <w:ilvl w:val="0"/>
          <w:numId w:val="1"/>
        </w:numPr>
        <w:spacing w:line="560" w:lineRule="exact"/>
        <w:ind w:left="0" w:firstLineChars="200" w:firstLine="600"/>
        <w:rPr>
          <w:rFonts w:ascii="仿宋_GB2312" w:eastAsia="仿宋_GB2312"/>
          <w:color w:val="000000"/>
          <w:sz w:val="30"/>
          <w:szCs w:val="30"/>
        </w:rPr>
      </w:pPr>
      <w:r w:rsidRPr="00C5614E">
        <w:rPr>
          <w:rFonts w:ascii="仿宋_GB2312" w:eastAsia="仿宋_GB2312" w:hAnsi="黑体" w:hint="eastAsia"/>
          <w:b/>
          <w:color w:val="000000"/>
          <w:sz w:val="30"/>
          <w:szCs w:val="30"/>
        </w:rPr>
        <w:t>（一级交易权限）</w:t>
      </w:r>
      <w:r w:rsidRPr="00C5614E">
        <w:rPr>
          <w:rFonts w:ascii="仿宋_GB2312" w:eastAsia="仿宋_GB2312" w:hint="eastAsia"/>
          <w:color w:val="000000"/>
          <w:sz w:val="30"/>
          <w:szCs w:val="30"/>
        </w:rPr>
        <w:t>享有一级交易权限的投资</w:t>
      </w:r>
      <w:r w:rsidRPr="00C5614E">
        <w:rPr>
          <w:rFonts w:ascii="仿宋_GB2312" w:eastAsia="仿宋_GB2312" w:hint="eastAsia"/>
          <w:color w:val="000000"/>
          <w:sz w:val="30"/>
          <w:szCs w:val="30"/>
        </w:rPr>
        <w:lastRenderedPageBreak/>
        <w:t>者，可以进行下列期权交易：</w:t>
      </w:r>
    </w:p>
    <w:p w:rsidR="00C7478C" w:rsidRPr="00C5614E" w:rsidRDefault="00C7478C" w:rsidP="00C7478C">
      <w:pPr>
        <w:spacing w:line="560" w:lineRule="exact"/>
        <w:ind w:firstLine="600"/>
        <w:rPr>
          <w:rFonts w:ascii="仿宋_GB2312" w:eastAsia="仿宋_GB2312"/>
          <w:color w:val="000000"/>
          <w:sz w:val="30"/>
          <w:szCs w:val="30"/>
        </w:rPr>
      </w:pPr>
      <w:r w:rsidRPr="00C5614E">
        <w:rPr>
          <w:rFonts w:ascii="仿宋_GB2312" w:eastAsia="仿宋_GB2312" w:hint="eastAsia"/>
          <w:color w:val="000000"/>
          <w:sz w:val="30"/>
          <w:szCs w:val="30"/>
        </w:rPr>
        <w:t>（一）在持有期权合约标的时，进行相应数量的备兑开仓；</w:t>
      </w:r>
    </w:p>
    <w:p w:rsidR="00C7478C" w:rsidRPr="00C5614E" w:rsidRDefault="00C7478C" w:rsidP="00C7478C">
      <w:pPr>
        <w:spacing w:line="560" w:lineRule="exact"/>
        <w:ind w:firstLine="600"/>
        <w:rPr>
          <w:rFonts w:ascii="仿宋_GB2312" w:eastAsia="仿宋_GB2312"/>
          <w:color w:val="000000"/>
          <w:sz w:val="30"/>
          <w:szCs w:val="30"/>
        </w:rPr>
      </w:pPr>
      <w:r w:rsidRPr="00C5614E">
        <w:rPr>
          <w:rFonts w:ascii="仿宋_GB2312" w:eastAsia="仿宋_GB2312" w:hint="eastAsia"/>
          <w:color w:val="000000"/>
          <w:sz w:val="30"/>
          <w:szCs w:val="30"/>
        </w:rPr>
        <w:t>（二）在持有期权合约标的时，进行相应数量的认沽期权买入开仓；</w:t>
      </w:r>
    </w:p>
    <w:p w:rsidR="00C7478C" w:rsidRPr="00C5614E" w:rsidRDefault="00C7478C" w:rsidP="00C7478C">
      <w:pPr>
        <w:spacing w:line="560" w:lineRule="exact"/>
        <w:ind w:firstLine="600"/>
        <w:rPr>
          <w:rFonts w:ascii="仿宋_GB2312" w:eastAsia="仿宋_GB2312"/>
          <w:color w:val="000000"/>
          <w:sz w:val="30"/>
          <w:szCs w:val="30"/>
        </w:rPr>
      </w:pPr>
      <w:r w:rsidRPr="00C5614E">
        <w:rPr>
          <w:rFonts w:ascii="仿宋_GB2312" w:eastAsia="仿宋_GB2312" w:hint="eastAsia"/>
          <w:color w:val="000000"/>
          <w:sz w:val="30"/>
          <w:szCs w:val="30"/>
        </w:rPr>
        <w:t>（三）对所持有的合约头寸进行平仓或者行权。</w:t>
      </w:r>
    </w:p>
    <w:p w:rsidR="00C7478C" w:rsidRPr="00C5614E" w:rsidRDefault="00C7478C" w:rsidP="00C7478C">
      <w:pPr>
        <w:numPr>
          <w:ilvl w:val="0"/>
          <w:numId w:val="1"/>
        </w:numPr>
        <w:spacing w:line="560" w:lineRule="exact"/>
        <w:ind w:left="0" w:firstLineChars="200" w:firstLine="600"/>
        <w:rPr>
          <w:rFonts w:ascii="仿宋_GB2312" w:eastAsia="仿宋_GB2312"/>
          <w:color w:val="000000"/>
          <w:sz w:val="30"/>
          <w:szCs w:val="30"/>
        </w:rPr>
      </w:pPr>
      <w:r w:rsidRPr="00C5614E">
        <w:rPr>
          <w:rFonts w:ascii="仿宋_GB2312" w:eastAsia="仿宋_GB2312" w:hAnsi="黑体" w:hint="eastAsia"/>
          <w:b/>
          <w:color w:val="000000"/>
          <w:sz w:val="30"/>
          <w:szCs w:val="30"/>
        </w:rPr>
        <w:t>（二级交易权限）</w:t>
      </w:r>
      <w:r w:rsidRPr="00C5614E">
        <w:rPr>
          <w:rFonts w:ascii="仿宋_GB2312" w:eastAsia="仿宋_GB2312" w:hint="eastAsia"/>
          <w:color w:val="000000"/>
          <w:sz w:val="30"/>
          <w:szCs w:val="30"/>
        </w:rPr>
        <w:t>享有二级交易权限的投资者，可以进行下列期权交易：</w:t>
      </w:r>
    </w:p>
    <w:p w:rsidR="00C7478C" w:rsidRPr="00C5614E" w:rsidRDefault="00C7478C" w:rsidP="00C7478C">
      <w:pPr>
        <w:spacing w:line="560" w:lineRule="exact"/>
        <w:ind w:firstLine="600"/>
        <w:rPr>
          <w:rFonts w:ascii="仿宋_GB2312" w:eastAsia="仿宋_GB2312"/>
          <w:color w:val="000000"/>
          <w:sz w:val="30"/>
          <w:szCs w:val="30"/>
        </w:rPr>
      </w:pPr>
      <w:r w:rsidRPr="00C5614E">
        <w:rPr>
          <w:rFonts w:ascii="仿宋_GB2312" w:eastAsia="仿宋_GB2312" w:hint="eastAsia"/>
          <w:color w:val="000000"/>
          <w:sz w:val="30"/>
          <w:szCs w:val="30"/>
        </w:rPr>
        <w:t>（一）一级交易权限对应的交易；</w:t>
      </w:r>
    </w:p>
    <w:p w:rsidR="00C7478C" w:rsidRPr="00C5614E" w:rsidRDefault="00C7478C" w:rsidP="00C7478C">
      <w:pPr>
        <w:numPr>
          <w:ilvl w:val="0"/>
          <w:numId w:val="2"/>
        </w:numPr>
        <w:spacing w:line="560" w:lineRule="exact"/>
        <w:rPr>
          <w:rFonts w:ascii="仿宋_GB2312" w:eastAsia="仿宋_GB2312"/>
          <w:color w:val="000000"/>
          <w:sz w:val="30"/>
          <w:szCs w:val="30"/>
        </w:rPr>
      </w:pPr>
      <w:r w:rsidRPr="00C5614E">
        <w:rPr>
          <w:rFonts w:ascii="仿宋_GB2312" w:eastAsia="仿宋_GB2312" w:hint="eastAsia"/>
          <w:color w:val="000000"/>
          <w:sz w:val="30"/>
          <w:szCs w:val="30"/>
        </w:rPr>
        <w:t>对本所上市期权合约进行买入开仓、卖出平仓委托。</w:t>
      </w:r>
    </w:p>
    <w:p w:rsidR="00C7478C" w:rsidRPr="00C5614E" w:rsidRDefault="00C7478C" w:rsidP="00C7478C">
      <w:pPr>
        <w:numPr>
          <w:ilvl w:val="0"/>
          <w:numId w:val="1"/>
        </w:numPr>
        <w:spacing w:line="560" w:lineRule="exact"/>
        <w:ind w:left="0" w:firstLineChars="200" w:firstLine="600"/>
        <w:rPr>
          <w:rFonts w:ascii="仿宋_GB2312" w:eastAsia="仿宋_GB2312"/>
          <w:color w:val="000000"/>
          <w:sz w:val="30"/>
          <w:szCs w:val="30"/>
        </w:rPr>
      </w:pPr>
      <w:r w:rsidRPr="00C5614E">
        <w:rPr>
          <w:rFonts w:ascii="仿宋_GB2312" w:eastAsia="仿宋_GB2312" w:hAnsi="黑体" w:hint="eastAsia"/>
          <w:b/>
          <w:color w:val="000000"/>
          <w:sz w:val="30"/>
          <w:szCs w:val="30"/>
        </w:rPr>
        <w:t>（三级交易权限）</w:t>
      </w:r>
      <w:r w:rsidRPr="00C5614E">
        <w:rPr>
          <w:rFonts w:ascii="仿宋_GB2312" w:eastAsia="仿宋_GB2312" w:hint="eastAsia"/>
          <w:color w:val="000000"/>
          <w:sz w:val="30"/>
          <w:szCs w:val="30"/>
        </w:rPr>
        <w:t>享有三级交易权限的个人投资者、负责期权交易的人员参加并通过三级知识测试的普通机构投资者，以及符合法律法规、部门规章以及监管机构规定的专业机构投资者，可以进行下列期权交易：</w:t>
      </w:r>
    </w:p>
    <w:p w:rsidR="00C7478C" w:rsidRPr="00C5614E" w:rsidRDefault="00C7478C" w:rsidP="00C7478C">
      <w:pPr>
        <w:spacing w:line="560" w:lineRule="exact"/>
        <w:ind w:firstLine="600"/>
        <w:rPr>
          <w:rFonts w:ascii="仿宋_GB2312" w:eastAsia="仿宋_GB2312"/>
          <w:color w:val="000000"/>
          <w:sz w:val="30"/>
          <w:szCs w:val="30"/>
        </w:rPr>
      </w:pPr>
      <w:r w:rsidRPr="00C5614E">
        <w:rPr>
          <w:rFonts w:ascii="仿宋_GB2312" w:eastAsia="仿宋_GB2312" w:hint="eastAsia"/>
          <w:color w:val="000000"/>
          <w:sz w:val="30"/>
          <w:szCs w:val="30"/>
        </w:rPr>
        <w:t>（一）二级交易权限对应的交易；</w:t>
      </w:r>
    </w:p>
    <w:p w:rsidR="00C7478C" w:rsidRPr="00C5614E" w:rsidRDefault="00C7478C" w:rsidP="00C7478C">
      <w:pPr>
        <w:spacing w:line="560" w:lineRule="exact"/>
        <w:ind w:firstLineChars="200" w:firstLine="600"/>
        <w:rPr>
          <w:rFonts w:ascii="仿宋_GB2312" w:eastAsia="仿宋_GB2312"/>
          <w:color w:val="000000"/>
          <w:sz w:val="30"/>
          <w:szCs w:val="30"/>
        </w:rPr>
      </w:pPr>
      <w:r w:rsidRPr="00C5614E">
        <w:rPr>
          <w:rFonts w:ascii="仿宋_GB2312" w:eastAsia="仿宋_GB2312" w:hint="eastAsia"/>
          <w:color w:val="000000"/>
          <w:sz w:val="30"/>
          <w:szCs w:val="30"/>
        </w:rPr>
        <w:t>（二）保证金卖出开仓。</w:t>
      </w:r>
    </w:p>
    <w:p w:rsidR="00C7478C" w:rsidRPr="00C5614E" w:rsidRDefault="00C7478C" w:rsidP="00C7478C">
      <w:pPr>
        <w:numPr>
          <w:ilvl w:val="0"/>
          <w:numId w:val="1"/>
        </w:numPr>
        <w:spacing w:line="560" w:lineRule="exact"/>
        <w:ind w:left="0" w:firstLineChars="200" w:firstLine="600"/>
        <w:rPr>
          <w:rFonts w:ascii="仿宋_GB2312" w:eastAsia="仿宋_GB2312"/>
          <w:color w:val="000000"/>
          <w:sz w:val="30"/>
          <w:szCs w:val="30"/>
        </w:rPr>
      </w:pPr>
      <w:r w:rsidRPr="00C5614E">
        <w:rPr>
          <w:rFonts w:ascii="仿宋_GB2312" w:eastAsia="仿宋_GB2312" w:hAnsi="黑体" w:hint="eastAsia"/>
          <w:b/>
          <w:color w:val="000000"/>
          <w:sz w:val="30"/>
          <w:szCs w:val="30"/>
        </w:rPr>
        <w:t>（合格分数）</w:t>
      </w:r>
      <w:r w:rsidRPr="00C5614E">
        <w:rPr>
          <w:rFonts w:ascii="仿宋_GB2312" w:eastAsia="仿宋_GB2312" w:hint="eastAsia"/>
          <w:color w:val="000000"/>
          <w:sz w:val="30"/>
          <w:szCs w:val="30"/>
        </w:rPr>
        <w:t>投资者申请各级别交易权限，应当在相应的知识测试中达到规定的合格分数。</w:t>
      </w:r>
    </w:p>
    <w:p w:rsidR="00C7478C" w:rsidRPr="00C5614E" w:rsidRDefault="00C7478C" w:rsidP="00C7478C">
      <w:pPr>
        <w:numPr>
          <w:ilvl w:val="0"/>
          <w:numId w:val="1"/>
        </w:numPr>
        <w:spacing w:line="560" w:lineRule="exact"/>
        <w:ind w:left="0" w:firstLineChars="200" w:firstLine="600"/>
        <w:rPr>
          <w:rFonts w:ascii="仿宋_GB2312" w:eastAsia="仿宋_GB2312"/>
          <w:color w:val="000000"/>
          <w:sz w:val="30"/>
          <w:szCs w:val="30"/>
        </w:rPr>
      </w:pPr>
      <w:r w:rsidRPr="00C5614E">
        <w:rPr>
          <w:rFonts w:ascii="仿宋_GB2312" w:eastAsia="仿宋_GB2312" w:hAnsi="黑体" w:hint="eastAsia"/>
          <w:b/>
          <w:color w:val="000000"/>
          <w:sz w:val="30"/>
          <w:szCs w:val="30"/>
        </w:rPr>
        <w:t>（模拟交易要求）</w:t>
      </w:r>
      <w:r w:rsidRPr="00C5614E">
        <w:rPr>
          <w:rFonts w:ascii="仿宋_GB2312" w:eastAsia="仿宋_GB2312" w:hint="eastAsia"/>
          <w:color w:val="000000"/>
          <w:sz w:val="30"/>
          <w:szCs w:val="30"/>
        </w:rPr>
        <w:t>个人投资者申请一级、二级或者三级交易权限的，应当具备相应的期权模拟交易经历。</w:t>
      </w:r>
    </w:p>
    <w:p w:rsidR="00C7478C" w:rsidRPr="00C5614E" w:rsidRDefault="00C7478C" w:rsidP="00C7478C">
      <w:pPr>
        <w:numPr>
          <w:ilvl w:val="0"/>
          <w:numId w:val="1"/>
        </w:numPr>
        <w:spacing w:line="560" w:lineRule="exact"/>
        <w:ind w:left="0" w:firstLineChars="200" w:firstLine="600"/>
        <w:rPr>
          <w:rFonts w:ascii="仿宋_GB2312" w:eastAsia="仿宋_GB2312"/>
          <w:color w:val="000000"/>
          <w:sz w:val="30"/>
          <w:szCs w:val="30"/>
        </w:rPr>
      </w:pPr>
      <w:r w:rsidRPr="00C5614E">
        <w:rPr>
          <w:rFonts w:ascii="仿宋_GB2312" w:eastAsia="仿宋_GB2312" w:hAnsi="黑体" w:hint="eastAsia"/>
          <w:b/>
          <w:color w:val="000000"/>
          <w:sz w:val="30"/>
          <w:szCs w:val="30"/>
        </w:rPr>
        <w:t>（依申请调高权限）</w:t>
      </w:r>
      <w:r w:rsidRPr="00C5614E">
        <w:rPr>
          <w:rFonts w:ascii="仿宋_GB2312" w:eastAsia="仿宋_GB2312" w:hint="eastAsia"/>
          <w:color w:val="000000"/>
          <w:sz w:val="30"/>
          <w:szCs w:val="30"/>
        </w:rPr>
        <w:t>投资者的知识测试成绩、期权模拟交易经历以及金融类资产状况发生变化，满足较高交易权限对应的资格要求的，可以向期权经营机构申请调高其交易权限。</w:t>
      </w:r>
    </w:p>
    <w:p w:rsidR="00C7478C" w:rsidRPr="00C5614E" w:rsidRDefault="00C7478C" w:rsidP="00C7478C">
      <w:pPr>
        <w:spacing w:line="560" w:lineRule="exact"/>
        <w:ind w:firstLine="600"/>
        <w:rPr>
          <w:rFonts w:ascii="仿宋_GB2312" w:eastAsia="仿宋_GB2312"/>
          <w:color w:val="000000"/>
          <w:sz w:val="30"/>
          <w:szCs w:val="30"/>
        </w:rPr>
      </w:pPr>
      <w:r w:rsidRPr="00C5614E">
        <w:rPr>
          <w:rFonts w:ascii="仿宋_GB2312" w:eastAsia="仿宋_GB2312" w:hint="eastAsia"/>
          <w:color w:val="000000"/>
          <w:sz w:val="30"/>
          <w:szCs w:val="30"/>
        </w:rPr>
        <w:t>出现前款规定情形的，期权经营机构应当严格按照本指引的</w:t>
      </w:r>
      <w:r w:rsidRPr="00C5614E">
        <w:rPr>
          <w:rFonts w:ascii="仿宋_GB2312" w:eastAsia="仿宋_GB2312" w:hint="eastAsia"/>
          <w:color w:val="000000"/>
          <w:sz w:val="30"/>
          <w:szCs w:val="30"/>
        </w:rPr>
        <w:lastRenderedPageBreak/>
        <w:t>规定，对投资者的申请进行审核；投资者的申请符合本指引规定的，可以对其交易权限进行调整。</w:t>
      </w:r>
    </w:p>
    <w:p w:rsidR="00C7478C" w:rsidRPr="00C5614E" w:rsidRDefault="00C7478C" w:rsidP="00C7478C">
      <w:pPr>
        <w:numPr>
          <w:ilvl w:val="0"/>
          <w:numId w:val="1"/>
        </w:numPr>
        <w:spacing w:line="560" w:lineRule="exact"/>
        <w:ind w:left="0" w:firstLineChars="200" w:firstLine="600"/>
        <w:rPr>
          <w:rFonts w:ascii="仿宋_GB2312" w:eastAsia="仿宋_GB2312"/>
          <w:color w:val="000000"/>
          <w:sz w:val="30"/>
          <w:szCs w:val="30"/>
        </w:rPr>
      </w:pPr>
      <w:r w:rsidRPr="00C5614E">
        <w:rPr>
          <w:rFonts w:ascii="仿宋_GB2312" w:eastAsia="仿宋_GB2312" w:hAnsi="黑体" w:hint="eastAsia"/>
          <w:b/>
          <w:color w:val="000000"/>
          <w:sz w:val="30"/>
          <w:szCs w:val="30"/>
        </w:rPr>
        <w:t>（依申请调低权限）</w:t>
      </w:r>
      <w:r w:rsidRPr="00C5614E">
        <w:rPr>
          <w:rFonts w:ascii="仿宋_GB2312" w:eastAsia="仿宋_GB2312" w:hint="eastAsia"/>
          <w:color w:val="000000"/>
          <w:sz w:val="30"/>
          <w:szCs w:val="30"/>
        </w:rPr>
        <w:t>投资者可以向期权经营机构申请调低其交易权限，期权经营机构应当根据投资者要求调低其交易权限至相应级别。</w:t>
      </w:r>
    </w:p>
    <w:p w:rsidR="00C7478C" w:rsidRPr="00C5614E" w:rsidRDefault="00C7478C" w:rsidP="00C7478C">
      <w:pPr>
        <w:numPr>
          <w:ilvl w:val="0"/>
          <w:numId w:val="1"/>
        </w:numPr>
        <w:spacing w:line="560" w:lineRule="exact"/>
        <w:ind w:left="0" w:firstLineChars="200" w:firstLine="600"/>
        <w:rPr>
          <w:rFonts w:ascii="仿宋_GB2312" w:eastAsia="仿宋_GB2312"/>
          <w:color w:val="000000"/>
          <w:sz w:val="30"/>
          <w:szCs w:val="30"/>
        </w:rPr>
      </w:pPr>
      <w:r w:rsidRPr="00C5614E">
        <w:rPr>
          <w:rFonts w:ascii="仿宋_GB2312" w:eastAsia="仿宋_GB2312" w:hAnsi="黑体" w:hint="eastAsia"/>
          <w:b/>
          <w:color w:val="000000"/>
          <w:sz w:val="30"/>
          <w:szCs w:val="30"/>
        </w:rPr>
        <w:t>（投资者信息更新）</w:t>
      </w:r>
      <w:r w:rsidRPr="00C5614E">
        <w:rPr>
          <w:rFonts w:ascii="仿宋_GB2312" w:eastAsia="仿宋_GB2312" w:hint="eastAsia"/>
          <w:color w:val="000000"/>
          <w:sz w:val="30"/>
          <w:szCs w:val="30"/>
        </w:rPr>
        <w:t>期权经营机构应当通过电话、电子邮件、网络、营业部现场交流等方式，动态跟踪投资者开立衍生品合约账户时提供的基本信息，持续了解投资者的基本情况、财务状况以及期权交易参与情况等信息。</w:t>
      </w:r>
    </w:p>
    <w:p w:rsidR="00C7478C" w:rsidRPr="00C5614E" w:rsidRDefault="00C7478C" w:rsidP="00C7478C">
      <w:pPr>
        <w:spacing w:line="560" w:lineRule="exact"/>
        <w:ind w:firstLine="600"/>
        <w:rPr>
          <w:rFonts w:ascii="仿宋_GB2312" w:eastAsia="仿宋_GB2312"/>
          <w:color w:val="000000"/>
          <w:sz w:val="30"/>
          <w:szCs w:val="30"/>
        </w:rPr>
      </w:pPr>
      <w:r w:rsidRPr="00C5614E">
        <w:rPr>
          <w:rFonts w:ascii="仿宋_GB2312" w:eastAsia="仿宋_GB2312" w:hint="eastAsia"/>
          <w:color w:val="000000"/>
          <w:sz w:val="30"/>
          <w:szCs w:val="30"/>
        </w:rPr>
        <w:t>期货经营机构认为投资者提供的信息发生重大变化，已经明显不准确的，应当及时督促投资者更新。</w:t>
      </w:r>
    </w:p>
    <w:p w:rsidR="00C7478C" w:rsidRPr="00C5614E" w:rsidRDefault="00C7478C" w:rsidP="00C7478C">
      <w:pPr>
        <w:numPr>
          <w:ilvl w:val="0"/>
          <w:numId w:val="1"/>
        </w:numPr>
        <w:spacing w:line="560" w:lineRule="exact"/>
        <w:ind w:left="0" w:firstLineChars="200" w:firstLine="600"/>
        <w:rPr>
          <w:rFonts w:ascii="仿宋_GB2312" w:eastAsia="仿宋_GB2312"/>
          <w:color w:val="000000"/>
          <w:sz w:val="30"/>
          <w:szCs w:val="30"/>
        </w:rPr>
      </w:pPr>
      <w:r w:rsidRPr="00C5614E">
        <w:rPr>
          <w:rFonts w:ascii="仿宋_GB2312" w:eastAsia="仿宋_GB2312" w:hAnsi="黑体" w:hint="eastAsia"/>
          <w:b/>
          <w:color w:val="000000"/>
          <w:sz w:val="30"/>
          <w:szCs w:val="30"/>
        </w:rPr>
        <w:t>（后续评估）</w:t>
      </w:r>
      <w:r w:rsidRPr="00C5614E">
        <w:rPr>
          <w:rFonts w:ascii="仿宋_GB2312" w:eastAsia="仿宋_GB2312" w:hint="eastAsia"/>
          <w:color w:val="000000"/>
          <w:sz w:val="30"/>
          <w:szCs w:val="30"/>
        </w:rPr>
        <w:t>期权经营机构应当根据对客户情况的动态跟踪和持续了解，至少每两年对所有已开户的投资者进行一次风险承受能力的后续评估。评估结果应当予以记录留存。</w:t>
      </w:r>
    </w:p>
    <w:p w:rsidR="00C7478C" w:rsidRPr="00C5614E" w:rsidRDefault="00C7478C" w:rsidP="00C7478C">
      <w:pPr>
        <w:numPr>
          <w:ilvl w:val="0"/>
          <w:numId w:val="1"/>
        </w:numPr>
        <w:spacing w:line="560" w:lineRule="exact"/>
        <w:ind w:left="0" w:firstLineChars="200" w:firstLine="600"/>
        <w:rPr>
          <w:rFonts w:ascii="仿宋_GB2312" w:eastAsia="仿宋_GB2312"/>
          <w:color w:val="000000"/>
          <w:sz w:val="30"/>
          <w:szCs w:val="30"/>
        </w:rPr>
      </w:pPr>
      <w:r w:rsidRPr="00C5614E">
        <w:rPr>
          <w:rFonts w:ascii="仿宋_GB2312" w:eastAsia="仿宋_GB2312" w:hAnsi="黑体" w:hint="eastAsia"/>
          <w:b/>
          <w:color w:val="000000"/>
          <w:sz w:val="30"/>
          <w:szCs w:val="30"/>
        </w:rPr>
        <w:t>（自行调低权限）</w:t>
      </w:r>
      <w:r w:rsidRPr="00C5614E">
        <w:rPr>
          <w:rFonts w:ascii="仿宋_GB2312" w:eastAsia="仿宋_GB2312" w:hint="eastAsia"/>
          <w:color w:val="000000"/>
          <w:sz w:val="30"/>
          <w:szCs w:val="30"/>
        </w:rPr>
        <w:t>期权经营机构发现投资者的实际情况已经不符合其交易权限对应的资格要求的，可以自行调低投资者交易权限。</w:t>
      </w:r>
    </w:p>
    <w:p w:rsidR="00C7478C" w:rsidRPr="00C5614E" w:rsidRDefault="00C7478C" w:rsidP="00C7478C">
      <w:pPr>
        <w:numPr>
          <w:ilvl w:val="0"/>
          <w:numId w:val="1"/>
        </w:numPr>
        <w:spacing w:line="560" w:lineRule="exact"/>
        <w:ind w:left="0" w:firstLineChars="200" w:firstLine="600"/>
        <w:rPr>
          <w:rFonts w:ascii="仿宋_GB2312" w:eastAsia="仿宋_GB2312"/>
          <w:color w:val="000000"/>
          <w:sz w:val="30"/>
          <w:szCs w:val="30"/>
        </w:rPr>
      </w:pPr>
      <w:r w:rsidRPr="00C5614E">
        <w:rPr>
          <w:rFonts w:ascii="仿宋_GB2312" w:eastAsia="仿宋_GB2312" w:hAnsi="黑体" w:hint="eastAsia"/>
          <w:b/>
          <w:color w:val="000000"/>
          <w:sz w:val="30"/>
          <w:szCs w:val="30"/>
        </w:rPr>
        <w:t>（告知及风险提示）</w:t>
      </w:r>
      <w:r w:rsidRPr="00C5614E">
        <w:rPr>
          <w:rFonts w:ascii="仿宋_GB2312" w:eastAsia="仿宋_GB2312" w:hint="eastAsia"/>
          <w:color w:val="000000"/>
          <w:sz w:val="30"/>
          <w:szCs w:val="30"/>
        </w:rPr>
        <w:t>期权经营机构根据投资者申请调整其交易权限或者自行调低投资者交易权限的，应当就调整后可能增加的投资风险或者可能丧失的交易权限对投资者进行提示，并对相关告知和提示材料予以记录留存。</w:t>
      </w:r>
    </w:p>
    <w:p w:rsidR="00C7478C" w:rsidRPr="00C5614E" w:rsidRDefault="00C7478C" w:rsidP="00C7478C">
      <w:pPr>
        <w:spacing w:line="560" w:lineRule="exact"/>
        <w:ind w:firstLine="600"/>
        <w:rPr>
          <w:rFonts w:ascii="仿宋_GB2312" w:eastAsia="仿宋_GB2312"/>
          <w:color w:val="000000"/>
          <w:sz w:val="30"/>
          <w:szCs w:val="30"/>
        </w:rPr>
      </w:pPr>
      <w:r w:rsidRPr="00C5614E">
        <w:rPr>
          <w:rFonts w:ascii="仿宋_GB2312" w:eastAsia="仿宋_GB2312" w:hint="eastAsia"/>
          <w:color w:val="000000"/>
          <w:sz w:val="30"/>
          <w:szCs w:val="30"/>
        </w:rPr>
        <w:t>期权经营机构自行调低投资者交易权限的，还应当至少提前三个交易日通过纸面或者电子形式告知投资者并予以记录留存。</w:t>
      </w:r>
    </w:p>
    <w:p w:rsidR="00C7478C" w:rsidRPr="00C5614E" w:rsidRDefault="00C7478C" w:rsidP="00C7478C">
      <w:pPr>
        <w:numPr>
          <w:ilvl w:val="0"/>
          <w:numId w:val="1"/>
        </w:numPr>
        <w:spacing w:line="560" w:lineRule="exact"/>
        <w:ind w:left="0" w:firstLineChars="200" w:firstLine="600"/>
        <w:rPr>
          <w:rFonts w:ascii="仿宋_GB2312" w:eastAsia="仿宋_GB2312"/>
          <w:color w:val="000000"/>
          <w:sz w:val="30"/>
          <w:szCs w:val="30"/>
        </w:rPr>
      </w:pPr>
      <w:r w:rsidRPr="00C5614E">
        <w:rPr>
          <w:rFonts w:ascii="仿宋_GB2312" w:eastAsia="仿宋_GB2312" w:hAnsi="黑体" w:hint="eastAsia"/>
          <w:b/>
          <w:color w:val="000000"/>
          <w:sz w:val="30"/>
          <w:szCs w:val="30"/>
        </w:rPr>
        <w:t>（依调整后权限交易）</w:t>
      </w:r>
      <w:r w:rsidRPr="00C5614E">
        <w:rPr>
          <w:rFonts w:ascii="仿宋_GB2312" w:eastAsia="仿宋_GB2312" w:hint="eastAsia"/>
          <w:color w:val="000000"/>
          <w:sz w:val="30"/>
          <w:szCs w:val="30"/>
        </w:rPr>
        <w:t>期权经营机构根据投</w:t>
      </w:r>
      <w:r w:rsidRPr="00C5614E">
        <w:rPr>
          <w:rFonts w:ascii="仿宋_GB2312" w:eastAsia="仿宋_GB2312" w:hint="eastAsia"/>
          <w:color w:val="000000"/>
          <w:sz w:val="30"/>
          <w:szCs w:val="30"/>
        </w:rPr>
        <w:lastRenderedPageBreak/>
        <w:t>资者的申请或者自行调低投资者的交易权限级别的，投资者应当按照调整后的交易权限进行期权交易。</w:t>
      </w:r>
    </w:p>
    <w:p w:rsidR="00C7478C" w:rsidRPr="00C5614E" w:rsidRDefault="00C7478C" w:rsidP="00C7478C">
      <w:pPr>
        <w:numPr>
          <w:ilvl w:val="0"/>
          <w:numId w:val="1"/>
        </w:numPr>
        <w:spacing w:line="560" w:lineRule="exact"/>
        <w:ind w:left="0" w:firstLineChars="200" w:firstLine="600"/>
        <w:rPr>
          <w:rFonts w:ascii="仿宋_GB2312" w:eastAsia="仿宋_GB2312"/>
          <w:color w:val="000000"/>
          <w:sz w:val="30"/>
          <w:szCs w:val="30"/>
        </w:rPr>
      </w:pPr>
      <w:r w:rsidRPr="00C5614E">
        <w:rPr>
          <w:rFonts w:ascii="仿宋_GB2312" w:eastAsia="仿宋_GB2312" w:hAnsi="黑体" w:hint="eastAsia"/>
          <w:b/>
          <w:color w:val="000000"/>
          <w:sz w:val="30"/>
          <w:szCs w:val="30"/>
        </w:rPr>
        <w:t>（前端控制）</w:t>
      </w:r>
      <w:r w:rsidRPr="00C5614E">
        <w:rPr>
          <w:rFonts w:ascii="仿宋_GB2312" w:eastAsia="仿宋_GB2312" w:hint="eastAsia"/>
          <w:color w:val="000000"/>
          <w:sz w:val="30"/>
          <w:szCs w:val="30"/>
        </w:rPr>
        <w:t>期权经营机构应当根据投资者交易权限的分级结果，采取适当方式对投资者的期权交易委托指令进行前端控制，对不符合交易权限的交易委托予以拒绝和制止。</w:t>
      </w:r>
    </w:p>
    <w:p w:rsidR="00C7478C" w:rsidRPr="00C5614E" w:rsidRDefault="00C7478C" w:rsidP="00C7478C">
      <w:pPr>
        <w:numPr>
          <w:ilvl w:val="0"/>
          <w:numId w:val="1"/>
        </w:numPr>
        <w:spacing w:line="560" w:lineRule="exact"/>
        <w:ind w:left="0" w:firstLineChars="200" w:firstLine="600"/>
        <w:rPr>
          <w:rFonts w:ascii="仿宋_GB2312" w:eastAsia="仿宋_GB2312"/>
          <w:color w:val="000000"/>
          <w:sz w:val="30"/>
          <w:szCs w:val="30"/>
        </w:rPr>
      </w:pPr>
      <w:r w:rsidRPr="00C5614E">
        <w:rPr>
          <w:rFonts w:ascii="仿宋_GB2312" w:eastAsia="仿宋_GB2312" w:hAnsi="黑体" w:hint="eastAsia"/>
          <w:b/>
          <w:color w:val="000000"/>
          <w:sz w:val="30"/>
          <w:szCs w:val="30"/>
        </w:rPr>
        <w:t>（差异化服务）</w:t>
      </w:r>
      <w:r w:rsidRPr="00C5614E">
        <w:rPr>
          <w:rFonts w:ascii="仿宋_GB2312" w:eastAsia="仿宋_GB2312" w:hint="eastAsia"/>
          <w:color w:val="000000"/>
          <w:sz w:val="30"/>
          <w:szCs w:val="30"/>
        </w:rPr>
        <w:t>期权经营机构应当参考投资者适当性评估结果，对享有不同交易权限的投资者制定相应的服务方案和管理流程，在期权投资咨询、资产管理、投资者教育等方面提供有针对性的服务，引导客户理性投资。</w:t>
      </w:r>
    </w:p>
    <w:p w:rsidR="00C7478C" w:rsidRPr="00C5614E" w:rsidRDefault="00C7478C" w:rsidP="00C7478C">
      <w:pPr>
        <w:numPr>
          <w:ilvl w:val="0"/>
          <w:numId w:val="1"/>
        </w:numPr>
        <w:spacing w:line="560" w:lineRule="exact"/>
        <w:ind w:left="0" w:firstLineChars="200" w:firstLine="600"/>
        <w:rPr>
          <w:rFonts w:ascii="仿宋_GB2312" w:eastAsia="仿宋_GB2312"/>
          <w:color w:val="000000"/>
          <w:sz w:val="30"/>
          <w:szCs w:val="30"/>
        </w:rPr>
      </w:pPr>
      <w:r w:rsidRPr="00C5614E">
        <w:rPr>
          <w:rFonts w:ascii="仿宋_GB2312" w:eastAsia="仿宋_GB2312" w:hAnsi="黑体" w:hint="eastAsia"/>
          <w:b/>
          <w:color w:val="000000"/>
          <w:sz w:val="30"/>
          <w:szCs w:val="30"/>
        </w:rPr>
        <w:t>（事后监督）</w:t>
      </w:r>
      <w:r w:rsidRPr="00C5614E">
        <w:rPr>
          <w:rFonts w:ascii="仿宋_GB2312" w:eastAsia="仿宋_GB2312" w:hint="eastAsia"/>
          <w:color w:val="000000"/>
          <w:sz w:val="30"/>
          <w:szCs w:val="30"/>
        </w:rPr>
        <w:t>期权经营机构为投资者核定或者调整投资者分级结果后，</w:t>
      </w:r>
      <w:r w:rsidRPr="00C5614E">
        <w:rPr>
          <w:rFonts w:ascii="仿宋_GB2312" w:eastAsia="仿宋_GB2312"/>
          <w:color w:val="000000"/>
          <w:sz w:val="30"/>
          <w:szCs w:val="30"/>
        </w:rPr>
        <w:t xml:space="preserve"> </w:t>
      </w:r>
      <w:r w:rsidRPr="00C5614E">
        <w:rPr>
          <w:rFonts w:ascii="仿宋_GB2312" w:eastAsia="仿宋_GB2312" w:hint="eastAsia"/>
          <w:color w:val="000000"/>
          <w:sz w:val="30"/>
          <w:szCs w:val="30"/>
        </w:rPr>
        <w:t>应当按照本所要求的时间和格式，将投资者的名单及分级结果提交本所。</w:t>
      </w:r>
    </w:p>
    <w:p w:rsidR="00C7478C" w:rsidRPr="00C5614E" w:rsidRDefault="00C7478C" w:rsidP="00C7478C">
      <w:pPr>
        <w:spacing w:line="560" w:lineRule="exact"/>
        <w:ind w:firstLine="600"/>
        <w:rPr>
          <w:rFonts w:ascii="仿宋_GB2312" w:eastAsia="仿宋_GB2312"/>
          <w:color w:val="000000"/>
          <w:sz w:val="30"/>
          <w:szCs w:val="30"/>
        </w:rPr>
      </w:pPr>
      <w:r w:rsidRPr="00C5614E">
        <w:rPr>
          <w:rFonts w:ascii="仿宋_GB2312" w:eastAsia="仿宋_GB2312" w:hint="eastAsia"/>
          <w:color w:val="000000"/>
          <w:sz w:val="30"/>
          <w:szCs w:val="30"/>
        </w:rPr>
        <w:t>本所根据期权经营机构提交的分级结果以及投资者的交易情况，对投资者分级管理规定的执行情况进行事后监督。</w:t>
      </w:r>
    </w:p>
    <w:p w:rsidR="00C7478C" w:rsidRPr="00C5614E" w:rsidRDefault="00C7478C" w:rsidP="00C7478C">
      <w:pPr>
        <w:spacing w:line="560" w:lineRule="exact"/>
        <w:jc w:val="center"/>
        <w:rPr>
          <w:rFonts w:ascii="仿宋_GB2312" w:eastAsia="仿宋_GB2312"/>
          <w:b/>
          <w:color w:val="000000"/>
          <w:sz w:val="30"/>
          <w:szCs w:val="30"/>
        </w:rPr>
      </w:pPr>
      <w:r w:rsidRPr="00C5614E">
        <w:rPr>
          <w:rFonts w:ascii="仿宋_GB2312" w:eastAsia="仿宋_GB2312" w:hint="eastAsia"/>
          <w:b/>
          <w:color w:val="000000"/>
          <w:sz w:val="30"/>
          <w:szCs w:val="30"/>
        </w:rPr>
        <w:t>第四章</w:t>
      </w:r>
      <w:r w:rsidRPr="00C5614E">
        <w:rPr>
          <w:rFonts w:ascii="仿宋_GB2312" w:eastAsia="仿宋_GB2312"/>
          <w:b/>
          <w:color w:val="000000"/>
          <w:sz w:val="30"/>
          <w:szCs w:val="30"/>
        </w:rPr>
        <w:t xml:space="preserve">  </w:t>
      </w:r>
      <w:r w:rsidRPr="00C5614E">
        <w:rPr>
          <w:rFonts w:ascii="仿宋_GB2312" w:eastAsia="仿宋_GB2312" w:hint="eastAsia"/>
          <w:b/>
          <w:color w:val="000000"/>
          <w:sz w:val="30"/>
          <w:szCs w:val="30"/>
        </w:rPr>
        <w:t>投资者教育</w:t>
      </w:r>
    </w:p>
    <w:p w:rsidR="00C7478C" w:rsidRPr="00C5614E" w:rsidRDefault="00C7478C" w:rsidP="00C7478C">
      <w:pPr>
        <w:numPr>
          <w:ilvl w:val="0"/>
          <w:numId w:val="1"/>
        </w:numPr>
        <w:spacing w:line="560" w:lineRule="exact"/>
        <w:ind w:left="0" w:firstLineChars="200" w:firstLine="600"/>
        <w:rPr>
          <w:rFonts w:ascii="仿宋_GB2312" w:eastAsia="仿宋_GB2312"/>
          <w:color w:val="000000"/>
          <w:sz w:val="30"/>
          <w:szCs w:val="30"/>
        </w:rPr>
      </w:pPr>
      <w:r w:rsidRPr="00C5614E">
        <w:rPr>
          <w:rFonts w:ascii="仿宋_GB2312" w:eastAsia="仿宋_GB2312" w:hAnsi="黑体" w:hint="eastAsia"/>
          <w:b/>
          <w:color w:val="000000"/>
          <w:sz w:val="30"/>
          <w:szCs w:val="30"/>
        </w:rPr>
        <w:t>（投资者教育制度）</w:t>
      </w:r>
      <w:r w:rsidRPr="00C5614E">
        <w:rPr>
          <w:rFonts w:ascii="仿宋_GB2312" w:eastAsia="仿宋_GB2312" w:hint="eastAsia"/>
          <w:color w:val="000000"/>
          <w:sz w:val="30"/>
          <w:szCs w:val="30"/>
        </w:rPr>
        <w:t>期权经营机构应当健全期权投资者教育工作制度，设置期权投资者教育专职人员，加强对投资者期权投资知识的培训和指导，并根据投资者的不同需求和特点，对期权投资者教育工作的形式和内容作出具体安排。</w:t>
      </w:r>
    </w:p>
    <w:p w:rsidR="00C7478C" w:rsidRPr="00C5614E" w:rsidRDefault="00C7478C" w:rsidP="00C7478C">
      <w:pPr>
        <w:numPr>
          <w:ilvl w:val="0"/>
          <w:numId w:val="1"/>
        </w:numPr>
        <w:spacing w:line="560" w:lineRule="exact"/>
        <w:ind w:left="0" w:firstLineChars="200" w:firstLine="600"/>
        <w:rPr>
          <w:rFonts w:ascii="仿宋_GB2312" w:eastAsia="仿宋_GB2312"/>
          <w:color w:val="000000"/>
          <w:sz w:val="30"/>
          <w:szCs w:val="30"/>
        </w:rPr>
      </w:pPr>
      <w:r w:rsidRPr="00C5614E">
        <w:rPr>
          <w:rFonts w:ascii="仿宋_GB2312" w:eastAsia="仿宋_GB2312" w:hAnsi="黑体" w:hint="eastAsia"/>
          <w:b/>
          <w:color w:val="000000"/>
          <w:sz w:val="30"/>
          <w:szCs w:val="30"/>
        </w:rPr>
        <w:t>（投资者教育方式及内容）</w:t>
      </w:r>
      <w:r w:rsidRPr="00C5614E">
        <w:rPr>
          <w:rFonts w:ascii="仿宋_GB2312" w:eastAsia="仿宋_GB2312" w:hint="eastAsia"/>
          <w:color w:val="000000"/>
          <w:sz w:val="30"/>
          <w:szCs w:val="30"/>
        </w:rPr>
        <w:t>期权经营机构应当在公司网站及营业部现场，开设期权投资者教育专栏，并持续利用交易系统、电子邮件、短信等有效方式，全面介绍期权投资知识，宣传期权法律法规、部门规章与业务规则，充分揭示期权交易风险。</w:t>
      </w:r>
    </w:p>
    <w:p w:rsidR="00C7478C" w:rsidRPr="00C5614E" w:rsidRDefault="00C7478C" w:rsidP="00C7478C">
      <w:pPr>
        <w:numPr>
          <w:ilvl w:val="0"/>
          <w:numId w:val="1"/>
        </w:numPr>
        <w:spacing w:line="560" w:lineRule="exact"/>
        <w:ind w:left="0" w:firstLineChars="200" w:firstLine="600"/>
        <w:rPr>
          <w:rFonts w:ascii="仿宋_GB2312" w:eastAsia="仿宋_GB2312"/>
          <w:color w:val="000000"/>
          <w:sz w:val="30"/>
          <w:szCs w:val="30"/>
        </w:rPr>
      </w:pPr>
      <w:r w:rsidRPr="00C5614E">
        <w:rPr>
          <w:rFonts w:ascii="仿宋_GB2312" w:eastAsia="仿宋_GB2312" w:hAnsi="黑体" w:hint="eastAsia"/>
          <w:b/>
          <w:color w:val="000000"/>
          <w:sz w:val="30"/>
          <w:szCs w:val="30"/>
        </w:rPr>
        <w:lastRenderedPageBreak/>
        <w:t>（投资者教育专区）</w:t>
      </w:r>
      <w:r w:rsidRPr="00C5614E">
        <w:rPr>
          <w:rFonts w:ascii="仿宋_GB2312" w:eastAsia="仿宋_GB2312" w:hint="eastAsia"/>
          <w:color w:val="000000"/>
          <w:sz w:val="30"/>
          <w:szCs w:val="30"/>
        </w:rPr>
        <w:t>期权经营机构应当在公司网站建立与本所投资者教育网站股票期权投教专区的链接，并根据需要或本所要求，及时向投资者发布本所提供的有关期权投资者教育的相关资料。</w:t>
      </w:r>
    </w:p>
    <w:p w:rsidR="00C7478C" w:rsidRPr="00C5614E" w:rsidRDefault="00C7478C" w:rsidP="00C7478C">
      <w:pPr>
        <w:numPr>
          <w:ilvl w:val="0"/>
          <w:numId w:val="1"/>
        </w:numPr>
        <w:spacing w:line="560" w:lineRule="exact"/>
        <w:ind w:left="0" w:firstLineChars="200" w:firstLine="600"/>
        <w:rPr>
          <w:rFonts w:ascii="仿宋_GB2312" w:eastAsia="仿宋_GB2312"/>
          <w:color w:val="000000"/>
          <w:sz w:val="30"/>
          <w:szCs w:val="30"/>
        </w:rPr>
      </w:pPr>
      <w:r w:rsidRPr="00C5614E">
        <w:rPr>
          <w:rFonts w:ascii="仿宋_GB2312" w:eastAsia="仿宋_GB2312" w:hAnsi="黑体" w:hint="eastAsia"/>
          <w:b/>
          <w:color w:val="000000"/>
          <w:sz w:val="30"/>
          <w:szCs w:val="30"/>
        </w:rPr>
        <w:t>（信息发布）</w:t>
      </w:r>
      <w:r w:rsidRPr="00C5614E">
        <w:rPr>
          <w:rFonts w:ascii="仿宋_GB2312" w:eastAsia="仿宋_GB2312" w:hint="eastAsia"/>
          <w:color w:val="000000"/>
          <w:sz w:val="30"/>
          <w:szCs w:val="30"/>
        </w:rPr>
        <w:t>期权经营机构应当将本所发布的与期权相关的市场通知、风险提示、停复牌公告等重要信息，通过行情系统、网上交易系统等有效方式及时向投资者发布。</w:t>
      </w:r>
    </w:p>
    <w:p w:rsidR="00C7478C" w:rsidRPr="00C5614E" w:rsidRDefault="00C7478C" w:rsidP="00C7478C">
      <w:pPr>
        <w:spacing w:line="560" w:lineRule="exact"/>
        <w:ind w:firstLine="602"/>
        <w:jc w:val="center"/>
        <w:rPr>
          <w:rFonts w:ascii="仿宋_GB2312" w:eastAsia="仿宋_GB2312"/>
          <w:b/>
          <w:color w:val="000000"/>
          <w:sz w:val="30"/>
          <w:szCs w:val="30"/>
        </w:rPr>
      </w:pPr>
      <w:r w:rsidRPr="00C5614E">
        <w:rPr>
          <w:rFonts w:ascii="仿宋_GB2312" w:eastAsia="仿宋_GB2312" w:hint="eastAsia"/>
          <w:b/>
          <w:color w:val="000000"/>
          <w:sz w:val="30"/>
          <w:szCs w:val="30"/>
        </w:rPr>
        <w:t>第五章</w:t>
      </w:r>
      <w:r w:rsidRPr="00C5614E">
        <w:rPr>
          <w:rFonts w:ascii="仿宋_GB2312" w:eastAsia="仿宋_GB2312"/>
          <w:b/>
          <w:color w:val="000000"/>
          <w:sz w:val="30"/>
          <w:szCs w:val="30"/>
        </w:rPr>
        <w:t xml:space="preserve"> </w:t>
      </w:r>
      <w:r w:rsidRPr="00C5614E">
        <w:rPr>
          <w:rFonts w:ascii="仿宋_GB2312" w:eastAsia="仿宋_GB2312" w:hint="eastAsia"/>
          <w:b/>
          <w:color w:val="000000"/>
          <w:sz w:val="30"/>
          <w:szCs w:val="30"/>
        </w:rPr>
        <w:t>附则</w:t>
      </w:r>
    </w:p>
    <w:p w:rsidR="00C7478C" w:rsidRPr="00C5614E" w:rsidRDefault="00C7478C" w:rsidP="00C7478C">
      <w:pPr>
        <w:numPr>
          <w:ilvl w:val="0"/>
          <w:numId w:val="1"/>
        </w:numPr>
        <w:spacing w:line="560" w:lineRule="exact"/>
        <w:ind w:left="0" w:firstLineChars="200" w:firstLine="600"/>
        <w:rPr>
          <w:rFonts w:ascii="仿宋_GB2312" w:eastAsia="仿宋_GB2312"/>
          <w:color w:val="000000"/>
          <w:sz w:val="30"/>
          <w:szCs w:val="30"/>
        </w:rPr>
      </w:pPr>
      <w:r w:rsidRPr="00C5614E">
        <w:rPr>
          <w:rFonts w:ascii="仿宋_GB2312" w:eastAsia="仿宋_GB2312" w:hAnsi="黑体" w:hint="eastAsia"/>
          <w:b/>
          <w:color w:val="000000"/>
          <w:sz w:val="30"/>
          <w:szCs w:val="30"/>
        </w:rPr>
        <w:t>（监督检查）</w:t>
      </w:r>
      <w:r w:rsidRPr="00C5614E">
        <w:rPr>
          <w:rFonts w:ascii="仿宋_GB2312" w:eastAsia="仿宋_GB2312" w:hint="eastAsia"/>
          <w:color w:val="000000"/>
          <w:sz w:val="30"/>
          <w:szCs w:val="30"/>
        </w:rPr>
        <w:t>本所对期权经营机构落实投资者适当性管理制度相关要求的情况进行检查时，期权经营机构应当配合，如实提供投资者开户材料、资金账户情况等资料，不得隐瞒、阻碍或拒绝。</w:t>
      </w:r>
    </w:p>
    <w:p w:rsidR="00C7478C" w:rsidRPr="00C5614E" w:rsidRDefault="00C7478C" w:rsidP="00C7478C">
      <w:pPr>
        <w:numPr>
          <w:ilvl w:val="0"/>
          <w:numId w:val="1"/>
        </w:numPr>
        <w:spacing w:line="560" w:lineRule="exact"/>
        <w:ind w:left="0" w:firstLineChars="200" w:firstLine="600"/>
        <w:rPr>
          <w:rFonts w:ascii="仿宋_GB2312" w:eastAsia="仿宋_GB2312"/>
          <w:color w:val="000000"/>
          <w:sz w:val="30"/>
          <w:szCs w:val="30"/>
        </w:rPr>
      </w:pPr>
      <w:r w:rsidRPr="00C5614E">
        <w:rPr>
          <w:rFonts w:ascii="仿宋_GB2312" w:eastAsia="仿宋_GB2312" w:hAnsi="黑体" w:hint="eastAsia"/>
          <w:b/>
          <w:color w:val="000000"/>
          <w:sz w:val="30"/>
          <w:szCs w:val="30"/>
        </w:rPr>
        <w:t>（监管措施与纪律处分）</w:t>
      </w:r>
      <w:r w:rsidRPr="00C5614E">
        <w:rPr>
          <w:rFonts w:ascii="仿宋_GB2312" w:eastAsia="仿宋_GB2312" w:hint="eastAsia"/>
          <w:color w:val="000000"/>
          <w:sz w:val="30"/>
          <w:szCs w:val="30"/>
        </w:rPr>
        <w:t>期权经营机构、投资者违反本指引规定的，本所可以依据《期权交易规则》及其他相关规定，对其采取相应的监管措施或实施纪律处分，并计入诚信记录。</w:t>
      </w:r>
    </w:p>
    <w:p w:rsidR="00C7478C" w:rsidRPr="00C5614E" w:rsidRDefault="00C7478C" w:rsidP="00C7478C">
      <w:pPr>
        <w:numPr>
          <w:ilvl w:val="0"/>
          <w:numId w:val="1"/>
        </w:numPr>
        <w:spacing w:line="560" w:lineRule="exact"/>
        <w:ind w:left="0" w:firstLineChars="200" w:firstLine="600"/>
        <w:rPr>
          <w:rFonts w:ascii="仿宋_GB2312" w:eastAsia="仿宋_GB2312"/>
          <w:color w:val="000000"/>
          <w:sz w:val="30"/>
          <w:szCs w:val="30"/>
        </w:rPr>
      </w:pPr>
      <w:r w:rsidRPr="00C5614E">
        <w:rPr>
          <w:rFonts w:ascii="仿宋_GB2312" w:eastAsia="仿宋_GB2312" w:hAnsi="黑体" w:hint="eastAsia"/>
          <w:b/>
          <w:color w:val="000000"/>
          <w:sz w:val="30"/>
          <w:szCs w:val="30"/>
        </w:rPr>
        <w:t>（解释）</w:t>
      </w:r>
      <w:r w:rsidRPr="00C5614E">
        <w:rPr>
          <w:rFonts w:ascii="仿宋_GB2312" w:eastAsia="仿宋_GB2312" w:hint="eastAsia"/>
          <w:color w:val="000000"/>
          <w:sz w:val="30"/>
          <w:szCs w:val="30"/>
        </w:rPr>
        <w:t>本指引由本所负责解释。</w:t>
      </w:r>
    </w:p>
    <w:p w:rsidR="00C7478C" w:rsidRPr="00814A22" w:rsidRDefault="00C7478C" w:rsidP="00C7478C">
      <w:pPr>
        <w:numPr>
          <w:ilvl w:val="0"/>
          <w:numId w:val="1"/>
        </w:numPr>
        <w:spacing w:line="560" w:lineRule="exact"/>
        <w:ind w:left="0" w:firstLineChars="200" w:firstLine="600"/>
        <w:rPr>
          <w:rFonts w:ascii="仿宋_GB2312" w:eastAsia="仿宋_GB2312" w:hAnsi="黑体"/>
          <w:b/>
          <w:color w:val="000000"/>
          <w:sz w:val="30"/>
          <w:szCs w:val="30"/>
        </w:rPr>
      </w:pPr>
      <w:r w:rsidRPr="00C5614E">
        <w:rPr>
          <w:rFonts w:ascii="仿宋_GB2312" w:eastAsia="仿宋_GB2312" w:hAnsi="黑体" w:hint="eastAsia"/>
          <w:b/>
          <w:color w:val="000000"/>
          <w:sz w:val="30"/>
          <w:szCs w:val="30"/>
        </w:rPr>
        <w:t>（生效日期）</w:t>
      </w:r>
      <w:r w:rsidRPr="00C5614E">
        <w:rPr>
          <w:rFonts w:ascii="仿宋_GB2312" w:eastAsia="仿宋_GB2312" w:hint="eastAsia"/>
          <w:color w:val="000000"/>
          <w:sz w:val="30"/>
          <w:szCs w:val="30"/>
        </w:rPr>
        <w:t>本指引自发布之日起施行。</w:t>
      </w:r>
    </w:p>
    <w:p w:rsidR="00C7478C" w:rsidRDefault="00C7478C" w:rsidP="00C7478C">
      <w:pPr>
        <w:spacing w:line="540" w:lineRule="exact"/>
        <w:jc w:val="center"/>
        <w:rPr>
          <w:rFonts w:ascii="黑体" w:eastAsia="黑体" w:hAnsi="黑体"/>
          <w:b/>
          <w:color w:val="000000"/>
          <w:kern w:val="44"/>
          <w:sz w:val="44"/>
          <w:szCs w:val="44"/>
        </w:rPr>
      </w:pPr>
      <w:r>
        <w:rPr>
          <w:rFonts w:ascii="仿宋_GB2312" w:eastAsia="仿宋_GB2312" w:hAnsi="黑体"/>
          <w:b/>
          <w:color w:val="000000"/>
          <w:sz w:val="30"/>
          <w:szCs w:val="30"/>
        </w:rPr>
        <w:br w:type="page"/>
      </w:r>
      <w:r w:rsidRPr="000C1723">
        <w:rPr>
          <w:rFonts w:ascii="黑体" w:eastAsia="黑体" w:hAnsi="黑体" w:hint="eastAsia"/>
          <w:b/>
          <w:color w:val="000000"/>
          <w:kern w:val="44"/>
          <w:sz w:val="44"/>
          <w:szCs w:val="44"/>
        </w:rPr>
        <w:lastRenderedPageBreak/>
        <w:t>上海证券交易所股票期权试点投资者</w:t>
      </w:r>
    </w:p>
    <w:p w:rsidR="00C7478C" w:rsidRPr="000C1723" w:rsidRDefault="00C7478C" w:rsidP="00C7478C">
      <w:pPr>
        <w:spacing w:line="540" w:lineRule="exact"/>
        <w:jc w:val="center"/>
        <w:rPr>
          <w:rFonts w:ascii="黑体" w:eastAsia="黑体" w:hAnsi="黑体"/>
          <w:b/>
          <w:color w:val="000000"/>
          <w:kern w:val="44"/>
          <w:sz w:val="44"/>
          <w:szCs w:val="44"/>
        </w:rPr>
      </w:pPr>
      <w:r w:rsidRPr="000C1723">
        <w:rPr>
          <w:rFonts w:ascii="黑体" w:eastAsia="黑体" w:hAnsi="黑体" w:hint="eastAsia"/>
          <w:b/>
          <w:color w:val="000000"/>
          <w:kern w:val="44"/>
          <w:sz w:val="44"/>
          <w:szCs w:val="44"/>
        </w:rPr>
        <w:t>适当性管理指引起草说明</w:t>
      </w:r>
    </w:p>
    <w:p w:rsidR="00C7478C" w:rsidRPr="00B20010" w:rsidRDefault="00C7478C" w:rsidP="00C7478C">
      <w:pPr>
        <w:spacing w:line="540" w:lineRule="exact"/>
        <w:rPr>
          <w:rFonts w:ascii="仿宋_GB2312" w:eastAsia="仿宋_GB2312"/>
          <w:sz w:val="30"/>
          <w:szCs w:val="30"/>
        </w:rPr>
      </w:pPr>
    </w:p>
    <w:p w:rsidR="00C7478C" w:rsidRPr="00B20010" w:rsidRDefault="00C7478C" w:rsidP="00C7478C">
      <w:pPr>
        <w:spacing w:line="540" w:lineRule="exact"/>
        <w:ind w:firstLineChars="200" w:firstLine="600"/>
        <w:rPr>
          <w:rFonts w:ascii="仿宋_GB2312" w:eastAsia="仿宋_GB2312" w:hAnsi="仿宋"/>
          <w:sz w:val="30"/>
          <w:szCs w:val="30"/>
        </w:rPr>
      </w:pPr>
      <w:r w:rsidRPr="00B20010">
        <w:rPr>
          <w:rFonts w:ascii="仿宋_GB2312" w:eastAsia="仿宋_GB2312" w:hAnsi="仿宋" w:hint="eastAsia"/>
          <w:sz w:val="30"/>
          <w:szCs w:val="30"/>
        </w:rPr>
        <w:t>为了进一步规范期权业务投资者适当性管理工作，引导投资者理性参与期权交易，切实保护投资者合法权益，根据《上海证券交易所股票期权试点交易规则》及其他相关业务规则，</w:t>
      </w:r>
      <w:r w:rsidRPr="00760C64">
        <w:rPr>
          <w:rFonts w:ascii="仿宋_GB2312" w:eastAsia="仿宋_GB2312" w:hAnsi="仿宋" w:hint="eastAsia"/>
          <w:sz w:val="30"/>
          <w:szCs w:val="30"/>
        </w:rPr>
        <w:t>上海证券交易所（以下简称“本所”）</w:t>
      </w:r>
      <w:r w:rsidRPr="00B20010">
        <w:rPr>
          <w:rFonts w:ascii="仿宋_GB2312" w:eastAsia="仿宋_GB2312" w:hAnsi="仿宋" w:hint="eastAsia"/>
          <w:sz w:val="30"/>
          <w:szCs w:val="30"/>
        </w:rPr>
        <w:t>制定了《上海证券交易所股票期权试点业务投资者适当性管理指引》（以下简称</w:t>
      </w:r>
      <w:r>
        <w:rPr>
          <w:rFonts w:ascii="仿宋_GB2312" w:eastAsia="仿宋_GB2312" w:hAnsi="仿宋" w:hint="eastAsia"/>
          <w:sz w:val="30"/>
          <w:szCs w:val="30"/>
        </w:rPr>
        <w:t>“</w:t>
      </w:r>
      <w:r w:rsidRPr="00B20010">
        <w:rPr>
          <w:rFonts w:ascii="仿宋_GB2312" w:eastAsia="仿宋_GB2312" w:hAnsi="仿宋" w:hint="eastAsia"/>
          <w:sz w:val="30"/>
          <w:szCs w:val="30"/>
        </w:rPr>
        <w:t>《指引》</w:t>
      </w:r>
      <w:r>
        <w:rPr>
          <w:rFonts w:ascii="仿宋_GB2312" w:eastAsia="仿宋_GB2312" w:hAnsi="仿宋" w:hint="eastAsia"/>
          <w:sz w:val="30"/>
          <w:szCs w:val="30"/>
        </w:rPr>
        <w:t>”</w:t>
      </w:r>
      <w:r w:rsidRPr="00B20010">
        <w:rPr>
          <w:rFonts w:ascii="仿宋_GB2312" w:eastAsia="仿宋_GB2312" w:hAnsi="仿宋" w:hint="eastAsia"/>
          <w:sz w:val="30"/>
          <w:szCs w:val="30"/>
        </w:rPr>
        <w:t>）</w:t>
      </w:r>
      <w:r>
        <w:rPr>
          <w:rFonts w:ascii="仿宋_GB2312" w:eastAsia="仿宋_GB2312" w:hAnsi="仿宋" w:hint="eastAsia"/>
          <w:sz w:val="30"/>
          <w:szCs w:val="30"/>
        </w:rPr>
        <w:t>。</w:t>
      </w:r>
      <w:r w:rsidRPr="00B20010">
        <w:rPr>
          <w:rFonts w:ascii="仿宋_GB2312" w:eastAsia="仿宋_GB2312" w:hAnsi="仿宋" w:hint="eastAsia"/>
          <w:sz w:val="30"/>
          <w:szCs w:val="30"/>
        </w:rPr>
        <w:t>现就有关情况说明如下。</w:t>
      </w:r>
    </w:p>
    <w:p w:rsidR="00C7478C" w:rsidRPr="000C1723" w:rsidRDefault="00C7478C" w:rsidP="00C7478C">
      <w:pPr>
        <w:spacing w:line="540" w:lineRule="exact"/>
        <w:ind w:firstLineChars="200" w:firstLine="602"/>
        <w:outlineLvl w:val="0"/>
        <w:rPr>
          <w:rFonts w:ascii="黑体" w:eastAsia="黑体"/>
          <w:b/>
          <w:sz w:val="30"/>
          <w:szCs w:val="30"/>
        </w:rPr>
      </w:pPr>
      <w:r w:rsidRPr="000C1723">
        <w:rPr>
          <w:rFonts w:ascii="黑体" w:eastAsia="黑体" w:hint="eastAsia"/>
          <w:b/>
          <w:sz w:val="30"/>
          <w:szCs w:val="30"/>
        </w:rPr>
        <w:t>一、《指引》的定位和基本原则</w:t>
      </w:r>
    </w:p>
    <w:p w:rsidR="00C7478C" w:rsidRPr="00B20010" w:rsidRDefault="00C7478C" w:rsidP="00C7478C">
      <w:pPr>
        <w:spacing w:line="540" w:lineRule="exact"/>
        <w:ind w:firstLineChars="200" w:firstLine="600"/>
        <w:rPr>
          <w:rFonts w:ascii="仿宋_GB2312" w:eastAsia="仿宋_GB2312" w:hAnsi="仿宋"/>
          <w:sz w:val="30"/>
          <w:szCs w:val="30"/>
        </w:rPr>
      </w:pPr>
      <w:r w:rsidRPr="00B20010">
        <w:rPr>
          <w:rFonts w:ascii="仿宋_GB2312" w:eastAsia="仿宋_GB2312" w:hAnsi="仿宋" w:hint="eastAsia"/>
          <w:sz w:val="30"/>
          <w:szCs w:val="30"/>
        </w:rPr>
        <w:t>与股票、债券等传统金融产品相比，期权具有杠杆高、专业性强、风险大等特点，要求投资者必须熟悉产品知识与交易规则、具有</w:t>
      </w:r>
      <w:r>
        <w:rPr>
          <w:rFonts w:ascii="仿宋_GB2312" w:eastAsia="仿宋_GB2312" w:hAnsi="仿宋" w:hint="eastAsia"/>
          <w:sz w:val="30"/>
          <w:szCs w:val="30"/>
        </w:rPr>
        <w:t>一定</w:t>
      </w:r>
      <w:r w:rsidRPr="00B20010">
        <w:rPr>
          <w:rFonts w:ascii="仿宋_GB2312" w:eastAsia="仿宋_GB2312" w:hAnsi="仿宋" w:hint="eastAsia"/>
          <w:sz w:val="30"/>
          <w:szCs w:val="30"/>
        </w:rPr>
        <w:t>的风险承受能力。《指引》旨在为期权市场设置适当的程序和要求，建立与期权风险特征相匹配的投资者适当性制度，从源头和制度上深化投资者风险教育，真正做到保护投资者合法权益。《指引》的制定主要遵循以下原则：</w:t>
      </w:r>
    </w:p>
    <w:p w:rsidR="00C7478C" w:rsidRDefault="00C7478C" w:rsidP="00C7478C">
      <w:pPr>
        <w:spacing w:line="540" w:lineRule="exact"/>
        <w:ind w:firstLineChars="200" w:firstLine="600"/>
        <w:rPr>
          <w:rFonts w:ascii="仿宋_GB2312" w:eastAsia="仿宋_GB2312" w:hAnsi="仿宋"/>
          <w:b/>
          <w:sz w:val="30"/>
          <w:szCs w:val="30"/>
        </w:rPr>
      </w:pPr>
      <w:r w:rsidRPr="00B20010">
        <w:rPr>
          <w:rFonts w:ascii="仿宋_GB2312" w:eastAsia="仿宋_GB2312" w:hAnsi="仿宋" w:hint="eastAsia"/>
          <w:b/>
          <w:sz w:val="30"/>
          <w:szCs w:val="30"/>
        </w:rPr>
        <w:t>（一）将适当的产品或服务提供给适当的投资者</w:t>
      </w:r>
    </w:p>
    <w:p w:rsidR="00C7478C" w:rsidRPr="00B20010" w:rsidRDefault="00C7478C" w:rsidP="00C7478C">
      <w:pPr>
        <w:spacing w:line="540" w:lineRule="exact"/>
        <w:ind w:firstLineChars="200" w:firstLine="600"/>
        <w:rPr>
          <w:rFonts w:ascii="仿宋_GB2312" w:eastAsia="仿宋_GB2312" w:hAnsi="仿宋"/>
          <w:b/>
          <w:sz w:val="30"/>
          <w:szCs w:val="30"/>
        </w:rPr>
      </w:pPr>
      <w:r>
        <w:rPr>
          <w:rFonts w:ascii="仿宋_GB2312" w:eastAsia="仿宋_GB2312" w:hAnsi="仿宋" w:hint="eastAsia"/>
          <w:sz w:val="30"/>
          <w:szCs w:val="30"/>
        </w:rPr>
        <w:t>期权经营机构</w:t>
      </w:r>
      <w:r w:rsidRPr="00B20010">
        <w:rPr>
          <w:rFonts w:ascii="仿宋_GB2312" w:eastAsia="仿宋_GB2312" w:hAnsi="仿宋" w:hint="eastAsia"/>
          <w:sz w:val="30"/>
          <w:szCs w:val="30"/>
        </w:rPr>
        <w:t>既要根据</w:t>
      </w:r>
      <w:r>
        <w:rPr>
          <w:rFonts w:ascii="仿宋_GB2312" w:eastAsia="仿宋_GB2312" w:hAnsi="仿宋" w:hint="eastAsia"/>
          <w:sz w:val="30"/>
          <w:szCs w:val="30"/>
        </w:rPr>
        <w:t>期权</w:t>
      </w:r>
      <w:r w:rsidRPr="00B20010">
        <w:rPr>
          <w:rFonts w:ascii="仿宋_GB2312" w:eastAsia="仿宋_GB2312" w:hAnsi="仿宋" w:hint="eastAsia"/>
          <w:sz w:val="30"/>
          <w:szCs w:val="30"/>
        </w:rPr>
        <w:t>产品的基本特点、复杂程度、风险等级，落实产品风险分级管理制度，充分披露可能影响</w:t>
      </w:r>
      <w:r>
        <w:rPr>
          <w:rFonts w:ascii="仿宋_GB2312" w:eastAsia="仿宋_GB2312" w:hAnsi="仿宋" w:hint="eastAsia"/>
          <w:sz w:val="30"/>
          <w:szCs w:val="30"/>
        </w:rPr>
        <w:t>投资者</w:t>
      </w:r>
      <w:r w:rsidRPr="00B20010">
        <w:rPr>
          <w:rFonts w:ascii="仿宋_GB2312" w:eastAsia="仿宋_GB2312" w:hAnsi="仿宋" w:hint="eastAsia"/>
          <w:sz w:val="30"/>
          <w:szCs w:val="30"/>
        </w:rPr>
        <w:t>权益的各类信息，又要根据投资目标、资金实力、投资经验、财务状况、风险偏好以及诚信记录等因素，评估不同投资者的风险承受能力，从而将适当的产品或服务提供给适当的投资者。《指引》根据这一原则，规定了投资者参与期权交易的各项基本条件，并建立了投资者适当性综合评估及分级管理制度，明确了期权经营机构对投资者的风险提示和持续管理服务的职责。</w:t>
      </w:r>
    </w:p>
    <w:p w:rsidR="00C7478C" w:rsidRDefault="00C7478C" w:rsidP="00C7478C">
      <w:pPr>
        <w:spacing w:line="540" w:lineRule="exact"/>
        <w:ind w:firstLineChars="200" w:firstLine="600"/>
        <w:rPr>
          <w:rFonts w:ascii="仿宋_GB2312" w:eastAsia="仿宋_GB2312" w:hAnsi="仿宋"/>
          <w:b/>
          <w:sz w:val="30"/>
          <w:szCs w:val="30"/>
        </w:rPr>
      </w:pPr>
      <w:r w:rsidRPr="00B20010">
        <w:rPr>
          <w:rFonts w:ascii="仿宋_GB2312" w:eastAsia="仿宋_GB2312" w:hAnsi="仿宋" w:hint="eastAsia"/>
          <w:b/>
          <w:sz w:val="30"/>
          <w:szCs w:val="30"/>
        </w:rPr>
        <w:lastRenderedPageBreak/>
        <w:t>（二）前端控制与持续管理相结合</w:t>
      </w:r>
    </w:p>
    <w:p w:rsidR="00C7478C" w:rsidRPr="00B20010" w:rsidRDefault="00C7478C" w:rsidP="00C7478C">
      <w:pPr>
        <w:spacing w:line="540" w:lineRule="exact"/>
        <w:ind w:firstLineChars="200" w:firstLine="600"/>
        <w:rPr>
          <w:rFonts w:ascii="仿宋_GB2312" w:eastAsia="仿宋_GB2312" w:hAnsi="仿宋"/>
          <w:sz w:val="30"/>
          <w:szCs w:val="30"/>
        </w:rPr>
      </w:pPr>
      <w:r w:rsidRPr="00B20010">
        <w:rPr>
          <w:rFonts w:ascii="仿宋_GB2312" w:eastAsia="仿宋_GB2312" w:hAnsi="仿宋" w:hint="eastAsia"/>
          <w:sz w:val="30"/>
          <w:szCs w:val="30"/>
        </w:rPr>
        <w:t>鉴于期权的基本特点，《指引》设置了</w:t>
      </w:r>
      <w:r>
        <w:rPr>
          <w:rFonts w:ascii="仿宋_GB2312" w:eastAsia="仿宋_GB2312" w:hAnsi="仿宋" w:hint="eastAsia"/>
          <w:sz w:val="30"/>
          <w:szCs w:val="30"/>
        </w:rPr>
        <w:t>相应</w:t>
      </w:r>
      <w:r w:rsidRPr="00B20010">
        <w:rPr>
          <w:rFonts w:ascii="仿宋_GB2312" w:eastAsia="仿宋_GB2312" w:hAnsi="仿宋" w:hint="eastAsia"/>
          <w:sz w:val="30"/>
          <w:szCs w:val="30"/>
        </w:rPr>
        <w:t>的投资者准入门槛，要求</w:t>
      </w:r>
      <w:r>
        <w:rPr>
          <w:rFonts w:ascii="仿宋_GB2312" w:eastAsia="仿宋_GB2312" w:hAnsi="仿宋" w:hint="eastAsia"/>
          <w:sz w:val="30"/>
          <w:szCs w:val="30"/>
        </w:rPr>
        <w:t>期权经营机构</w:t>
      </w:r>
      <w:r w:rsidRPr="00B20010">
        <w:rPr>
          <w:rFonts w:ascii="仿宋_GB2312" w:eastAsia="仿宋_GB2312" w:hAnsi="仿宋" w:hint="eastAsia"/>
          <w:sz w:val="30"/>
          <w:szCs w:val="30"/>
        </w:rPr>
        <w:t>在开户前对投资者进行适当性综合评估和风险承受能力专项评估。同时，明确了以投资者</w:t>
      </w:r>
      <w:r>
        <w:rPr>
          <w:rFonts w:ascii="仿宋_GB2312" w:eastAsia="仿宋_GB2312" w:hAnsi="仿宋" w:hint="eastAsia"/>
          <w:sz w:val="30"/>
          <w:szCs w:val="30"/>
        </w:rPr>
        <w:t>交易权限</w:t>
      </w:r>
      <w:r w:rsidRPr="00B20010">
        <w:rPr>
          <w:rFonts w:ascii="仿宋_GB2312" w:eastAsia="仿宋_GB2312" w:hAnsi="仿宋" w:hint="eastAsia"/>
          <w:sz w:val="30"/>
          <w:szCs w:val="30"/>
        </w:rPr>
        <w:t>分级管理为核心的持续管理内容，期权经营机构可以按照《指引》对分级结果进行动态调整，并应及时进行风险提示，根据投资者情况进行分类管理，通过各种形式做好投资者教育工作和服务工作。</w:t>
      </w:r>
    </w:p>
    <w:p w:rsidR="00C7478C" w:rsidRDefault="00C7478C" w:rsidP="00C7478C">
      <w:pPr>
        <w:spacing w:line="540" w:lineRule="exact"/>
        <w:ind w:firstLineChars="200" w:firstLine="600"/>
        <w:rPr>
          <w:rFonts w:ascii="仿宋_GB2312" w:eastAsia="仿宋_GB2312" w:hAnsi="仿宋"/>
          <w:b/>
          <w:sz w:val="30"/>
          <w:szCs w:val="30"/>
        </w:rPr>
      </w:pPr>
      <w:r w:rsidRPr="00B20010">
        <w:rPr>
          <w:rFonts w:ascii="仿宋_GB2312" w:eastAsia="仿宋_GB2312" w:hAnsi="仿宋" w:hint="eastAsia"/>
          <w:b/>
          <w:sz w:val="30"/>
          <w:szCs w:val="30"/>
        </w:rPr>
        <w:t>（三）归位尽责与“买者自负”相结合</w:t>
      </w:r>
    </w:p>
    <w:p w:rsidR="00C7478C" w:rsidRPr="00B20010" w:rsidRDefault="00C7478C" w:rsidP="00C7478C">
      <w:pPr>
        <w:spacing w:line="540" w:lineRule="exact"/>
        <w:ind w:firstLineChars="200" w:firstLine="600"/>
        <w:rPr>
          <w:rFonts w:ascii="仿宋_GB2312" w:eastAsia="仿宋_GB2312" w:hAnsi="仿宋"/>
          <w:b/>
          <w:sz w:val="30"/>
          <w:szCs w:val="30"/>
        </w:rPr>
      </w:pPr>
      <w:r w:rsidRPr="00B20010">
        <w:rPr>
          <w:rFonts w:ascii="仿宋_GB2312" w:eastAsia="仿宋_GB2312" w:hAnsi="仿宋" w:hint="eastAsia"/>
          <w:sz w:val="30"/>
          <w:szCs w:val="30"/>
        </w:rPr>
        <w:t>期权经营机构应当建立投资者适当性管理的操作指引和相关工作制度，严格核查投资者的各项条件，落实分级管理的各项要求，充分地揭示风险。投资者应全面评估自身的产品认知能力和风险承受能力，如实申报开户申请资料，审慎、理性地决定是否参与期权交易，承担期权交易的履约责任和投资风险。</w:t>
      </w:r>
    </w:p>
    <w:p w:rsidR="00C7478C" w:rsidRPr="000C1723" w:rsidRDefault="00C7478C" w:rsidP="00C7478C">
      <w:pPr>
        <w:spacing w:line="540" w:lineRule="exact"/>
        <w:ind w:firstLineChars="200" w:firstLine="602"/>
        <w:outlineLvl w:val="0"/>
        <w:rPr>
          <w:rFonts w:ascii="黑体" w:eastAsia="黑体"/>
          <w:b/>
          <w:sz w:val="30"/>
          <w:szCs w:val="30"/>
        </w:rPr>
      </w:pPr>
      <w:r w:rsidRPr="000C1723">
        <w:rPr>
          <w:rFonts w:ascii="黑体" w:eastAsia="黑体" w:hint="eastAsia"/>
          <w:b/>
          <w:sz w:val="30"/>
          <w:szCs w:val="30"/>
        </w:rPr>
        <w:t>二、《指引》的主要内容</w:t>
      </w:r>
    </w:p>
    <w:p w:rsidR="00C7478C" w:rsidRPr="00B20010" w:rsidRDefault="00C7478C" w:rsidP="00C7478C">
      <w:pPr>
        <w:spacing w:line="540" w:lineRule="exact"/>
        <w:ind w:firstLineChars="200" w:firstLine="600"/>
        <w:rPr>
          <w:rFonts w:ascii="仿宋_GB2312" w:eastAsia="仿宋_GB2312" w:hAnsi="仿宋"/>
          <w:sz w:val="30"/>
          <w:szCs w:val="30"/>
        </w:rPr>
      </w:pPr>
      <w:r w:rsidRPr="00B20010">
        <w:rPr>
          <w:rFonts w:ascii="仿宋_GB2312" w:eastAsia="仿宋_GB2312" w:hAnsi="仿宋" w:hint="eastAsia"/>
          <w:sz w:val="30"/>
          <w:szCs w:val="30"/>
        </w:rPr>
        <w:t>《指引》共计</w:t>
      </w:r>
      <w:r>
        <w:rPr>
          <w:rFonts w:ascii="仿宋_GB2312" w:eastAsia="仿宋_GB2312" w:hAnsi="仿宋"/>
          <w:sz w:val="30"/>
          <w:szCs w:val="30"/>
        </w:rPr>
        <w:t>5</w:t>
      </w:r>
      <w:r w:rsidRPr="00B20010">
        <w:rPr>
          <w:rFonts w:ascii="仿宋_GB2312" w:eastAsia="仿宋_GB2312" w:hAnsi="仿宋" w:hint="eastAsia"/>
          <w:sz w:val="30"/>
          <w:szCs w:val="30"/>
        </w:rPr>
        <w:t>章</w:t>
      </w:r>
      <w:r>
        <w:rPr>
          <w:rFonts w:ascii="仿宋_GB2312" w:eastAsia="仿宋_GB2312" w:hAnsi="仿宋"/>
          <w:sz w:val="30"/>
          <w:szCs w:val="30"/>
        </w:rPr>
        <w:t>43</w:t>
      </w:r>
      <w:r>
        <w:rPr>
          <w:rFonts w:ascii="仿宋_GB2312" w:eastAsia="仿宋_GB2312" w:hAnsi="仿宋" w:hint="eastAsia"/>
          <w:sz w:val="30"/>
          <w:szCs w:val="30"/>
        </w:rPr>
        <w:t>条。第一章“总则”，第二章“投资者适当性管理</w:t>
      </w:r>
      <w:r w:rsidRPr="00B20010">
        <w:rPr>
          <w:rFonts w:ascii="仿宋_GB2312" w:eastAsia="仿宋_GB2312" w:hAnsi="仿宋" w:hint="eastAsia"/>
          <w:sz w:val="30"/>
          <w:szCs w:val="30"/>
        </w:rPr>
        <w:t>”，第三章“投资者分级管理”，第</w:t>
      </w:r>
      <w:r>
        <w:rPr>
          <w:rFonts w:ascii="仿宋_GB2312" w:eastAsia="仿宋_GB2312" w:hAnsi="仿宋" w:hint="eastAsia"/>
          <w:sz w:val="30"/>
          <w:szCs w:val="30"/>
        </w:rPr>
        <w:t>四</w:t>
      </w:r>
      <w:r w:rsidRPr="00B20010">
        <w:rPr>
          <w:rFonts w:ascii="仿宋_GB2312" w:eastAsia="仿宋_GB2312" w:hAnsi="仿宋" w:hint="eastAsia"/>
          <w:sz w:val="30"/>
          <w:szCs w:val="30"/>
        </w:rPr>
        <w:t>章“投资者教育”，第</w:t>
      </w:r>
      <w:r>
        <w:rPr>
          <w:rFonts w:ascii="仿宋_GB2312" w:eastAsia="仿宋_GB2312" w:hAnsi="仿宋" w:hint="eastAsia"/>
          <w:sz w:val="30"/>
          <w:szCs w:val="30"/>
        </w:rPr>
        <w:t>五</w:t>
      </w:r>
      <w:r w:rsidRPr="00B20010">
        <w:rPr>
          <w:rFonts w:ascii="仿宋_GB2312" w:eastAsia="仿宋_GB2312" w:hAnsi="仿宋" w:hint="eastAsia"/>
          <w:sz w:val="30"/>
          <w:szCs w:val="30"/>
        </w:rPr>
        <w:t>章“附则”。各章的主要内容如下：</w:t>
      </w:r>
    </w:p>
    <w:p w:rsidR="00C7478C" w:rsidRDefault="00C7478C" w:rsidP="00C7478C">
      <w:pPr>
        <w:spacing w:line="540" w:lineRule="exact"/>
        <w:ind w:firstLineChars="200" w:firstLine="600"/>
        <w:rPr>
          <w:rFonts w:ascii="仿宋_GB2312" w:eastAsia="仿宋_GB2312" w:hAnsi="仿宋"/>
          <w:sz w:val="30"/>
          <w:szCs w:val="30"/>
        </w:rPr>
      </w:pPr>
      <w:r w:rsidRPr="000C1723">
        <w:rPr>
          <w:rFonts w:ascii="仿宋_GB2312" w:eastAsia="仿宋_GB2312" w:hAnsi="仿宋" w:hint="eastAsia"/>
          <w:sz w:val="30"/>
          <w:szCs w:val="30"/>
        </w:rPr>
        <w:t>（一）总则。</w:t>
      </w:r>
      <w:r>
        <w:rPr>
          <w:rFonts w:ascii="仿宋_GB2312" w:eastAsia="仿宋_GB2312" w:hAnsi="仿宋" w:hint="eastAsia"/>
          <w:sz w:val="30"/>
          <w:szCs w:val="30"/>
        </w:rPr>
        <w:t>规定了《指引》的制定依据，以及对期权经营机构和投资者的原则性要求。</w:t>
      </w:r>
    </w:p>
    <w:p w:rsidR="00C7478C" w:rsidRDefault="00C7478C" w:rsidP="00C7478C">
      <w:pPr>
        <w:spacing w:line="540" w:lineRule="exact"/>
        <w:ind w:firstLineChars="200" w:firstLine="600"/>
        <w:rPr>
          <w:rFonts w:ascii="仿宋_GB2312" w:eastAsia="仿宋_GB2312" w:hAnsi="仿宋"/>
          <w:sz w:val="30"/>
          <w:szCs w:val="30"/>
        </w:rPr>
      </w:pPr>
      <w:r w:rsidRPr="000C1723">
        <w:rPr>
          <w:rFonts w:ascii="仿宋_GB2312" w:eastAsia="仿宋_GB2312" w:hAnsi="仿宋" w:hint="eastAsia"/>
          <w:sz w:val="30"/>
          <w:szCs w:val="30"/>
        </w:rPr>
        <w:t>（二）投资者适当性管理。本章主要规定了两个事项，一是不同类别投资者的准入标准，分别规定了个人投资者、普通机构投资者、专业机构投资者参与股票期权交易的具体标准。二是明确了个人投资者综合评估的内容和要求。</w:t>
      </w:r>
    </w:p>
    <w:p w:rsidR="00C7478C" w:rsidRPr="00760C64" w:rsidRDefault="00C7478C" w:rsidP="00C7478C">
      <w:pPr>
        <w:spacing w:line="540" w:lineRule="exact"/>
        <w:ind w:firstLineChars="200" w:firstLine="600"/>
        <w:rPr>
          <w:rFonts w:ascii="仿宋_GB2312" w:eastAsia="仿宋_GB2312" w:hAnsi="仿宋"/>
          <w:sz w:val="30"/>
          <w:szCs w:val="30"/>
        </w:rPr>
      </w:pPr>
      <w:r>
        <w:rPr>
          <w:rFonts w:ascii="仿宋_GB2312" w:eastAsia="仿宋_GB2312" w:hAnsi="仿宋" w:hint="eastAsia"/>
          <w:sz w:val="30"/>
          <w:szCs w:val="30"/>
        </w:rPr>
        <w:t>通过综合评估是个人投资者参与期权交易的前提条件。综合评估的指标包括基本情况、相关投资经历、金融类资产状况、期</w:t>
      </w:r>
      <w:r>
        <w:rPr>
          <w:rFonts w:ascii="仿宋_GB2312" w:eastAsia="仿宋_GB2312" w:hAnsi="仿宋" w:hint="eastAsia"/>
          <w:sz w:val="30"/>
          <w:szCs w:val="30"/>
        </w:rPr>
        <w:lastRenderedPageBreak/>
        <w:t>权基础知识和诚信状况等。此外，期权经营机构应对投资者的风险承受能力进行专项评估。为推动投资者了解期权产品特征，本所建立期权投资者知识测试系统，期权经营机构应按照《指引》要求开展测试，测试成绩用于交易权限级别的核定和期权基础知识的评估。测试分为三个等级，通过相应等级的测试是申请相应等级的交易权限的前提条件。</w:t>
      </w:r>
    </w:p>
    <w:p w:rsidR="00C7478C" w:rsidRPr="000C1723" w:rsidRDefault="00C7478C" w:rsidP="00C7478C">
      <w:pPr>
        <w:spacing w:line="540" w:lineRule="exact"/>
        <w:ind w:firstLineChars="200" w:firstLine="600"/>
        <w:rPr>
          <w:rFonts w:ascii="仿宋_GB2312" w:eastAsia="仿宋_GB2312" w:hAnsi="仿宋"/>
          <w:sz w:val="30"/>
          <w:szCs w:val="30"/>
        </w:rPr>
      </w:pPr>
      <w:r w:rsidRPr="000C1723">
        <w:rPr>
          <w:rFonts w:ascii="仿宋_GB2312" w:eastAsia="仿宋_GB2312" w:hAnsi="仿宋" w:hint="eastAsia"/>
          <w:sz w:val="30"/>
          <w:szCs w:val="30"/>
        </w:rPr>
        <w:t>（三）投资者分级管理。《指引》规定了分级管理的基本内容，同时要求期权经营机构在《期权经纪合同》中进一步载明分级管理的具体标准、程序和要求，并向投资者进行充分说明。个人投资者期权交易权限级别分为一、二、三级。不同级别交易权限对测试成绩、期权模拟交易经历、金融类资产状况有不同要求。期权经营机构可以根据《指引》以及本所业务指南的规定，依投资者申请调整或者自行调低投资者交易权限，并根据分级结果对投资者的交易委托指令进行前端控制。本所根据投资者分级结果及交易情况对分级管理进行事后监督。</w:t>
      </w:r>
    </w:p>
    <w:p w:rsidR="00C7478C" w:rsidRDefault="00C7478C" w:rsidP="00C7478C">
      <w:pPr>
        <w:spacing w:line="540" w:lineRule="exact"/>
        <w:ind w:firstLineChars="200" w:firstLine="600"/>
        <w:rPr>
          <w:rFonts w:ascii="仿宋_GB2312" w:eastAsia="仿宋_GB2312" w:hAnsi="仿宋"/>
          <w:sz w:val="30"/>
          <w:szCs w:val="30"/>
        </w:rPr>
      </w:pPr>
      <w:r w:rsidRPr="000C1723">
        <w:rPr>
          <w:rFonts w:ascii="仿宋_GB2312" w:eastAsia="仿宋_GB2312" w:hAnsi="仿宋" w:hint="eastAsia"/>
          <w:sz w:val="30"/>
          <w:szCs w:val="30"/>
        </w:rPr>
        <w:t>（四）投资者教育。“一个成功的期权市场，离不开有效的投资者教育”。《指引》在借鉴国外成熟市场经验的基础上，对期权经营机构的投资者教育工作提出了原则性要求。期权经营机构应当健全工作制度，设置专职人员，对期权投资者教育工作作出具体安排。投资者教育的内容包括介绍期权投资知识和相关规定、公布期权业务相关重要信息、揭示投资风险等。具体方式包括公司网站、营业部现场、交易系统、电子邮件、短信等。</w:t>
      </w:r>
    </w:p>
    <w:p w:rsidR="00536763" w:rsidRPr="00C7478C" w:rsidRDefault="00C7478C" w:rsidP="00C7478C">
      <w:r w:rsidRPr="000C1723">
        <w:rPr>
          <w:rFonts w:ascii="仿宋_GB2312" w:eastAsia="仿宋_GB2312" w:hAnsi="仿宋" w:hint="eastAsia"/>
          <w:sz w:val="30"/>
          <w:szCs w:val="30"/>
        </w:rPr>
        <w:t>（五）附则。本所对期权投资者适当性管理进行自律监管。期权经营机构或投资者违反《指引》的，本所可根据相关规定，采取相应的监管措施或实施纪律处分，并计入诚信记录。</w:t>
      </w:r>
    </w:p>
    <w:sectPr w:rsidR="00536763" w:rsidRPr="00C7478C" w:rsidSect="000C2C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590" w:rsidRDefault="00716590" w:rsidP="00F83D9C">
      <w:r>
        <w:separator/>
      </w:r>
    </w:p>
  </w:endnote>
  <w:endnote w:type="continuationSeparator" w:id="1">
    <w:p w:rsidR="00716590" w:rsidRDefault="00716590" w:rsidP="00F83D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590" w:rsidRDefault="00716590" w:rsidP="00F83D9C">
      <w:r>
        <w:separator/>
      </w:r>
    </w:p>
  </w:footnote>
  <w:footnote w:type="continuationSeparator" w:id="1">
    <w:p w:rsidR="00716590" w:rsidRDefault="00716590" w:rsidP="00F83D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51A56"/>
    <w:multiLevelType w:val="multilevel"/>
    <w:tmpl w:val="33451A56"/>
    <w:lvl w:ilvl="0">
      <w:start w:val="1"/>
      <w:numFmt w:val="chineseCountingThousand"/>
      <w:lvlText w:val="第%1条"/>
      <w:lvlJc w:val="left"/>
      <w:pPr>
        <w:ind w:left="2263" w:hanging="420"/>
      </w:pPr>
      <w:rPr>
        <w:rFonts w:cs="Times New Roman" w:hint="eastAsia"/>
        <w:b/>
      </w:rPr>
    </w:lvl>
    <w:lvl w:ilvl="1" w:tentative="1">
      <w:start w:val="1"/>
      <w:numFmt w:val="lowerLetter"/>
      <w:lvlText w:val="%2)"/>
      <w:lvlJc w:val="left"/>
      <w:pPr>
        <w:ind w:left="1300" w:hanging="420"/>
      </w:pPr>
      <w:rPr>
        <w:rFonts w:cs="Times New Roman"/>
      </w:rPr>
    </w:lvl>
    <w:lvl w:ilvl="2" w:tentative="1">
      <w:start w:val="1"/>
      <w:numFmt w:val="lowerRoman"/>
      <w:lvlText w:val="%3."/>
      <w:lvlJc w:val="right"/>
      <w:pPr>
        <w:ind w:left="1720" w:hanging="420"/>
      </w:pPr>
      <w:rPr>
        <w:rFonts w:cs="Times New Roman"/>
      </w:rPr>
    </w:lvl>
    <w:lvl w:ilvl="3" w:tentative="1">
      <w:start w:val="1"/>
      <w:numFmt w:val="decimal"/>
      <w:lvlText w:val="%4."/>
      <w:lvlJc w:val="left"/>
      <w:pPr>
        <w:ind w:left="2140" w:hanging="420"/>
      </w:pPr>
      <w:rPr>
        <w:rFonts w:cs="Times New Roman"/>
      </w:rPr>
    </w:lvl>
    <w:lvl w:ilvl="4" w:tentative="1">
      <w:start w:val="1"/>
      <w:numFmt w:val="lowerLetter"/>
      <w:lvlText w:val="%5)"/>
      <w:lvlJc w:val="left"/>
      <w:pPr>
        <w:ind w:left="2560" w:hanging="420"/>
      </w:pPr>
      <w:rPr>
        <w:rFonts w:cs="Times New Roman"/>
      </w:rPr>
    </w:lvl>
    <w:lvl w:ilvl="5" w:tentative="1">
      <w:start w:val="1"/>
      <w:numFmt w:val="lowerRoman"/>
      <w:lvlText w:val="%6."/>
      <w:lvlJc w:val="right"/>
      <w:pPr>
        <w:ind w:left="2980" w:hanging="420"/>
      </w:pPr>
      <w:rPr>
        <w:rFonts w:cs="Times New Roman"/>
      </w:rPr>
    </w:lvl>
    <w:lvl w:ilvl="6" w:tentative="1">
      <w:start w:val="1"/>
      <w:numFmt w:val="decimal"/>
      <w:lvlText w:val="%7."/>
      <w:lvlJc w:val="left"/>
      <w:pPr>
        <w:ind w:left="3400" w:hanging="420"/>
      </w:pPr>
      <w:rPr>
        <w:rFonts w:cs="Times New Roman"/>
      </w:rPr>
    </w:lvl>
    <w:lvl w:ilvl="7" w:tentative="1">
      <w:start w:val="1"/>
      <w:numFmt w:val="lowerLetter"/>
      <w:lvlText w:val="%8)"/>
      <w:lvlJc w:val="left"/>
      <w:pPr>
        <w:ind w:left="3820" w:hanging="420"/>
      </w:pPr>
      <w:rPr>
        <w:rFonts w:cs="Times New Roman"/>
      </w:rPr>
    </w:lvl>
    <w:lvl w:ilvl="8" w:tentative="1">
      <w:start w:val="1"/>
      <w:numFmt w:val="lowerRoman"/>
      <w:lvlText w:val="%9."/>
      <w:lvlJc w:val="right"/>
      <w:pPr>
        <w:ind w:left="4240" w:hanging="420"/>
      </w:pPr>
      <w:rPr>
        <w:rFonts w:cs="Times New Roman"/>
      </w:rPr>
    </w:lvl>
  </w:abstractNum>
  <w:abstractNum w:abstractNumId="1">
    <w:nsid w:val="71D42361"/>
    <w:multiLevelType w:val="multilevel"/>
    <w:tmpl w:val="71D42361"/>
    <w:lvl w:ilvl="0">
      <w:start w:val="2"/>
      <w:numFmt w:val="japaneseCounting"/>
      <w:lvlText w:val="（%1）"/>
      <w:lvlJc w:val="left"/>
      <w:pPr>
        <w:ind w:left="1680" w:hanging="1080"/>
      </w:pPr>
      <w:rPr>
        <w:rFonts w:cs="Times New Roman" w:hint="default"/>
      </w:rPr>
    </w:lvl>
    <w:lvl w:ilvl="1" w:tentative="1">
      <w:start w:val="1"/>
      <w:numFmt w:val="lowerLetter"/>
      <w:lvlText w:val="%2)"/>
      <w:lvlJc w:val="left"/>
      <w:pPr>
        <w:ind w:left="1440" w:hanging="420"/>
      </w:pPr>
      <w:rPr>
        <w:rFonts w:cs="Times New Roman"/>
      </w:rPr>
    </w:lvl>
    <w:lvl w:ilvl="2" w:tentative="1">
      <w:start w:val="1"/>
      <w:numFmt w:val="lowerRoman"/>
      <w:lvlText w:val="%3."/>
      <w:lvlJc w:val="right"/>
      <w:pPr>
        <w:ind w:left="1860" w:hanging="420"/>
      </w:pPr>
      <w:rPr>
        <w:rFonts w:cs="Times New Roman"/>
      </w:rPr>
    </w:lvl>
    <w:lvl w:ilvl="3" w:tentative="1">
      <w:start w:val="1"/>
      <w:numFmt w:val="decimal"/>
      <w:lvlText w:val="%4."/>
      <w:lvlJc w:val="left"/>
      <w:pPr>
        <w:ind w:left="2280" w:hanging="420"/>
      </w:pPr>
      <w:rPr>
        <w:rFonts w:cs="Times New Roman"/>
      </w:rPr>
    </w:lvl>
    <w:lvl w:ilvl="4" w:tentative="1">
      <w:start w:val="1"/>
      <w:numFmt w:val="lowerLetter"/>
      <w:lvlText w:val="%5)"/>
      <w:lvlJc w:val="left"/>
      <w:pPr>
        <w:ind w:left="2700" w:hanging="420"/>
      </w:pPr>
      <w:rPr>
        <w:rFonts w:cs="Times New Roman"/>
      </w:rPr>
    </w:lvl>
    <w:lvl w:ilvl="5" w:tentative="1">
      <w:start w:val="1"/>
      <w:numFmt w:val="lowerRoman"/>
      <w:lvlText w:val="%6."/>
      <w:lvlJc w:val="right"/>
      <w:pPr>
        <w:ind w:left="3120" w:hanging="420"/>
      </w:pPr>
      <w:rPr>
        <w:rFonts w:cs="Times New Roman"/>
      </w:rPr>
    </w:lvl>
    <w:lvl w:ilvl="6" w:tentative="1">
      <w:start w:val="1"/>
      <w:numFmt w:val="decimal"/>
      <w:lvlText w:val="%7."/>
      <w:lvlJc w:val="left"/>
      <w:pPr>
        <w:ind w:left="3540" w:hanging="420"/>
      </w:pPr>
      <w:rPr>
        <w:rFonts w:cs="Times New Roman"/>
      </w:rPr>
    </w:lvl>
    <w:lvl w:ilvl="7" w:tentative="1">
      <w:start w:val="1"/>
      <w:numFmt w:val="lowerLetter"/>
      <w:lvlText w:val="%8)"/>
      <w:lvlJc w:val="left"/>
      <w:pPr>
        <w:ind w:left="3960" w:hanging="420"/>
      </w:pPr>
      <w:rPr>
        <w:rFonts w:cs="Times New Roman"/>
      </w:rPr>
    </w:lvl>
    <w:lvl w:ilvl="8" w:tentative="1">
      <w:start w:val="1"/>
      <w:numFmt w:val="lowerRoman"/>
      <w:lvlText w:val="%9."/>
      <w:lvlJc w:val="right"/>
      <w:pPr>
        <w:ind w:left="43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3D9C"/>
    <w:rsid w:val="000C2CFD"/>
    <w:rsid w:val="00536763"/>
    <w:rsid w:val="00716590"/>
    <w:rsid w:val="00C7478C"/>
    <w:rsid w:val="00F83D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D9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3D9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83D9C"/>
    <w:rPr>
      <w:sz w:val="18"/>
      <w:szCs w:val="18"/>
    </w:rPr>
  </w:style>
  <w:style w:type="paragraph" w:styleId="a4">
    <w:name w:val="footer"/>
    <w:basedOn w:val="a"/>
    <w:link w:val="Char0"/>
    <w:uiPriority w:val="99"/>
    <w:semiHidden/>
    <w:unhideWhenUsed/>
    <w:rsid w:val="00F83D9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83D9C"/>
    <w:rPr>
      <w:sz w:val="18"/>
      <w:szCs w:val="18"/>
    </w:rPr>
  </w:style>
  <w:style w:type="paragraph" w:customStyle="1" w:styleId="1">
    <w:name w:val="列出段落1"/>
    <w:basedOn w:val="a"/>
    <w:rsid w:val="00F83D9C"/>
    <w:pPr>
      <w:ind w:firstLineChars="200" w:firstLine="200"/>
    </w:pPr>
    <w:rPr>
      <w:rFonts w:ascii="Calibri" w:hAnsi="Calibri"/>
      <w:szCs w:val="22"/>
    </w:rPr>
  </w:style>
  <w:style w:type="paragraph" w:styleId="a5">
    <w:name w:val="Document Map"/>
    <w:basedOn w:val="a"/>
    <w:link w:val="Char1"/>
    <w:uiPriority w:val="99"/>
    <w:semiHidden/>
    <w:unhideWhenUsed/>
    <w:rsid w:val="00C7478C"/>
    <w:rPr>
      <w:rFonts w:ascii="宋体"/>
      <w:sz w:val="18"/>
      <w:szCs w:val="18"/>
    </w:rPr>
  </w:style>
  <w:style w:type="character" w:customStyle="1" w:styleId="Char1">
    <w:name w:val="文档结构图 Char"/>
    <w:basedOn w:val="a0"/>
    <w:link w:val="a5"/>
    <w:uiPriority w:val="99"/>
    <w:semiHidden/>
    <w:rsid w:val="00C7478C"/>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947</Words>
  <Characters>5404</Characters>
  <Application>Microsoft Office Word</Application>
  <DocSecurity>0</DocSecurity>
  <Lines>45</Lines>
  <Paragraphs>12</Paragraphs>
  <ScaleCrop>false</ScaleCrop>
  <Company>Hewlett-Packard Company</Company>
  <LinksUpToDate>false</LinksUpToDate>
  <CharactersWithSpaces>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2014-12-05T09:36:00Z</dcterms:created>
  <dcterms:modified xsi:type="dcterms:W3CDTF">2014-12-05T09:43:00Z</dcterms:modified>
</cp:coreProperties>
</file>